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300" w:right="1120" w:hanging="3887"/>
        <w:spacing w:after="0" w:line="477" w:lineRule="auto"/>
        <w:tabs>
          <w:tab w:leader="none" w:pos="98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41"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____ to _____</w:t>
      </w:r>
    </w:p>
    <w:p>
      <w:pPr>
        <w:spacing w:after="0" w:line="225" w:lineRule="exact"/>
        <w:rPr>
          <w:rFonts w:ascii="MS PGothic" w:cs="MS PGothic" w:eastAsia="MS PGothic" w:hAnsi="MS PGothic"/>
          <w:sz w:val="17"/>
          <w:szCs w:val="17"/>
          <w:color w:val="auto"/>
        </w:rPr>
      </w:pPr>
    </w:p>
    <w:p>
      <w:pPr>
        <w:ind w:left="42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34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00" w:type="dxa"/>
            <w:vAlign w:val="bottom"/>
            <w:gridSpan w:val="3"/>
          </w:tcPr>
          <w:p>
            <w:pPr>
              <w:jc w:val="center"/>
              <w:ind w:right="1100"/>
              <w:spacing w:after="0"/>
              <w:rPr>
                <w:sz w:val="20"/>
                <w:szCs w:val="20"/>
                <w:color w:val="auto"/>
              </w:rPr>
            </w:pPr>
            <w:r>
              <w:rPr>
                <w:rFonts w:ascii="Arial" w:cs="Arial" w:eastAsia="Arial" w:hAnsi="Arial"/>
                <w:sz w:val="18"/>
                <w:szCs w:val="18"/>
                <w:color w:val="auto"/>
                <w:w w:val="90"/>
              </w:rPr>
              <w:t>Title of Each Class</w:t>
            </w: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4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8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303"/>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4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8,130,628 shares of Common Stock, $0.01 par value at May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80" w:type="dxa"/>
            <w:vAlign w:val="bottom"/>
            <w:gridSpan w:val="8"/>
          </w:tcPr>
          <w:p>
            <w:pPr>
              <w:jc w:val="center"/>
              <w:ind w:right="1620"/>
              <w:spacing w:after="0"/>
              <w:rPr>
                <w:sz w:val="20"/>
                <w:szCs w:val="20"/>
                <w:color w:val="auto"/>
              </w:rPr>
            </w:pPr>
            <w:r>
              <w:rPr>
                <w:rFonts w:ascii="Arial" w:cs="Arial" w:eastAsia="Arial" w:hAnsi="Arial"/>
                <w:sz w:val="18"/>
                <w:szCs w:val="18"/>
                <w:b w:val="1"/>
                <w:bCs w:val="1"/>
                <w:color w:val="auto"/>
              </w:rPr>
              <w:t>MICROBOT MEDICAL INC. AND SUBSIDIARY</w:t>
            </w:r>
          </w:p>
        </w:tc>
        <w:tc>
          <w:tcPr>
            <w:tcW w:w="13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5"/>
          </w:tcPr>
          <w:p>
            <w:pPr>
              <w:jc w:val="center"/>
              <w:ind w:right="3660"/>
              <w:spacing w:after="0"/>
              <w:rPr>
                <w:sz w:val="20"/>
                <w:szCs w:val="20"/>
                <w:color w:val="auto"/>
              </w:rPr>
            </w:pPr>
            <w:r>
              <w:rPr>
                <w:rFonts w:ascii="Arial" w:cs="Arial" w:eastAsia="Arial" w:hAnsi="Arial"/>
                <w:sz w:val="18"/>
                <w:szCs w:val="18"/>
                <w:color w:val="auto"/>
                <w:w w:val="90"/>
              </w:rPr>
              <w:t>Index</w:t>
            </w:r>
          </w:p>
        </w:tc>
        <w:tc>
          <w:tcPr>
            <w:tcW w:w="13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9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320" w:type="dxa"/>
            <w:vAlign w:val="bottom"/>
            <w:shd w:val="clear" w:color="auto" w:fill="CCEEFF"/>
          </w:tcPr>
          <w:p>
            <w:pPr>
              <w:spacing w:after="0"/>
              <w:rPr>
                <w:sz w:val="18"/>
                <w:szCs w:val="18"/>
                <w:color w:val="auto"/>
              </w:rPr>
            </w:pPr>
          </w:p>
        </w:tc>
      </w:tr>
      <w:tr>
        <w:trPr>
          <w:trHeight w:val="216"/>
        </w:trPr>
        <w:tc>
          <w:tcPr>
            <w:tcW w:w="9920" w:type="dxa"/>
            <w:vAlign w:val="bottom"/>
            <w:gridSpan w:val="16"/>
          </w:tcPr>
          <w:p>
            <w:pPr>
              <w:spacing w:after="0"/>
              <w:rPr>
                <w:sz w:val="20"/>
                <w:szCs w:val="20"/>
                <w:color w:val="auto"/>
              </w:rPr>
            </w:pPr>
            <w:r>
              <w:rPr>
                <w:rFonts w:ascii="Arial" w:cs="Arial" w:eastAsia="Arial" w:hAnsi="Arial"/>
                <w:sz w:val="18"/>
                <w:szCs w:val="18"/>
                <w:color w:val="auto"/>
              </w:rPr>
              <w:t>Item 1 - Financial Statements</w:t>
            </w:r>
          </w:p>
        </w:tc>
        <w:tc>
          <w:tcPr>
            <w:tcW w:w="1320" w:type="dxa"/>
            <w:vAlign w:val="bottom"/>
          </w:tcPr>
          <w:p>
            <w:pPr>
              <w:spacing w:after="0"/>
              <w:rPr>
                <w:sz w:val="18"/>
                <w:szCs w:val="18"/>
                <w:color w:val="auto"/>
              </w:rPr>
            </w:pPr>
          </w:p>
        </w:tc>
      </w:tr>
      <w:tr>
        <w:trPr>
          <w:trHeight w:val="196"/>
        </w:trPr>
        <w:tc>
          <w:tcPr>
            <w:tcW w:w="768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Consolidated Balance Sheets as of March 31, 2023 (Unaudited) and December 31, 2022 (Audited)</w:t>
            </w:r>
          </w:p>
        </w:tc>
        <w:tc>
          <w:tcPr>
            <w:tcW w:w="2240" w:type="dxa"/>
            <w:vAlign w:val="bottom"/>
            <w:tcBorders>
              <w:bottom w:val="single" w:sz="8" w:color="CCEEFF"/>
            </w:tcBorders>
            <w:gridSpan w:val="3"/>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79"/>
              </w:rPr>
              <w:t>3</w:t>
            </w:r>
          </w:p>
        </w:tc>
      </w:tr>
      <w:tr>
        <w:trPr>
          <w:trHeight w:val="175"/>
        </w:trPr>
        <w:tc>
          <w:tcPr>
            <w:tcW w:w="9920" w:type="dxa"/>
            <w:vAlign w:val="bottom"/>
            <w:gridSpan w:val="16"/>
          </w:tcPr>
          <w:p>
            <w:pPr>
              <w:spacing w:after="0" w:line="176" w:lineRule="exact"/>
              <w:rPr>
                <w:sz w:val="20"/>
                <w:szCs w:val="20"/>
                <w:color w:val="auto"/>
              </w:rPr>
            </w:pPr>
            <w:r>
              <w:rPr>
                <w:rFonts w:ascii="Arial" w:cs="Arial" w:eastAsia="Arial" w:hAnsi="Arial"/>
                <w:sz w:val="18"/>
                <w:szCs w:val="18"/>
                <w:color w:val="0000EE"/>
                <w:w w:val="99"/>
              </w:rPr>
              <w:t>Interim Consolidated Statements of Comprehensive Loss for the Three Months Ended March 31, 2023 and 2022 (Unaudited)</w:t>
            </w:r>
          </w:p>
        </w:tc>
        <w:tc>
          <w:tcPr>
            <w:tcW w:w="13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02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Consolidated Statements of Shareholders’ Equity for the Three Months Ended March 31, 2023 and 2022 (Unaudited)</w:t>
            </w:r>
          </w:p>
        </w:tc>
        <w:tc>
          <w:tcPr>
            <w:tcW w:w="9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9920" w:type="dxa"/>
            <w:vAlign w:val="bottom"/>
            <w:gridSpan w:val="16"/>
          </w:tcPr>
          <w:p>
            <w:pPr>
              <w:spacing w:after="0" w:line="176" w:lineRule="exact"/>
              <w:rPr>
                <w:sz w:val="20"/>
                <w:szCs w:val="20"/>
                <w:color w:val="auto"/>
              </w:rPr>
            </w:pPr>
            <w:r>
              <w:rPr>
                <w:rFonts w:ascii="Arial" w:cs="Arial" w:eastAsia="Arial" w:hAnsi="Arial"/>
                <w:sz w:val="18"/>
                <w:szCs w:val="18"/>
                <w:color w:val="0000EE"/>
              </w:rPr>
              <w:t>Interim Consolidated Statements of Cash Flows for the Three Months Ended March 31, 2023 and 2022 (Unaudited)</w:t>
            </w:r>
          </w:p>
        </w:tc>
        <w:tc>
          <w:tcPr>
            <w:tcW w:w="13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0"/>
              </w:rPr>
              <w:t>Notes to Interim Consolidated Financial Statements</w:t>
            </w:r>
          </w:p>
        </w:tc>
        <w:tc>
          <w:tcPr>
            <w:tcW w:w="6180" w:type="dxa"/>
            <w:vAlign w:val="bottom"/>
            <w:tcBorders>
              <w:bottom w:val="single" w:sz="8" w:color="CCEEFF"/>
            </w:tcBorders>
            <w:gridSpan w:val="7"/>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9920" w:type="dxa"/>
            <w:vAlign w:val="bottom"/>
            <w:gridSpan w:val="16"/>
          </w:tcPr>
          <w:p>
            <w:pPr>
              <w:spacing w:after="0" w:line="176" w:lineRule="exact"/>
              <w:rPr>
                <w:sz w:val="20"/>
                <w:szCs w:val="20"/>
                <w:color w:val="auto"/>
              </w:rPr>
            </w:pPr>
            <w:r>
              <w:rPr>
                <w:rFonts w:ascii="Arial" w:cs="Arial" w:eastAsia="Arial" w:hAnsi="Arial"/>
                <w:sz w:val="18"/>
                <w:szCs w:val="18"/>
                <w:color w:val="0000EE"/>
              </w:rPr>
              <w:t>Item 2 - Management’s Discussion and Analysis of Financial Condition and Results of Operations</w:t>
            </w:r>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13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2"/>
              </w:rPr>
              <w:t>Item 3 - Quantitative and Qualitative Disclosures About Market Risk</w:t>
            </w:r>
          </w:p>
        </w:tc>
        <w:tc>
          <w:tcPr>
            <w:tcW w:w="4940" w:type="dxa"/>
            <w:vAlign w:val="bottom"/>
            <w:tcBorders>
              <w:bottom w:val="single" w:sz="8" w:color="CCEEFF"/>
            </w:tcBorders>
            <w:gridSpan w:val="5"/>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9920" w:type="dxa"/>
            <w:vAlign w:val="bottom"/>
            <w:gridSpan w:val="16"/>
          </w:tcPr>
          <w:p>
            <w:pPr>
              <w:spacing w:after="0" w:line="176" w:lineRule="exact"/>
              <w:rPr>
                <w:sz w:val="20"/>
                <w:szCs w:val="20"/>
                <w:color w:val="auto"/>
              </w:rPr>
            </w:pPr>
            <w:r>
              <w:rPr>
                <w:rFonts w:ascii="Arial" w:cs="Arial" w:eastAsia="Arial" w:hAnsi="Arial"/>
                <w:sz w:val="18"/>
                <w:szCs w:val="18"/>
                <w:color w:val="0000EE"/>
              </w:rPr>
              <w:t>Item 4 - Controls and Procedures</w:t>
            </w:r>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132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7"/>
              </w:rPr>
              <w:t>Item 1 - Legal Proceedings</w:t>
            </w:r>
          </w:p>
        </w:tc>
        <w:tc>
          <w:tcPr>
            <w:tcW w:w="7800" w:type="dxa"/>
            <w:vAlign w:val="bottom"/>
            <w:tcBorders>
              <w:top w:val="single" w:sz="8" w:color="CCEEFF"/>
            </w:tcBorders>
            <w:gridSpan w:val="10"/>
          </w:tcPr>
          <w:p>
            <w:pPr>
              <w:spacing w:after="0"/>
              <w:rPr>
                <w:sz w:val="15"/>
                <w:szCs w:val="15"/>
                <w:color w:val="auto"/>
              </w:rPr>
            </w:pPr>
          </w:p>
        </w:tc>
        <w:tc>
          <w:tcPr>
            <w:tcW w:w="132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6"/>
        </w:trPr>
        <w:tc>
          <w:tcPr>
            <w:tcW w:w="99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Item 1A - Risk Factors</w:t>
            </w:r>
          </w:p>
        </w:tc>
        <w:tc>
          <w:tcPr>
            <w:tcW w:w="13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920" w:type="dxa"/>
            <w:vAlign w:val="bottom"/>
            <w:gridSpan w:val="16"/>
          </w:tcPr>
          <w:p>
            <w:pPr>
              <w:spacing w:after="0" w:line="176" w:lineRule="exact"/>
              <w:rPr>
                <w:sz w:val="20"/>
                <w:szCs w:val="20"/>
                <w:color w:val="auto"/>
              </w:rPr>
            </w:pPr>
            <w:r>
              <w:rPr>
                <w:rFonts w:ascii="Arial" w:cs="Arial" w:eastAsia="Arial" w:hAnsi="Arial"/>
                <w:sz w:val="18"/>
                <w:szCs w:val="18"/>
                <w:color w:val="0000EE"/>
              </w:rPr>
              <w:t>Item 2 - Unregistered Sales of Equity Securities and Use of Proceeds</w:t>
            </w:r>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Item 3 - Defaults Upon Senior Securities</w:t>
            </w:r>
          </w:p>
        </w:tc>
        <w:tc>
          <w:tcPr>
            <w:tcW w:w="13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294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Item 4 - Mine Safety Disclosures</w:t>
            </w:r>
          </w:p>
        </w:tc>
        <w:tc>
          <w:tcPr>
            <w:tcW w:w="6980" w:type="dxa"/>
            <w:vAlign w:val="bottom"/>
            <w:tcBorders>
              <w:top w:val="single" w:sz="8" w:color="CCEEFF"/>
            </w:tcBorders>
            <w:gridSpan w:val="8"/>
          </w:tcPr>
          <w:p>
            <w:pPr>
              <w:spacing w:after="0"/>
              <w:rPr>
                <w:sz w:val="15"/>
                <w:szCs w:val="15"/>
                <w:color w:val="auto"/>
              </w:rPr>
            </w:pPr>
          </w:p>
        </w:tc>
        <w:tc>
          <w:tcPr>
            <w:tcW w:w="132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Item 5 - Other Information</w:t>
            </w:r>
          </w:p>
        </w:tc>
        <w:tc>
          <w:tcPr>
            <w:tcW w:w="7980" w:type="dxa"/>
            <w:vAlign w:val="bottom"/>
            <w:tcBorders>
              <w:bottom w:val="single" w:sz="8" w:color="CCEEFF"/>
            </w:tcBorders>
            <w:gridSpan w:val="12"/>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9920" w:type="dxa"/>
            <w:vAlign w:val="bottom"/>
            <w:gridSpan w:val="16"/>
          </w:tcPr>
          <w:p>
            <w:pPr>
              <w:spacing w:after="0" w:line="176" w:lineRule="exact"/>
              <w:rPr>
                <w:sz w:val="20"/>
                <w:szCs w:val="20"/>
                <w:color w:val="auto"/>
              </w:rPr>
            </w:pPr>
            <w:r>
              <w:rPr>
                <w:rFonts w:ascii="Arial" w:cs="Arial" w:eastAsia="Arial" w:hAnsi="Arial"/>
                <w:sz w:val="18"/>
                <w:szCs w:val="18"/>
                <w:color w:val="0000EE"/>
              </w:rPr>
              <w:t>Item 6 - Exhibits</w:t>
            </w:r>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13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24</w:t>
            </w:r>
          </w:p>
        </w:tc>
      </w:tr>
      <w:tr>
        <w:trPr>
          <w:trHeight w:val="439"/>
        </w:trPr>
        <w:tc>
          <w:tcPr>
            <w:tcW w:w="820" w:type="dxa"/>
            <w:vAlign w:val="bottom"/>
            <w:tcBorders>
              <w:top w:val="single" w:sz="8" w:color="0000EE"/>
              <w:bottom w:val="single" w:sz="8" w:color="auto"/>
            </w:tcBorders>
          </w:tcPr>
          <w:p>
            <w:pPr>
              <w:spacing w:after="0"/>
              <w:rPr>
                <w:sz w:val="24"/>
                <w:szCs w:val="24"/>
                <w:color w:val="auto"/>
              </w:rPr>
            </w:pPr>
          </w:p>
        </w:tc>
        <w:tc>
          <w:tcPr>
            <w:tcW w:w="6240" w:type="dxa"/>
            <w:vAlign w:val="bottom"/>
            <w:tcBorders>
              <w:top w:val="single" w:sz="8" w:color="CCEEFF"/>
              <w:bottom w:val="single" w:sz="8" w:color="auto"/>
            </w:tcBorders>
            <w:gridSpan w:val="11"/>
          </w:tcPr>
          <w:p>
            <w:pPr>
              <w:jc w:val="center"/>
              <w:ind w:left="3270"/>
              <w:spacing w:after="0"/>
              <w:rPr>
                <w:sz w:val="20"/>
                <w:szCs w:val="20"/>
                <w:color w:val="auto"/>
              </w:rPr>
            </w:pPr>
            <w:r>
              <w:rPr>
                <w:rFonts w:ascii="Arial" w:cs="Arial" w:eastAsia="Arial" w:hAnsi="Arial"/>
                <w:sz w:val="18"/>
                <w:szCs w:val="18"/>
                <w:color w:val="auto"/>
                <w:w w:val="79"/>
              </w:rPr>
              <w:t>2</w:t>
            </w:r>
          </w:p>
        </w:tc>
        <w:tc>
          <w:tcPr>
            <w:tcW w:w="6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As of March 31,</w:t>
            </w:r>
          </w:p>
        </w:tc>
        <w:tc>
          <w:tcPr>
            <w:tcW w:w="14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of December 31,</w:t>
            </w:r>
          </w:p>
        </w:tc>
      </w:tr>
      <w:tr>
        <w:trPr>
          <w:trHeight w:val="234"/>
        </w:trPr>
        <w:tc>
          <w:tcPr>
            <w:tcW w:w="6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37"/>
        </w:trPr>
        <w:tc>
          <w:tcPr>
            <w:tcW w:w="60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Notes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Audited</w:t>
            </w:r>
          </w:p>
        </w:tc>
      </w:tr>
      <w:tr>
        <w:trPr>
          <w:trHeight w:val="216"/>
        </w:trPr>
        <w:tc>
          <w:tcPr>
            <w:tcW w:w="6060" w:type="dxa"/>
            <w:vAlign w:val="bottom"/>
            <w:tcBorders>
              <w:top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2,907</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r>
      <w:tr>
        <w:trPr>
          <w:trHeight w:val="203"/>
        </w:trPr>
        <w:tc>
          <w:tcPr>
            <w:tcW w:w="60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6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5,581</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8,814</w:t>
            </w: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4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1"/>
                <w:szCs w:val="21"/>
                <w:color w:val="auto"/>
              </w:rPr>
            </w:pPr>
          </w:p>
        </w:tc>
      </w:tr>
      <w:tr>
        <w:trPr>
          <w:trHeight w:val="257"/>
        </w:trPr>
        <w:tc>
          <w:tcPr>
            <w:tcW w:w="60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6,208</w:t>
            </w:r>
          </w:p>
        </w:tc>
        <w:tc>
          <w:tcPr>
            <w:tcW w:w="3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ind w:left="1100"/>
              <w:spacing w:after="0"/>
              <w:rPr>
                <w:sz w:val="20"/>
                <w:szCs w:val="20"/>
                <w:color w:val="auto"/>
              </w:rPr>
            </w:pPr>
            <w:r>
              <w:rPr>
                <w:rFonts w:ascii="Arial" w:cs="Arial" w:eastAsia="Arial" w:hAnsi="Arial"/>
                <w:sz w:val="18"/>
                <w:szCs w:val="18"/>
                <w:color w:val="auto"/>
              </w:rPr>
              <w:t>LIABILITIES AND STOCKHOLDERS’ EQUITY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r>
      <w:tr>
        <w:trPr>
          <w:trHeight w:val="216"/>
        </w:trPr>
        <w:tc>
          <w:tcPr>
            <w:tcW w:w="6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r>
      <w:tr>
        <w:trPr>
          <w:trHeight w:val="223"/>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Common stock; $0.01 par value; 60,000,000 shares authorized as of March</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31, 2023 and December 31, 2022; 8,130,628 and 7,890,628 shares issued and</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March 31, 2023 and December 31, 2022, respectively.</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76,379</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75,970</w:t>
            </w:r>
          </w:p>
        </w:tc>
        <w:tc>
          <w:tcPr>
            <w:tcW w:w="100" w:type="dxa"/>
            <w:vAlign w:val="bottom"/>
          </w:tcPr>
          <w:p>
            <w:pPr>
              <w:spacing w:after="0"/>
              <w:rPr>
                <w:sz w:val="18"/>
                <w:szCs w:val="18"/>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(71,614)</w:t>
            </w: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(68,761)</w:t>
            </w:r>
          </w:p>
        </w:tc>
      </w:tr>
      <w:tr>
        <w:trPr>
          <w:trHeight w:val="210"/>
        </w:trPr>
        <w:tc>
          <w:tcPr>
            <w:tcW w:w="60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6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4,848</w:t>
            </w:r>
          </w:p>
        </w:tc>
        <w:tc>
          <w:tcPr>
            <w:tcW w:w="3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gridSpan w:val="3"/>
          </w:tcPr>
          <w:p>
            <w:pPr>
              <w:jc w:val="right"/>
              <w:ind w:right="207"/>
              <w:spacing w:after="0"/>
              <w:rPr>
                <w:sz w:val="20"/>
                <w:szCs w:val="20"/>
                <w:color w:val="auto"/>
              </w:rPr>
            </w:pPr>
            <w:r>
              <w:rPr>
                <w:rFonts w:ascii="Arial" w:cs="Arial" w:eastAsia="Arial" w:hAnsi="Arial"/>
                <w:sz w:val="18"/>
                <w:szCs w:val="18"/>
                <w:color w:val="auto"/>
              </w:rPr>
              <w:t>Unaudited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2"/>
            <w:shd w:val="clear" w:color="auto" w:fill="CCEEFF"/>
          </w:tcPr>
          <w:p>
            <w:pPr>
              <w:jc w:val="right"/>
              <w:ind w:right="99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(1,617)</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(1,706)</w:t>
            </w:r>
          </w:p>
        </w:tc>
      </w:tr>
      <w:tr>
        <w:trPr>
          <w:trHeight w:val="237"/>
        </w:trPr>
        <w:tc>
          <w:tcPr>
            <w:tcW w:w="5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(1,302)</w:t>
            </w:r>
          </w:p>
        </w:tc>
        <w:tc>
          <w:tcPr>
            <w:tcW w:w="480" w:type="dxa"/>
            <w:vAlign w:val="bottom"/>
          </w:tcPr>
          <w:p>
            <w:pPr>
              <w:spacing w:after="0"/>
              <w:rPr>
                <w:sz w:val="20"/>
                <w:szCs w:val="20"/>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(1,470)</w:t>
            </w:r>
          </w:p>
        </w:tc>
      </w:tr>
      <w:tr>
        <w:trPr>
          <w:trHeight w:val="216"/>
        </w:trPr>
        <w:tc>
          <w:tcPr>
            <w:tcW w:w="5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(expenses), net</w:t>
            </w:r>
          </w:p>
        </w:tc>
        <w:tc>
          <w:tcPr>
            <w:tcW w:w="1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r>
      <w:tr>
        <w:trPr>
          <w:trHeight w:val="257"/>
        </w:trPr>
        <w:tc>
          <w:tcPr>
            <w:tcW w:w="58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CCEEFF"/>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96"/>
        </w:trPr>
        <w:tc>
          <w:tcPr>
            <w:tcW w:w="5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8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340" w:type="dxa"/>
            <w:vAlign w:val="bottom"/>
            <w:gridSpan w:val="2"/>
          </w:tcPr>
          <w:p>
            <w:pPr>
              <w:jc w:val="right"/>
              <w:ind w:right="99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(0.36)</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(0.45)</w:t>
            </w:r>
          </w:p>
        </w:tc>
      </w:tr>
      <w:tr>
        <w:trPr>
          <w:trHeight w:val="197"/>
        </w:trPr>
        <w:tc>
          <w:tcPr>
            <w:tcW w:w="58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weighted average common shares outstanding</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8,013,295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7,108,133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r>
      <w:tr>
        <w:trPr>
          <w:trHeight w:val="241"/>
        </w:trPr>
        <w:tc>
          <w:tcPr>
            <w:tcW w:w="414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0"/>
                <w:szCs w:val="20"/>
                <w:color w:val="auto"/>
              </w:rPr>
            </w:pP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37"/>
        </w:trPr>
        <w:tc>
          <w:tcPr>
            <w:tcW w:w="41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r>
      <w:tr>
        <w:trPr>
          <w:trHeight w:val="216"/>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 (Audited)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1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(55,593)</w:t>
            </w:r>
          </w:p>
        </w:tc>
        <w:tc>
          <w:tcPr>
            <w:tcW w:w="3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(3,189)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(3,189)</w:t>
            </w:r>
          </w:p>
        </w:tc>
      </w:tr>
      <w:tr>
        <w:trPr>
          <w:trHeight w:val="257"/>
        </w:trPr>
        <w:tc>
          <w:tcPr>
            <w:tcW w:w="41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March 31, 2022 (Unaudited)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32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70,331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4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Balances, December 31, 2022 (Audited)</w:t>
            </w:r>
          </w:p>
        </w:tc>
        <w:tc>
          <w:tcPr>
            <w:tcW w:w="1120" w:type="dxa"/>
            <w:vAlign w:val="bottom"/>
          </w:tcPr>
          <w:p>
            <w:pPr>
              <w:jc w:val="right"/>
              <w:spacing w:after="0"/>
              <w:rPr>
                <w:sz w:val="20"/>
                <w:szCs w:val="20"/>
                <w:color w:val="auto"/>
              </w:rPr>
            </w:pPr>
            <w:r>
              <w:rPr>
                <w:rFonts w:ascii="Arial" w:cs="Arial" w:eastAsia="Arial" w:hAnsi="Arial"/>
                <w:sz w:val="18"/>
                <w:szCs w:val="18"/>
                <w:color w:val="auto"/>
              </w:rPr>
              <w:t>7,890,628</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75,970</w:t>
            </w:r>
          </w:p>
        </w:tc>
        <w:tc>
          <w:tcPr>
            <w:tcW w:w="200" w:type="dxa"/>
            <w:vAlign w:val="bottom"/>
          </w:tcPr>
          <w:p>
            <w:pPr>
              <w:spacing w:after="0"/>
              <w:rPr>
                <w:sz w:val="18"/>
                <w:szCs w:val="18"/>
                <w:color w:val="auto"/>
              </w:rPr>
            </w:pPr>
          </w:p>
        </w:tc>
        <w:tc>
          <w:tcPr>
            <w:tcW w:w="3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(68,761)</w:t>
            </w:r>
          </w:p>
        </w:tc>
        <w:tc>
          <w:tcPr>
            <w:tcW w:w="3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8"/>
                <w:szCs w:val="18"/>
                <w:color w:val="auto"/>
              </w:rPr>
            </w:pPr>
          </w:p>
        </w:tc>
      </w:tr>
      <w:tr>
        <w:trPr>
          <w:trHeight w:val="202"/>
        </w:trPr>
        <w:tc>
          <w:tcPr>
            <w:tcW w:w="4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upon exercise of</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(2,853)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(2,853)</w:t>
            </w:r>
          </w:p>
        </w:tc>
      </w:tr>
      <w:tr>
        <w:trPr>
          <w:trHeight w:val="216"/>
        </w:trPr>
        <w:tc>
          <w:tcPr>
            <w:tcW w:w="4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March 31, 2023 (Unaudited)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8,130,628</w:t>
            </w: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76,379</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(71,614</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Borders>
              <w:top w:val="single" w:sz="8" w:color="CCEEFF"/>
            </w:tcBorders>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996"/>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(2,853)</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income and unrealized gains from marketable securities</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80" w:type="dxa"/>
            <w:vAlign w:val="bottom"/>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(900)</w:t>
            </w: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used in operating activities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6980" w:type="dxa"/>
            <w:vAlign w:val="bottom"/>
          </w:tcPr>
          <w:p>
            <w:pPr>
              <w:spacing w:after="0" w:line="203" w:lineRule="exact"/>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Purchase of a marketable security</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(638)</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 marketable security</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 term deposit</w:t>
            </w: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provided by (used in)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2,883</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4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3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20" w:type="dxa"/>
            <w:vAlign w:val="bottom"/>
            <w:tcBorders>
              <w:top w:val="single" w:sz="8" w:color="CCEEFF"/>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10,557</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1140" w:type="dxa"/>
            <w:vAlign w:val="bottom"/>
            <w:gridSpan w:val="2"/>
            <w:shd w:val="clear" w:color="auto" w:fill="CCEEFF"/>
          </w:tcPr>
          <w:p>
            <w:pPr>
              <w:jc w:val="right"/>
              <w:ind w:right="99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Right-of-use asset and lease liability</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996"/>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and Microbot Israel, its sole subsidiary, are sometimes collectively referred to as the “Company” as the context may require.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Risk Factors: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March 31, 2023, the Company had cash equivalents and marketable securities balance of approximately $5,057, excluding encumbered cash, which management believes is sufficient to fund its operations for four months from the filing date of this Quarterly Report on Form 10-Q. Accordingly, as of such filing date, there is a substantial doubt as to the Company’s ability to continue as a going concern.</w:t>
      </w:r>
    </w:p>
    <w:p>
      <w:pPr>
        <w:spacing w:after="0" w:line="18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Due to continuing research and development activities, the Company expects to continue to incur additional losses for the foreseeable future. While management of the Company believes that it has sufficient funds until September 2023,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Use of estimates: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D. Unaudited Interim Financial Statements: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Operating results for the three-month period ended March 31, 2023, are not necessarily indicative of the results that may be expected for the year ended December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summarizes the Company’s financial assets subject to fair value measurement and the level of inputs used in such measurements as of March 31, 2023 and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As of March 31, 2023</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1,270</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1,270</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mutual</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217"/>
        </w:trPr>
        <w:tc>
          <w:tcPr>
            <w:tcW w:w="1120" w:type="dxa"/>
            <w:vAlign w:val="bottom"/>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20"/>
        </w:trPr>
        <w:tc>
          <w:tcPr>
            <w:tcW w:w="1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3"/>
              </w:rPr>
              <w:t>As of December 31, 2022</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7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1,247</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3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3,761</w:t>
            </w:r>
          </w:p>
        </w:tc>
        <w:tc>
          <w:tcPr>
            <w:tcW w:w="10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Money market mutual funds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7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2023 and December 31,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340"/>
        <w:spacing w:after="0" w:line="327" w:lineRule="auto"/>
        <w:rPr>
          <w:sz w:val="20"/>
          <w:szCs w:val="20"/>
          <w:color w:val="auto"/>
        </w:rPr>
      </w:pPr>
      <w:r>
        <w:rPr>
          <w:rFonts w:ascii="Arial" w:cs="Arial" w:eastAsia="Arial" w:hAnsi="Arial"/>
          <w:sz w:val="15"/>
          <w:szCs w:val="15"/>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35"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6403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7740"/>
        <w:spacing w:after="0"/>
        <w:tabs>
          <w:tab w:leader="none" w:pos="99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6403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and expenses</w:t>
            </w:r>
          </w:p>
        </w:tc>
        <w:tc>
          <w:tcPr>
            <w:tcW w:w="3240" w:type="dxa"/>
            <w:vAlign w:val="bottom"/>
            <w:gridSpan w:val="2"/>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432"/>
        </w:trPr>
        <w:tc>
          <w:tcPr>
            <w:tcW w:w="8480" w:type="dxa"/>
            <w:vAlign w:val="bottom"/>
            <w:gridSpan w:val="3"/>
          </w:tcPr>
          <w:p>
            <w:pPr>
              <w:ind w:left="340"/>
              <w:spacing w:after="0"/>
              <w:rPr>
                <w:sz w:val="20"/>
                <w:szCs w:val="20"/>
                <w:color w:val="auto"/>
              </w:rPr>
            </w:pPr>
            <w:r>
              <w:rPr>
                <w:rFonts w:ascii="Arial" w:cs="Arial" w:eastAsia="Arial" w:hAnsi="Arial"/>
                <w:sz w:val="18"/>
                <w:szCs w:val="18"/>
                <w:color w:val="auto"/>
                <w:w w:val="98"/>
              </w:rPr>
              <w:t>Undiscounted maturities of operating lease payments as of March 31, 2023 are summarized as follows: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1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Total future lease payments</w:t>
            </w: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419</w:t>
            </w:r>
          </w:p>
        </w:tc>
        <w:tc>
          <w:tcPr>
            <w:tcW w:w="100" w:type="dxa"/>
            <w:vAlign w:val="bottom"/>
          </w:tcPr>
          <w:p>
            <w:pPr>
              <w:spacing w:after="0"/>
              <w:rPr>
                <w:sz w:val="17"/>
                <w:szCs w:val="17"/>
                <w:color w:val="auto"/>
              </w:rPr>
            </w:pPr>
          </w:p>
        </w:tc>
      </w:tr>
      <w:tr>
        <w:trPr>
          <w:trHeight w:val="24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03"/>
        </w:trPr>
        <w:tc>
          <w:tcPr>
            <w:tcW w:w="5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liability balance</w:t>
            </w:r>
          </w:p>
        </w:tc>
        <w:tc>
          <w:tcPr>
            <w:tcW w:w="16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gridSpan w:val="2"/>
          </w:tcPr>
          <w:p>
            <w:pPr>
              <w:jc w:val="right"/>
              <w:ind w:right="320"/>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5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240" w:type="dxa"/>
            <w:vAlign w:val="bottom"/>
          </w:tcPr>
          <w:p>
            <w:pPr>
              <w:spacing w:after="0"/>
              <w:rPr>
                <w:sz w:val="20"/>
                <w:szCs w:val="20"/>
                <w:color w:val="auto"/>
              </w:rPr>
            </w:pPr>
          </w:p>
        </w:tc>
        <w:tc>
          <w:tcPr>
            <w:tcW w:w="3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Operating leases weighted average remaining lease term (in years)</w:t>
            </w:r>
          </w:p>
        </w:tc>
        <w:tc>
          <w:tcPr>
            <w:tcW w:w="1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79"/>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ind w:left="100"/>
              <w:spacing w:after="0"/>
              <w:rPr>
                <w:sz w:val="20"/>
                <w:szCs w:val="20"/>
                <w:color w:val="auto"/>
              </w:rPr>
            </w:pPr>
            <w:r>
              <w:rPr>
                <w:rFonts w:ascii="Arial" w:cs="Arial" w:eastAsia="Arial" w:hAnsi="Arial"/>
                <w:sz w:val="18"/>
                <w:szCs w:val="18"/>
                <w:color w:val="auto"/>
              </w:rPr>
              <w:t>Operating leases weighted average discount rate</w:t>
            </w: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gridSpan w:val="3"/>
          </w:tcPr>
          <w:p>
            <w:pPr>
              <w:ind w:left="2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780" w:type="dxa"/>
            <w:vAlign w:val="bottom"/>
            <w:gridSpan w:val="3"/>
          </w:tcPr>
          <w:p>
            <w:pPr>
              <w:ind w:left="1540"/>
              <w:spacing w:after="0"/>
              <w:rPr>
                <w:sz w:val="20"/>
                <w:szCs w:val="20"/>
                <w:color w:val="auto"/>
              </w:rPr>
            </w:pPr>
            <w:r>
              <w:rPr>
                <w:rFonts w:ascii="Arial" w:cs="Arial" w:eastAsia="Arial" w:hAnsi="Arial"/>
                <w:sz w:val="18"/>
                <w:szCs w:val="18"/>
                <w:color w:val="auto"/>
                <w:w w:val="84"/>
              </w:rPr>
              <w:t>9%</w:t>
            </w:r>
          </w:p>
        </w:tc>
      </w:tr>
      <w:tr>
        <w:trPr>
          <w:trHeight w:val="425"/>
        </w:trPr>
        <w:tc>
          <w:tcPr>
            <w:tcW w:w="5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9</w:t>
            </w: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March 31, 2023 totaling approximately $1,500.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a result of the agreement with Nitiloop Ltd., an Israeli limited liability company (“Nitiloop”), on October 6, 2022, Microbot Israel took over the liability to repay Nitiloop’s IIA grants in the aggregate amount of approximately $925.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relation to the IIA grants described above, the Company is obligated to pay royalties amounting to 3.0%-3.5% of its future sales of the products relating to such grants.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6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Pursuant to the License Agreement, both parties agreed to extend the next development milestone for the Company’s Self Cleaning Shunt (SCS) project, which includes the First In Human milestone, until December 2024, and to continue to maintain the TipCat assets, which are still in a discovery phase, until December 2023. The Company in October 2022 suspended the SCS project while it evaluated alternatives for the SCS assets (mainly related patents), including seeking buyers for the assets, joint ventures or licensing arrangements, spinning off the assets into a new operating company or discontinuing the project altogether. The Company has certain obligations to seek to develop and commercialize the SCS and the TipCat assets under the License Agreement. The Company has been in discussions with TRDF with respect to the suspension of the SCS project and the status of the TipCat assets, and as a result of the Company’s May 2023 implementation of its core-business focus program and cost reduction plan, expects to return such licensed assets to TRDF in the second fiscal quarter of 2023. See “Note 6 – Subsequent Events”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4, 2018, Microbot Israel entered into an agreement with CardioSert to acquire certain of its patent-protected technology (the “Technology”). Pursuant to the Agreement, Microbot Israel made aggregate payments of $300 in cash and 6,738 shares of Common Stock estimated at $74 to complete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As of March 31, 2023, the 50 months period has expired and CardioSert can buy-back the Technology at any time.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of the above termination events, or in case of breach by Microbot Israel, CardioSert shall have the right to buy back the Technology from Microbot Israel for $1.00, upon 60 days prior written notice, but only 1 year after such termination events. Additionally, the agreement may be terminated by either party upon breach of the other (subject to cure). Microbot Israel pays CardioSert a monthly consultation fee of NIS40 (or approximately US$11.06, based on an exchange rate of NIS 3.615 to the dollar) covering up to 60 consulting hours per month, relating to the development of the Technology.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6 – Subsequent Events” below, with respect to the Company’s May 17, 2023 termination of the agreement. As of the filing date of this Quarterly Report on Form 10-Q, CardioSert has not purchased back the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the Company has not sold any shares of Common Stock pursuant to the ATM Agreement, and as of October 13, 2022, the Company suspended the ATM Agreement, which otherwise remains in full force and effect, and terminated the June 2021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Nitiloop’s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for the acquisition of the Assets, Microbot Israel shall pay royalties to Nitiloop, which shall not, in the aggregate, exceed $8,000, as follows:</w:t>
      </w:r>
    </w:p>
    <w:p>
      <w:pPr>
        <w:spacing w:after="0" w:line="170" w:lineRule="exact"/>
        <w:rPr>
          <w:sz w:val="20"/>
          <w:szCs w:val="20"/>
          <w:color w:val="auto"/>
        </w:rPr>
      </w:pPr>
    </w:p>
    <w:p>
      <w:pPr>
        <w:ind w:left="960" w:hanging="32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3% of net revenue generated as a result of sales, license or other exploitation of the Devices; and</w:t>
      </w:r>
    </w:p>
    <w:p>
      <w:pPr>
        <w:spacing w:after="0" w:line="23" w:lineRule="exact"/>
        <w:rPr>
          <w:rFonts w:ascii="Arial" w:cs="Arial" w:eastAsia="Arial" w:hAnsi="Arial"/>
          <w:sz w:val="18"/>
          <w:szCs w:val="18"/>
          <w:color w:val="auto"/>
        </w:rPr>
      </w:pPr>
    </w:p>
    <w:p>
      <w:pPr>
        <w:ind w:left="960" w:hanging="320"/>
        <w:spacing w:after="0" w:line="26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1.5% of net revenue generated from the sale, license or other exploitation of commercialization of the technology as part of an integrated product.</w:t>
      </w:r>
    </w:p>
    <w:p>
      <w:pPr>
        <w:spacing w:after="0" w:line="18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seeks rescission of the SPA and return of the Plaintiffs’ $6,750 purchase price with respect to the Financing. The Company is currently in the discovery phase. Management is unable to assess the likelihood that the Company will succeed at trial with respect to the SPA or the Financing, having previously lost another lawsuit with respect to the Financing.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Mona Litigation</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spacing w:after="0" w:line="1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October 28, 2019, Alliance filed a motion for summary judgment requesting that the Court dismiss the claims against Alliance, which was subsequently granted by the Court.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March 30, 2021, the Court issued an Order; and on March 31, 2021, the Clerk entered judgment against Mona and in favor of the Company in the amount of approximately $485. On April 27, 2021, Mona filed an appeal of the Court’s judgment, which is pending before the U.S. Court of Appeals for the Second Circuit.</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June 2021, the Magistrate issued an order permitting Mona to file an Amended Counterclaim Complaint, and rejected the Company’s request to execute on the judgment. The Company filed a response to Mona’s amended counterclaim in July 2021, and in February 2023 filed a motion for summary judgment on Mona’s fraud claim on the basis of inability to demonstrate reliance or loss causation. The motion was fully briefed and submitted on May 1, 2023.</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April 12, 2023, Mona filed a motion to dismiss the Company’s 16(b) claim based on a decision issued by a Magistrate Judge in an unrelated case, which held that 16(b) plaintiffs must allege an “injury in fact” resulting from a defendant’s short swing trading violation. That decision is currently on appeal, and the Company believes Mona’s motion is meritless. The Company intends to oppose the motion, which is scheduled to be fully briefed on May 24,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2022 and March 31, 2023, the Company had, respectively, 7,890,628 and 8,130,628 shares of Common Stock issued and outstanding.</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13, 2023, 240,000 of the Company’s outstanding pre-funded warrants were exercised into alike number of shares of Common Stock, at an exercise price of $0.0001 per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three months ended March 31, 2023, the Company granted to certain directors, options to purchase an aggregate of 70,000 shares of the Common Stock, at an average exercise price per share of $3.48. The stock options vest over a period of three years as outlined in the option agreements evidencing such grants.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TRDF.</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5"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2022.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Core-Business Focus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TRDF.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Reduction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Postpone a GLP study for LIBERTY until the completion of the V&amp;V.</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with terms and conditions with respect to the reduction period to be determined.</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director fees, with reinstatement of such fees to be determined.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 w:lineRule="exact"/>
        <w:rPr>
          <w:sz w:val="20"/>
          <w:szCs w:val="20"/>
          <w:color w:val="auto"/>
        </w:rPr>
      </w:pPr>
    </w:p>
    <w:p>
      <w:pPr>
        <w:ind w:left="660" w:hanging="319"/>
        <w:spacing w:after="0" w:line="250" w:lineRule="auto"/>
        <w:tabs>
          <w:tab w:leader="none" w:pos="640" w:val="left"/>
        </w:tabs>
        <w:rPr>
          <w:sz w:val="20"/>
          <w:szCs w:val="20"/>
          <w:color w:val="auto"/>
        </w:rPr>
      </w:pPr>
      <w:r>
        <w:rPr>
          <w:rFonts w:ascii="Arial" w:cs="Arial" w:eastAsia="Arial" w:hAnsi="Arial"/>
          <w:sz w:val="18"/>
          <w:szCs w:val="18"/>
          <w:color w:val="auto"/>
        </w:rPr>
        <w:t>●</w:t>
        <w:tab/>
        <w:t>Professor Moshe Shoham, a co-founder of the Company and currently a member of its Scientific Advisory Board, will waive his SAB fees, with fees payable to the remaining SAB members to be restructured.</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the savings generated from such cost-reduction activities will enable us to continue the V&amp;V and first-in-human cases planned in Brazil or elsewhere, through September 30, 2023, while we continue to seek new sources of financings to stabilize our finances.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First-In-Human Clinical Cases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also exploring options to conduct First-In-Human trials or cases in other places where the regulatory laws allow.</w:t>
      </w:r>
    </w:p>
    <w:p>
      <w:pPr>
        <w:sectPr>
          <w:pgSz w:w="11900" w:h="16838" w:orient="portrait"/>
          <w:cols w:equalWidth="0" w:num="1">
            <w:col w:w="11240"/>
          </w:cols>
          <w:pgMar w:left="320" w:top="661" w:right="339" w:bottom="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Catheterization Milestone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our One &amp; Done and NovaCross platforms or possibly other guidewire/microcatheter technologies.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our One &amp; Done technology or possibly other guidewire/microcatheter technologies, it is being designed to streamline Cath-lab procedures with tools that combines guidewire and microcatheter into a single device. With control over tip curvature and stiffness for maneuverability and access – and without the need for constant tool exchanges – when integrated into the LIBERTY device, the device may drastically reduce procedure time and costs while enhancing the operator experience.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We believe LIBERTY’s addressable markets are the Interventional Cardiology, Interventional Radiology and Interventional Neuroradiology markets.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Streamlines Cath-lab procedures – Can be made compatible with Microbot’s unique “One &amp; Done” tool and/or NitiLoop’s NovaCross products or possibly other guidewire/microcatheter technologies, that combines guidewire and microcatheter into a single device. The One &amp; Done tool, when integrated into the system, is expected to provide full control over tip curvature and stiffness for maneuverability and access without the need for constant tool exchanges, while enhancing the operator experience.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of the art maneuverability - Provides linear, rotational and tip control of its One &amp; Done tool when integrated into the system, as well as linear motion for an additional “over the wire” device.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Ease of use - LIBERTY’s intuitive remote controls aims to simplify advanced procedures while shortening the physician’s learning curve.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Telemedicine compatible - Capable of supporting tele-catheterization, carried out remotely by highly trained specialists.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the results of the study allow it to move forward and focus on the next phases to ultimately include a U.S.-based pivotal pre-clinical study.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together with its regulatory experts and consultants, believe a larger sample size and robust data generated by this study will advance the company’s efforts towards the submission of Investigational Device Exemption (IDE) with the U.S. Food and Drug Administration (FDA).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Technology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8, 2018, we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i w:val="1"/>
          <w:iCs w:val="1"/>
          <w:color w:val="auto"/>
          <w:vertAlign w:val="superscript"/>
        </w:rPr>
        <w:t>TM</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7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Microbot had been exploring the integration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technology into the LIBERTY endovascular robotic system for a range of potential applications in the cardiovascular, peripheral vascular and neurovascular spaces. However, as a result of its recently enacted core-business focus program and its cost reduction plan , the Company has terminated its existing agreement with CardioSert Ltd., which could result in the technology being re-acquired by CardioSert Ltd. for nominal consideration.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NovaCross</w:t>
      </w:r>
      <w:r>
        <w:rPr>
          <w:rFonts w:ascii="Arial" w:cs="Arial" w:eastAsia="Arial" w:hAnsi="Arial"/>
          <w:sz w:val="29"/>
          <w:szCs w:val="29"/>
          <w:i w:val="1"/>
          <w:iCs w:val="1"/>
          <w:color w:val="auto"/>
          <w:vertAlign w:val="superscript"/>
        </w:rPr>
        <w:t>TM</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11, 2022, we announced that we are planning to focus our strategic efforts on the growing endovascular space and advancing the LIBERTY Robotic System to achieve its regulatory and commercial milestones, as well as expanding the LIBERTY ecosystem, and made a strategic decision to suspend the continued research and development of the SCS project, effective at that date. The SCS generally performed as expected during testing, both internally and externally, and we believe it continues to have potential clinical value as evidenced by the pre-clinical data submitted to the FDA, which allowed us to successfully apply for the Early Feasibility Study program administered by the FDA. However, the conflicting commercialization pathways between LIBERTY and the SCS due to different hospital call points, and the anticipated lengthier regulatory process of the SCS, led us to believe that focusing our strategic efforts on the LIBERTY Robotic System will provide us with a greater opportunity for success and future growth. We had been exploring opportunities with the SCS assets with the focus on maximizing shareholders value, including seeking buyers for the assets, entering into joint ventures, licensing arrangements, spinning-off the assets into a new operating company or discontinue the project altogether. However, as a result of our recently enacted core-business focus program and our cost reduction plan , we have been in contact with TRDF, the licensor of the technology, and intend to return the licensed intellectual property for the SCS (ViRob) back to TRDF in the second fiscal quarter of 2023 in accordance with the terms of its license agreement, as we have not been successful in any such possible other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exploring the use of the TipCAT for minimally invasive neurosurgical and endovascular applications to complement our other technologies. However, as a result of our recently enacted core-business focus program and our cost reduction plan , we have been in contact with TRDF, the licensor of the technology, and intend to return the licensed intellectual property for the TipCAT back to TRDF in the second fiscal quarter of 2023 in accordance with the terms of its license agreement, as we do not have the funds to continue to develop this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2023 and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three-month periods ended March 31, 2023 and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7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0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6"/>
              </w:rPr>
              <w:t>March 31,</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0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60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(1,617)</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(1,706)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(1,302)</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$1,617,000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2023, compared to approximately $1,706,000 for the comparable period in 2022. The decrease in research and development expenses for the period presented was primarily due to increases relating to the initial preparations to transfer the LIBERTY device from research &amp; development to low volume and controlled production (to be used for bench, animal and clinical trials), offset by decreases in payroll due to a decrease in the number of employees.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$1,302,000 for the three months ended March 31,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$1,470,000 for the comparable period in 2022. The decrease in general and administrative expenses for the period presented was primarily due to increases in travel and professional service expenses, offset by decreases in payroll expenses resulting from not recording a bonus accrual in the first fiscal quarter of 2023 and decreases in director and officer insurance premiums.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Financing Income (Expenses), net</w:t>
      </w:r>
      <w:r>
        <w:rPr>
          <w:rFonts w:ascii="Arial" w:cs="Arial" w:eastAsia="Arial" w:hAnsi="Arial"/>
          <w:sz w:val="18"/>
          <w:szCs w:val="18"/>
          <w:color w:val="auto"/>
        </w:rPr>
        <w:t>. Financing income was approximately $66,000 for the three months ended March 31, 2023, compared to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approximately $13,000 for the comparable period in 2022. The increase in financing income for the period presented was primarily due to an increase in interest income and unrealized gains from marketable securities offset by exchange rate expenses recorded due to the strengthening of the U.S. Dollar against the NIS.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all periods presented. As of March 31, 2023, Microbot had a net working capital of approximately $4,348,000, consisting primarily of cash and cash equivalents and marketable securities. This compares to net working capital of approximately $6,745,000 as of December 31, 2022. Microbot anticipates that it will continue to incur net losses for the foreseeable future as it continues research and development efforts of its primary product candidates and continues to incur costs associated with being a public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March 31, 2023, Microbot has raised net cash proceeds of approximately $59,000,000 and incurred a total cumulative loss of approximately $71,614,000. Microbot returned $3,375,000 (before interest) of such proceeds as a result of an adverse outcome in a litigation that concluded in the first quarter of 2020 and is now subject to an additional lawsuit seeking the return of an additional $6,750,000 of such proceeds. This litigation is in its discovery stages, and we cannot project what the eventual outcome will be, though management is vigorously defending its position that no return of capital is warranted.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March 31, 2023 in the total amount of approximately $1,500,000.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Microbot Israel is obligated to pay royalties amounting to 3%-3.5%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date, we have not generated revenues from our operations. As of March 31, 2023, we had unrestricted cash, cash equivalents and marketable securities of approximately $5,057,000, excluding encumbered cash, which management believes is sufficient to fund our operations for approximately four months from the filing date of this Quarterly Report on Form 10-Q, or through September 30, 2023, as a result of our recently enacted cost reduction plan. However, in the event we are unsuccessful in our current litigation discussed above, pursuant to which certain investors are seeking the return of $6,750,000 in proceeds we received from them in a 2017 stock offering, we will not have funds to continue our operation. As a result of the foregoing and our current cash position, these conditions raise substantial doubt about Microbot’s ability to continue as a going concern beyond approximately the next four months, which could adversely affect our ability to raise capital, expand our business and develop our planned products.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Microbot recently commenced a core-business focus program and a costreduction plan while it seeks to raise additional capital to continue development of the LIBERTY robotic system. See “Part II, Item 5. Other Information” below. As a result, Microbot will be unable, until it succeeds in raising substantial additional capital, to continue to fund its research and development activities relating to additional product candidates, and will need additional funds to continue the FDA approval process for the Liberty device after the third quarter of 2023. To the extent available, Microbot intends to raise capital through future issuances of debt and/or equity securities including registered offerings under its existing Registration Statement on Form S-3, which it may draw down from time to time subject to limitations on our use of Registration Statements on Form S-3 as a result of our public float.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If Microbot is not able to secure adequate additional working capital by June 30, 2023, it intends to make additional significant reductions in spending beyond those contemplated by its recently enacted cost reduction plan, extend payment terms with suppliers if available, liquidate assets if and where possible, further suspend or curtail planned research programs, or even shut down its business entirely.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141"/>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3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cash flows provided by (used in) investing activities</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2,883</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(16)</w:t>
            </w: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6"/>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jc w:val="right"/>
              <w:ind w:right="11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tcBorders>
          </w:tcPr>
          <w:p>
            <w:pPr>
              <w:jc w:val="right"/>
              <w:ind w:right="112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top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used in operating activities for the three months ended March 31, 2023 were approximately $3,203,000, calculated by adjusting our net loss from operations by approximately $350,000. Cash used in operating activities for the three months ended March 31, 2022 was approximately $3,007,000, similarly adjusted by approximately $182,000. The increase in net cash flows used in operating activities was due to the timing of payroll payments, whereby payments related to our March 2023 payroll were paid within the fiscal quarter and payments related to our March 2022 payroll were paid on April 1,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Net cash flows from investing activities for the three months ended March 31, 2023 were approximately $2,883,000, resulting from proceeds from sale of a marketable security, maturities of marketable securities and short term deposit in the amount of $3,521,000, offset by purchase of a marketable security in the amount of $638,000, compared to net cash flows used in investing activities in the prior comparable period as a result of purchase of property and equipment in the amount of $16,000.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March 31, 2023 and December 31, 2022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2023. Based on that review and evaluation, the Chief Executive Officer and Chief Financial Officer, along with the management of the Company, have determined that as of March 31, 2023,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are currently in the discovery phase. Management is unable to assess the likelihood that we will succeed at trial with respect to the SPA or the Financing, having previously lost another lawsuit with respect to the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Mona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28, 2019, Alliance filed a motion for summary judgment requesting that the Court dismiss the claims against Alliance, which was subsequently granted by the Court.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September 17, 2020, the Court issued a Memorandum Decision &amp; Order that, among other things, granted Alliance’s summary judgment motion.</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30, 2021, the Court issued an Order; and on March 31, 2021, the Clerk entered Judgement against Joseph Mona and in favor of Microbot in the amount of $484,614.30. On April 27, 2021, Mona filed an appeal of the Court’s Judgment, which is pending before the U.S. Court of Appeals for the Second Circuit.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the Magistrate issued an order permitting Mona to file an Amended Counterclaim Complaint, and rejected our request to execute on the Judgment. We filed a response to Mona’s amended counterclaim on July 21, 2021, and in February 2023 filed a motion for summary judgment on Mona’s fraud claim on the basis of inability to demonstrate reliance or loss causation. The motion was fully briefed and submitted on May 1, 2023.</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12, 2023, Mona filed a motion to dismiss our 16(b) claim based on a decision issued by a Magistrate Judge in an unrelated case, which held that 16(b) plaintiffs must allege an “injury in fact” resulting from a defendant’s short swing trading violation. That decision is currently on appeal, and we believe Mona’s motion is meritless. We intend to oppose the motion, which is scheduled to be fully briefed on May 24, 2023.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regarding on our ability to continue as a 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stated elsewhere in this Quarterly Report on Form 10-Q, we have not generated any revenues, have sustained losses and have accumulated a significant deficit since our inception. Also, we estimate that our cash resources as of March 31, 2023 are only sufficient to fund our operations for approximately four months from the filing date of this Quarterly Report, or through September 30, 2023, as a result of our recently enacted cost reduction plan. As a result, our continued existence is dependent upon our ability to obtain additional debt or equity financing and to ultimately become a commercially viable organization.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four months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four months, which could adversely affect our ability to raise capital, expand our business and develop our planned products.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capital resources and we may not obtain the significant additional capital needed to sustain our research and development efforts or continue our business.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limited liquidity and capital resources and, even with the recent implementation of our cost reduction plan, must obtain significant additional capital resources in order to sustain our remaining ongoing product development efforts, continue preclinical and clinical testing of our products, pursue regulatory approvals, acquire and sustain capital equipment, laboratory and office facilities, establish production capabilities, maintain and enforce our intellectual property portfolio, and support our general and administrative expenses and other working capital requirements. We rely on cash reserves and proceeds from equity and debt offerings, and government grants, if obtainable, to fund our operations.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intend to pursue opportunities for additional fundraising in the future through equity or debt financings, corporate alliances or combinations, grants or collaborative research arrangements, sales or dispositions of assets, or any combination of these. However, the source, timing and availability of any future fundraising will depend principally upon market conditions, and, more specifically, on progress in our research and development programs. Funding may not be available when needed — at all or on terms acceptable to us. While we are managing our programs and resources in order to conserve cash while we pursue and identify fundraising opportunities, our existing capital resources are not be sufficient to fund our operations beyond the next fiscal quarter. Lack of necessary funds has already forced us, among other things, to delay, scale back or eliminate some of our research and product development programs, planned clinical trials, and/or our capital expenditures. If we exhaust our cash reserves and are unable to realize adequate additional fundraising, we will be unable to meet operating obligations and be required to initiate bankruptcy proceedings, delay, scale back or eliminate some or all of our remaining research and product development programs, or even shut down operations entirely.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Core-Business Focus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2023, the Board of Directors of the Company authorized, and the Company commenced, a core-business focus program while the Company seeks to raise additional capital to continue development of the LIBERTY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TRDF.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Reduction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15, 2023, in addition to the core-business focus program described above, the Board of Directors of the Company authorized, and the Company commenced, a cost reduction plan while the Company seeks to raise additional capital to continue development of the LIBERTY robotic system. This cost reduction plan includes:</w:t>
      </w:r>
    </w:p>
    <w:p>
      <w:pPr>
        <w:spacing w:after="0" w:line="184"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its research &amp; development and regulatory efforts to complete the LIBERTY’s verification and validation process (“V&amp;V”), complete robotics build-up and execute first in human cases outside the USA.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Postpone a GLP study for LIBERTY until the completion of the V&amp;V.</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Harel Gadot, Chairman, President and CEO of the Company, has agreed to a reduction of 50% of his base salary, with terms and conditions with respect to the reduction period to be determined.</w:t>
      </w: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executive officers have agreed to a reduction of 30-40% of base salary, with terms and conditions with respect to the reduction period to be determined.</w:t>
      </w:r>
    </w:p>
    <w:p>
      <w:pPr>
        <w:sectPr>
          <w:pgSz w:w="11900" w:h="16880" w:orient="portrait"/>
          <w:cols w:equalWidth="0" w:num="1">
            <w:col w:w="11240"/>
          </w:cols>
          <w:pgMar w:left="320" w:top="665" w:right="339" w:bottom="0" w:gutter="0" w:footer="0" w:header="0"/>
        </w:sectPr>
      </w:pPr>
    </w:p>
    <w:bookmarkStart w:id="23" w:name="page24"/>
    <w:bookmarkEnd w:id="23"/>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independent members of the Board of Directors have agreed to a suspension of their director fees, with reinstatement of such fees to be determined.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its Scientific Advisory Board, will waive his SAB fees, with fees payable to the remaining SAB members to be restructured.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Postpone CE activities for the LIBERTY device.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the savings generated from such cost-reduction activities will enable us to continue the V&amp;V and first-in-human cases planned in Brazil or elsewhere, through September 30, 2023, while we continue to seek new sources of financings to stabilize our finances. We may commence a second round of cost-cutting in the event we are unsuccessful in raising capital by June 30, 2023. In the event the Company is not successful in raising additional capital by September 30, 2023, or if the results of the verification and validation study and first-in-human trials are not promising, the Company may be forced to take more drastic actions to conserve capital or shut down operations entirely.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CardioSert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17, 2023, we send a Notice of Termination of Agreement with respect to our agreement with CardioSert dated January 4, 2018. The termination, which will be effective as of August 17, 2023 in accordance with the terms of the agreement, also provides for the cessation as of May 23, 2023 of consulting services CardioSert has been providing to us with respect to that technology. As a result of the termination and other matters, CardioSert may re-acquire our One-and-Done (former CardioSert) technology for nominal consideration. As of the filing date of this Quarterly Report on Form 10-Q, CardioSert has not purchased back such technology.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tcBorders>
              <w:bottom w:val="single" w:sz="8" w:color="0000EE"/>
            </w:tcBorders>
            <w:gridSpan w:val="23"/>
          </w:tcPr>
          <w:p>
            <w:pPr>
              <w:spacing w:after="0"/>
              <w:rPr>
                <w:rFonts w:ascii="Arial" w:cs="Arial" w:eastAsia="Arial" w:hAnsi="Arial"/>
                <w:sz w:val="18"/>
                <w:szCs w:val="18"/>
                <w:color w:val="0000EE"/>
                <w:w w:val="95"/>
              </w:rPr>
            </w:pPr>
            <w:hyperlink r:id="rId33">
              <w:r>
                <w:rPr>
                  <w:rFonts w:ascii="Arial" w:cs="Arial" w:eastAsia="Arial" w:hAnsi="Arial"/>
                  <w:sz w:val="18"/>
                  <w:szCs w:val="18"/>
                  <w:color w:val="0000EE"/>
                  <w:w w:val="95"/>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Microbot Medical Ltd. (incorporated by reference to the Company’s Current Report on Form 8-K filed on August 15, 2016).</w:t>
              </w:r>
            </w:hyperlink>
          </w:p>
        </w:tc>
        <w:tc>
          <w:tcPr>
            <w:tcW w:w="130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Restated Certificate of Incorporation of the Company (incorporated by reference to the Company’s Annual Report on Form 10-K for the fiscal</w:t>
              </w:r>
            </w:hyperlink>
          </w:p>
        </w:tc>
      </w:tr>
      <w:tr>
        <w:trPr>
          <w:trHeight w:val="196"/>
        </w:trPr>
        <w:tc>
          <w:tcPr>
            <w:tcW w:w="9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Report on Form 8-K filed on November 29, 2016).</w:t>
              </w:r>
            </w:hyperlink>
          </w:p>
        </w:tc>
        <w:tc>
          <w:tcPr>
            <w:tcW w:w="660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37">
              <w:r>
                <w:rPr>
                  <w:rFonts w:ascii="Arial" w:cs="Arial" w:eastAsia="Arial" w:hAnsi="Arial"/>
                  <w:sz w:val="18"/>
                  <w:szCs w:val="18"/>
                  <w:color w:val="0000EE"/>
                  <w:w w:val="86"/>
                </w:rPr>
                <w:t>2016).</w:t>
              </w:r>
            </w:hyperlink>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4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Certificate of Elimination (incorporated by reference to the Company’s Current Report on Form 8-K filed on December 12, 2018).</w:t>
              </w:r>
            </w:hyperlink>
          </w:p>
        </w:tc>
        <w:tc>
          <w:tcPr>
            <w:tcW w:w="86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Report on Form 8-K filed on May 3, 2021).</w:t>
              </w:r>
            </w:hyperlink>
          </w:p>
        </w:tc>
        <w:tc>
          <w:tcPr>
            <w:tcW w:w="712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0260" w:type="dxa"/>
            <w:vAlign w:val="bottom"/>
            <w:gridSpan w:val="23"/>
          </w:tcPr>
          <w:p>
            <w:pPr>
              <w:spacing w:after="0" w:line="196" w:lineRule="exact"/>
              <w:rPr>
                <w:rFonts w:ascii="Arial" w:cs="Arial" w:eastAsia="Arial" w:hAnsi="Arial"/>
                <w:sz w:val="18"/>
                <w:szCs w:val="18"/>
                <w:color w:val="0000EE"/>
                <w:w w:val="98"/>
              </w:rPr>
            </w:pPr>
            <w:hyperlink r:id="rId41">
              <w:r>
                <w:rPr>
                  <w:rFonts w:ascii="Arial" w:cs="Arial" w:eastAsia="Arial" w:hAnsi="Arial"/>
                  <w:sz w:val="18"/>
                  <w:szCs w:val="18"/>
                  <w:color w:val="0000EE"/>
                  <w:w w:val="98"/>
                </w:rPr>
                <w:t>Form of Series A Warrant (incorporated by reference to the Registrant’s Current Report on Form 8-K filed on December 16, 2016).</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Form of Series B Warrant (incorporated by reference to the Company’s Current Report on Form 8-K filed on December 16, 2016).</w:t>
              </w:r>
            </w:hyperlink>
          </w:p>
        </w:tc>
        <w:tc>
          <w:tcPr>
            <w:tcW w:w="20" w:type="dxa"/>
            <w:vAlign w:val="bottom"/>
            <w:tcBorders>
              <w:top w:val="single" w:sz="8" w:color="0000EE"/>
            </w:tcBorders>
          </w:tcPr>
          <w:p>
            <w:pPr>
              <w:spacing w:after="0"/>
              <w:rPr>
                <w:sz w:val="17"/>
                <w:szCs w:val="17"/>
                <w:color w:val="auto"/>
              </w:rPr>
            </w:pPr>
          </w:p>
        </w:tc>
        <w:tc>
          <w:tcPr>
            <w:tcW w:w="84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0260" w:type="dxa"/>
            <w:vAlign w:val="bottom"/>
            <w:gridSpan w:val="23"/>
          </w:tcPr>
          <w:p>
            <w:pPr>
              <w:spacing w:after="0" w:line="196"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Form of Wainwright Warrant (incorporated by reference to the Registrant’s Current Report on Form 8-K filed on January 16,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95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Form of Wainwright Warrant (incorporated by reference to the Registrant’s Current Report on Form 8-K filed on January 17, 2019).</w:t>
              </w:r>
            </w:hyperlink>
          </w:p>
        </w:tc>
        <w:tc>
          <w:tcPr>
            <w:tcW w:w="7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0260" w:type="dxa"/>
            <w:vAlign w:val="bottom"/>
            <w:gridSpan w:val="23"/>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of Warrant (incorporated by reference to the Registrant’s Current Report on Form 8-K filed on January 25,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0260" w:type="dxa"/>
            <w:vAlign w:val="bottom"/>
            <w:gridSpan w:val="23"/>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of Warrant (incorporated by reference to the Registrant’s Current Report on Form 8-K filed on December 27,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0260" w:type="dxa"/>
            <w:vAlign w:val="bottom"/>
            <w:gridSpan w:val="23"/>
          </w:tcPr>
          <w:p>
            <w:pPr>
              <w:spacing w:after="0" w:line="196" w:lineRule="exact"/>
              <w:rPr>
                <w:rFonts w:ascii="Arial" w:cs="Arial" w:eastAsia="Arial" w:hAnsi="Arial"/>
                <w:sz w:val="18"/>
                <w:szCs w:val="18"/>
                <w:color w:val="0000EE"/>
                <w:w w:val="97"/>
              </w:rPr>
            </w:pPr>
            <w:hyperlink r:id="rId47">
              <w:r>
                <w:rPr>
                  <w:rFonts w:ascii="Arial" w:cs="Arial" w:eastAsia="Arial" w:hAnsi="Arial"/>
                  <w:sz w:val="18"/>
                  <w:szCs w:val="18"/>
                  <w:color w:val="0000EE"/>
                  <w:w w:val="97"/>
                </w:rPr>
                <w:t>Form of Wainwright Warrants (incorporated by reference to the Registrant’s Current Report on Form 8-K filed on January 25, 2019).</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9560" w:type="dxa"/>
            <w:vAlign w:val="bottom"/>
            <w:tcBorders>
              <w:top w:val="single" w:sz="8" w:color="0000EE"/>
            </w:tcBorders>
            <w:gridSpan w:val="22"/>
          </w:tcPr>
          <w:p>
            <w:pPr>
              <w:spacing w:after="0" w:line="196"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Form of Warrant (incorporated by reference to the Registrant’s Current Report on Form 8-K filed on December 30, 2019).</w:t>
              </w:r>
            </w:hyperlink>
          </w:p>
        </w:tc>
        <w:tc>
          <w:tcPr>
            <w:tcW w:w="7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10260" w:type="dxa"/>
            <w:vAlign w:val="bottom"/>
            <w:gridSpan w:val="23"/>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Form of Warrant (incorporated by reference to the Registrant’s Current Report on Form 8-K filed on December 31,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102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Description of the Company’s Securities (incorporated by reference to the Registrant’s Annual Report on Form 10-K for the fiscal year ended</w:t>
              </w:r>
            </w:hyperlink>
          </w:p>
        </w:tc>
      </w:tr>
      <w:tr>
        <w:trPr>
          <w:trHeight w:val="196"/>
        </w:trPr>
        <w:tc>
          <w:tcPr>
            <w:tcW w:w="98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December 31, 2019).</w:t>
              </w:r>
            </w:hyperlink>
          </w:p>
        </w:tc>
        <w:tc>
          <w:tcPr>
            <w:tcW w:w="874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10260" w:type="dxa"/>
            <w:vAlign w:val="bottom"/>
            <w:gridSpan w:val="23"/>
          </w:tcPr>
          <w:p>
            <w:pPr>
              <w:spacing w:after="0" w:line="196" w:lineRule="exact"/>
              <w:rPr>
                <w:rFonts w:ascii="Arial" w:cs="Arial" w:eastAsia="Arial" w:hAnsi="Arial"/>
                <w:sz w:val="18"/>
                <w:szCs w:val="18"/>
                <w:color w:val="0000EE"/>
                <w:w w:val="98"/>
              </w:rPr>
            </w:pPr>
            <w:hyperlink r:id="rId51">
              <w:r>
                <w:rPr>
                  <w:rFonts w:ascii="Arial" w:cs="Arial" w:eastAsia="Arial" w:hAnsi="Arial"/>
                  <w:sz w:val="18"/>
                  <w:szCs w:val="18"/>
                  <w:color w:val="0000EE"/>
                  <w:w w:val="98"/>
                </w:rPr>
                <w:t>Form of Pre-Funded Warrant (incorporated by reference to the Registrant’s Current Report on Form 8-K filed on October 25, 2022)</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4.12</w:t>
            </w: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52">
              <w:r>
                <w:rPr>
                  <w:rFonts w:ascii="Arial" w:cs="Arial" w:eastAsia="Arial" w:hAnsi="Arial"/>
                  <w:sz w:val="18"/>
                  <w:szCs w:val="18"/>
                  <w:color w:val="0000EE"/>
                  <w:w w:val="93"/>
                </w:rPr>
                <w:t>Form of Series A Warrant (incorporated by reference to the Registrant’s Current Report on Form 8-K filed on October 25, 2022)</w:t>
              </w:r>
            </w:hyperlink>
          </w:p>
        </w:tc>
        <w:tc>
          <w:tcPr>
            <w:tcW w:w="80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4.13</w:t>
            </w:r>
          </w:p>
        </w:tc>
        <w:tc>
          <w:tcPr>
            <w:tcW w:w="92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Form of Series B Warrant (incorporated by reference to the Registrant’s Current Report on Form 8-K filed on October 25, 2022)</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4.14</w:t>
            </w:r>
          </w:p>
        </w:tc>
        <w:tc>
          <w:tcPr>
            <w:tcW w:w="10260" w:type="dxa"/>
            <w:vAlign w:val="bottom"/>
            <w:gridSpan w:val="23"/>
          </w:tcPr>
          <w:p>
            <w:pPr>
              <w:spacing w:after="0" w:line="196"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Form of Wainwright Warrant (incorporated by reference to the Registrant’s Current Report on Form 8-K filed on October 25, 2022)</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4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Certification of Harel Gadot, Chairman, President and Chief Executive Officer</w:t>
            </w:r>
          </w:p>
        </w:tc>
        <w:tc>
          <w:tcPr>
            <w:tcW w:w="8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Certification of Rachel Vaknin, Chief Financial Officer</w:t>
            </w:r>
          </w:p>
        </w:tc>
        <w:tc>
          <w:tcPr>
            <w:tcW w:w="460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2"/>
              </w:rPr>
              <w:t>Certification of Harel Gadot, Chairman, President and Chief Executive Officer, pursuant to 18 U.S.C. Section 1350, as adopted pursuant to</w:t>
            </w:r>
          </w:p>
        </w:tc>
      </w:tr>
      <w:tr>
        <w:trPr>
          <w:trHeight w:val="196"/>
        </w:trPr>
        <w:tc>
          <w:tcPr>
            <w:tcW w:w="980" w:type="dxa"/>
            <w:vAlign w:val="bottom"/>
          </w:tcPr>
          <w:p>
            <w:pPr>
              <w:spacing w:after="0"/>
              <w:rPr>
                <w:sz w:val="17"/>
                <w:szCs w:val="17"/>
                <w:color w:val="auto"/>
              </w:rPr>
            </w:pPr>
          </w:p>
        </w:tc>
        <w:tc>
          <w:tcPr>
            <w:tcW w:w="10260" w:type="dxa"/>
            <w:vAlign w:val="bottom"/>
            <w:gridSpan w:val="23"/>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98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860" w:type="dxa"/>
            <w:vAlign w:val="bottom"/>
            <w:gridSpan w:val="16"/>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6"/>
              </w:rPr>
              <w:t>Certification of Rachel Vaknin, Chief Financial Officer, pursuant to 18 U.S.C. Section 1350, as adopted pursuant to Section 906 of the</w:t>
            </w:r>
          </w:p>
        </w:tc>
      </w:tr>
      <w:tr>
        <w:trPr>
          <w:trHeight w:val="196"/>
        </w:trPr>
        <w:tc>
          <w:tcPr>
            <w:tcW w:w="980" w:type="dxa"/>
            <w:vAlign w:val="bottom"/>
          </w:tcPr>
          <w:p>
            <w:pPr>
              <w:spacing w:after="0"/>
              <w:rPr>
                <w:sz w:val="17"/>
                <w:szCs w:val="17"/>
                <w:color w:val="auto"/>
              </w:rPr>
            </w:pPr>
          </w:p>
        </w:tc>
        <w:tc>
          <w:tcPr>
            <w:tcW w:w="10260" w:type="dxa"/>
            <w:vAlign w:val="bottom"/>
            <w:gridSpan w:val="23"/>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98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8220" w:type="dxa"/>
            <w:vAlign w:val="bottom"/>
            <w:gridSpan w:val="20"/>
          </w:tcPr>
          <w:p>
            <w:pPr>
              <w:spacing w:after="0" w:line="20" w:lineRule="exact"/>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23"/>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23"/>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40" w:right="3740" w:hanging="5532"/>
        <w:spacing w:after="0" w:line="511" w:lineRule="auto"/>
        <w:tabs>
          <w:tab w:leader="none" w:pos="98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2023.</w:t>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Rachel Vaknin</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1032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220"/>
        <w:spacing w:after="0" w:line="255" w:lineRule="auto"/>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225"/>
        <w:spacing w:after="0" w:line="250" w:lineRule="auto"/>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220"/>
        <w:spacing w:after="0" w:line="281" w:lineRule="auto"/>
        <w:tabs>
          <w:tab w:leader="none" w:pos="1300" w:val="left"/>
        </w:tabs>
        <w:numPr>
          <w:ilvl w:val="2"/>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225"/>
        <w:spacing w:after="0" w:line="255" w:lineRule="auto"/>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2023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17, 2023</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Rachel Vaknin, Chief Financial Officer of Microbot Medical Inc., hereby certify, pursuant to 18 U.S.C. Section 1350, as adopted pursuant to Section 906 of the Sarbanes-Oxley Act of 2002, that to my knowledge, the quarterly report on Form 10-Q for the period ending March 31, 2023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17, 2023</w:t>
      </w:r>
      <w:r>
        <w:rPr>
          <w:sz w:val="20"/>
          <w:szCs w:val="20"/>
          <w:color w:val="auto"/>
        </w:rPr>
        <w:tab/>
      </w:r>
      <w:r>
        <w:rPr>
          <w:rFonts w:ascii="Arial" w:cs="Arial" w:eastAsia="Arial" w:hAnsi="Arial"/>
          <w:sz w:val="16"/>
          <w:szCs w:val="16"/>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Rachel Vaknin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33" Type="http://schemas.openxmlformats.org/officeDocument/2006/relationships/hyperlink" Target="https://www.sec.gov/Archives/edgar/data/883975/000119312516682077/d161430dex21.htm" TargetMode="External"/><Relationship Id="rId34" Type="http://schemas.openxmlformats.org/officeDocument/2006/relationships/hyperlink" Target="https://www.sec.gov/Archives/edgar/data/883975/000095013407005808/f27726exv3w1.htm" TargetMode="External"/><Relationship Id="rId35" Type="http://schemas.openxmlformats.org/officeDocument/2006/relationships/hyperlink" Target="https://www.sec.gov/Archives/edgar/data/883975/000119312516779729/d296933dex31.htm" TargetMode="External"/><Relationship Id="rId36" Type="http://schemas.openxmlformats.org/officeDocument/2006/relationships/hyperlink" Target="https://www.sec.gov/Archives/edgar/data/883975/000149315218012872/ex3-1.htm" TargetMode="External"/><Relationship Id="rId37" Type="http://schemas.openxmlformats.org/officeDocument/2006/relationships/hyperlink" Target="https://www.sec.gov/Archives/edgar/data/883975/000129993316002374/exhibit1.htm" TargetMode="External"/><Relationship Id="rId38" Type="http://schemas.openxmlformats.org/officeDocument/2006/relationships/hyperlink" Target="https://www.sec.gov/Archives/edgar/data/883975/000149315218017395/ex3-1.htm" TargetMode="External"/><Relationship Id="rId39" Type="http://schemas.openxmlformats.org/officeDocument/2006/relationships/hyperlink" Target="https://www.sec.gov/Archives/edgar/data/883975/000149315219013998/ex3-1.htm" TargetMode="External"/><Relationship Id="rId40" Type="http://schemas.openxmlformats.org/officeDocument/2006/relationships/hyperlink" Target="https://www.sec.gov/Archives/edgar/data/883975/000149315221010347/ex3-1.htm" TargetMode="External"/><Relationship Id="rId41" Type="http://schemas.openxmlformats.org/officeDocument/2006/relationships/hyperlink" Target="https://www.sec.gov/Archives/edgar/data/883975/000119312516501361/d68391dex41.htm" TargetMode="External"/><Relationship Id="rId42" Type="http://schemas.openxmlformats.org/officeDocument/2006/relationships/hyperlink" Target="https://www.sec.gov/Archives/edgar/data/883975/000119312516501361/d68391dex42.htm" TargetMode="External"/><Relationship Id="rId43" Type="http://schemas.openxmlformats.org/officeDocument/2006/relationships/hyperlink" Target="https://www.sec.gov/Archives/edgar/data/883975/000149315219000672/ex4-2.htm" TargetMode="External"/><Relationship Id="rId44" Type="http://schemas.openxmlformats.org/officeDocument/2006/relationships/hyperlink" Target="https://www.sec.gov/Archives/edgar/data/883975/000149315219000744/ex4-1.htm" TargetMode="External"/><Relationship Id="rId45" Type="http://schemas.openxmlformats.org/officeDocument/2006/relationships/hyperlink" Target="https://www.sec.gov/Archives/edgar/data/883975/000149315219000969/ex4-1.htm" TargetMode="External"/><Relationship Id="rId46" Type="http://schemas.openxmlformats.org/officeDocument/2006/relationships/hyperlink" Target="https://www.sec.gov/Archives/edgar/data/883975/000149315219019746/ex4-1.htm" TargetMode="External"/><Relationship Id="rId47" Type="http://schemas.openxmlformats.org/officeDocument/2006/relationships/hyperlink" Target="https://www.sec.gov/Archives/edgar/data/883975/000149315219000969/ex4-2.htm" TargetMode="External"/><Relationship Id="rId48" Type="http://schemas.openxmlformats.org/officeDocument/2006/relationships/hyperlink" Target="https://www.sec.gov/Archives/edgar/data/883975/000149315219019824/ex4-1.htm" TargetMode="External"/><Relationship Id="rId49" Type="http://schemas.openxmlformats.org/officeDocument/2006/relationships/hyperlink" Target="https://www.sec.gov/Archives/edgar/data/883975/000149315219019906/ex4-1.htm" TargetMode="External"/><Relationship Id="rId50" Type="http://schemas.openxmlformats.org/officeDocument/2006/relationships/hyperlink" Target="https://www.sec.gov/Archives/edgar/data/883975/000149315220006338/ex4-10.htm" TargetMode="External"/><Relationship Id="rId51" Type="http://schemas.openxmlformats.org/officeDocument/2006/relationships/hyperlink" Target="https://www.sec.gov/Archives/edgar/data/883975/000149315222029541/ex4-1.htm" TargetMode="External"/><Relationship Id="rId52" Type="http://schemas.openxmlformats.org/officeDocument/2006/relationships/hyperlink" Target="https://www.sec.gov/Archives/edgar/data/883975/000149315222029541/ex4-2.htm" TargetMode="External"/><Relationship Id="rId53" Type="http://schemas.openxmlformats.org/officeDocument/2006/relationships/hyperlink" Target="https://www.sec.gov/Archives/edgar/data/883975/000149315222029541/ex4-3.htm" TargetMode="External"/><Relationship Id="rId54" Type="http://schemas.openxmlformats.org/officeDocument/2006/relationships/hyperlink" Target="https://www.sec.gov/Archives/edgar/data/883975/000149315222029541/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2023-05-17T16:06:08Z</dcterms:created>
  <dcterms:modified xsi:type="dcterms:W3CDTF">2023-05-17T16:06:08Z</dcterms:modified>
</cp:coreProperties>
</file>