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November 18, 2008</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StemCells,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2183130</wp:posOffset>
            </wp:positionH>
            <wp:positionV relativeFrom="paragraph">
              <wp:posOffset>39370</wp:posOffset>
            </wp:positionV>
            <wp:extent cx="28987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4000" w:type="dxa"/>
            <w:vAlign w:val="bottom"/>
            <w:gridSpan w:val="2"/>
          </w:tcPr>
          <w:p>
            <w:pPr>
              <w:jc w:val="center"/>
              <w:ind w:left="490"/>
              <w:spacing w:after="0"/>
              <w:rPr>
                <w:sz w:val="20"/>
                <w:szCs w:val="20"/>
                <w:color w:val="auto"/>
              </w:rPr>
            </w:pPr>
            <w:r>
              <w:rPr>
                <w:rFonts w:ascii="Arial" w:cs="Arial" w:eastAsia="Arial" w:hAnsi="Arial"/>
                <w:sz w:val="18"/>
                <w:szCs w:val="18"/>
                <w:b w:val="1"/>
                <w:bCs w:val="1"/>
                <w:color w:val="auto"/>
                <w:w w:val="90"/>
              </w:rPr>
              <w:t>000-19871</w:t>
            </w:r>
          </w:p>
        </w:tc>
        <w:tc>
          <w:tcPr>
            <w:tcW w:w="3980" w:type="dxa"/>
            <w:vAlign w:val="bottom"/>
            <w:gridSpan w:val="2"/>
          </w:tcPr>
          <w:p>
            <w:pPr>
              <w:jc w:val="right"/>
              <w:ind w:right="1190"/>
              <w:spacing w:after="0"/>
              <w:rPr>
                <w:sz w:val="20"/>
                <w:szCs w:val="20"/>
                <w:color w:val="auto"/>
              </w:rPr>
            </w:pPr>
            <w:r>
              <w:rPr>
                <w:rFonts w:ascii="Arial" w:cs="Arial" w:eastAsia="Arial" w:hAnsi="Arial"/>
                <w:sz w:val="18"/>
                <w:szCs w:val="18"/>
                <w:b w:val="1"/>
                <w:bCs w:val="1"/>
                <w:color w:val="auto"/>
              </w:rPr>
              <w:t>94-3078125</w:t>
            </w:r>
          </w:p>
        </w:tc>
      </w:tr>
      <w:tr>
        <w:trPr>
          <w:trHeight w:val="209"/>
        </w:trPr>
        <w:tc>
          <w:tcPr>
            <w:tcW w:w="34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(State or other jurisdiction</w:t>
            </w:r>
          </w:p>
        </w:tc>
        <w:tc>
          <w:tcPr>
            <w:tcW w:w="580" w:type="dxa"/>
            <w:vAlign w:val="bottom"/>
          </w:tcPr>
          <w:p>
            <w:pPr>
              <w:spacing w:after="0"/>
              <w:rPr>
                <w:sz w:val="18"/>
                <w:szCs w:val="18"/>
                <w:color w:val="auto"/>
              </w:rPr>
            </w:pPr>
          </w:p>
        </w:tc>
        <w:tc>
          <w:tcPr>
            <w:tcW w:w="3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(Commission</w:t>
            </w:r>
          </w:p>
        </w:tc>
        <w:tc>
          <w:tcPr>
            <w:tcW w:w="560" w:type="dxa"/>
            <w:vAlign w:val="bottom"/>
          </w:tcPr>
          <w:p>
            <w:pPr>
              <w:spacing w:after="0"/>
              <w:rPr>
                <w:sz w:val="18"/>
                <w:szCs w:val="18"/>
                <w:color w:val="auto"/>
              </w:rPr>
            </w:pPr>
          </w:p>
        </w:tc>
        <w:tc>
          <w:tcPr>
            <w:tcW w:w="3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(I.R.S. Employer</w:t>
            </w:r>
          </w:p>
        </w:tc>
      </w:tr>
      <w:tr>
        <w:trPr>
          <w:trHeight w:val="230"/>
        </w:trPr>
        <w:tc>
          <w:tcPr>
            <w:tcW w:w="3440" w:type="dxa"/>
            <w:vAlign w:val="bottom"/>
          </w:tcPr>
          <w:p>
            <w:pPr>
              <w:jc w:val="center"/>
              <w:spacing w:after="0"/>
              <w:rPr>
                <w:sz w:val="20"/>
                <w:szCs w:val="20"/>
                <w:color w:val="auto"/>
              </w:rPr>
            </w:pPr>
            <w:r>
              <w:rPr>
                <w:rFonts w:ascii="Arial" w:cs="Arial" w:eastAsia="Arial" w:hAnsi="Arial"/>
                <w:sz w:val="18"/>
                <w:szCs w:val="18"/>
                <w:color w:val="auto"/>
                <w:w w:val="93"/>
              </w:rPr>
              <w:t>of incorporation)</w:t>
            </w:r>
          </w:p>
        </w:tc>
        <w:tc>
          <w:tcPr>
            <w:tcW w:w="580" w:type="dxa"/>
            <w:vAlign w:val="bottom"/>
          </w:tcPr>
          <w:p>
            <w:pPr>
              <w:spacing w:after="0"/>
              <w:rPr>
                <w:sz w:val="20"/>
                <w:szCs w:val="20"/>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94"/>
              </w:rPr>
              <w:t>File Number)</w:t>
            </w:r>
          </w:p>
        </w:tc>
        <w:tc>
          <w:tcPr>
            <w:tcW w:w="560" w:type="dxa"/>
            <w:vAlign w:val="bottom"/>
          </w:tcPr>
          <w:p>
            <w:pPr>
              <w:spacing w:after="0"/>
              <w:rPr>
                <w:sz w:val="20"/>
                <w:szCs w:val="20"/>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32"/>
        </w:trPr>
        <w:tc>
          <w:tcPr>
            <w:tcW w:w="3440" w:type="dxa"/>
            <w:vAlign w:val="bottom"/>
          </w:tcPr>
          <w:p>
            <w:pPr>
              <w:jc w:val="center"/>
              <w:spacing w:after="0"/>
              <w:rPr>
                <w:sz w:val="20"/>
                <w:szCs w:val="20"/>
                <w:color w:val="auto"/>
              </w:rPr>
            </w:pPr>
            <w:r>
              <w:rPr>
                <w:rFonts w:ascii="Arial" w:cs="Arial" w:eastAsia="Arial" w:hAnsi="Arial"/>
                <w:sz w:val="18"/>
                <w:szCs w:val="18"/>
                <w:b w:val="1"/>
                <w:bCs w:val="1"/>
                <w:color w:val="auto"/>
                <w:w w:val="92"/>
              </w:rPr>
              <w:t>3155 Porter Drive, Palo Alto, California</w:t>
            </w:r>
          </w:p>
        </w:tc>
        <w:tc>
          <w:tcPr>
            <w:tcW w:w="5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3980" w:type="dxa"/>
            <w:vAlign w:val="bottom"/>
            <w:gridSpan w:val="2"/>
          </w:tcPr>
          <w:p>
            <w:pPr>
              <w:jc w:val="right"/>
              <w:ind w:right="1390"/>
              <w:spacing w:after="0"/>
              <w:rPr>
                <w:sz w:val="20"/>
                <w:szCs w:val="20"/>
                <w:color w:val="auto"/>
              </w:rPr>
            </w:pPr>
            <w:r>
              <w:rPr>
                <w:rFonts w:ascii="Arial" w:cs="Arial" w:eastAsia="Arial" w:hAnsi="Arial"/>
                <w:sz w:val="18"/>
                <w:szCs w:val="18"/>
                <w:b w:val="1"/>
                <w:bCs w:val="1"/>
                <w:color w:val="auto"/>
              </w:rPr>
              <w:t>94304</w:t>
            </w:r>
          </w:p>
        </w:tc>
      </w:tr>
      <w:tr>
        <w:trPr>
          <w:trHeight w:val="224"/>
        </w:trPr>
        <w:tc>
          <w:tcPr>
            <w:tcW w:w="34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58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(Zip Code)</w:t>
            </w: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650.475.3100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1814830</wp:posOffset>
            </wp:positionH>
            <wp:positionV relativeFrom="paragraph">
              <wp:posOffset>-130175</wp:posOffset>
            </wp:positionV>
            <wp:extent cx="36277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9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0"/>
          <w:szCs w:val="20"/>
          <w:color w:val="auto"/>
        </w:rPr>
      </w:pPr>
    </w:p>
    <w:p>
      <w:pPr>
        <w:ind w:left="280" w:hanging="272"/>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 w:name="page3"/>
    <w:bookmarkEnd w:id="2"/>
    <w:p>
      <w:pPr>
        <w:jc w:val="right"/>
        <w:ind w:right="3339"/>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ind w:left="320"/>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8.01. Other Events.</w:t>
        </w:r>
      </w:hyperlink>
    </w:p>
    <w:p>
      <w:pPr>
        <w:ind w:left="320"/>
        <w:spacing w:after="0" w:line="238" w:lineRule="auto"/>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9.01. Financial Statements and Exhibits.</w:t>
        </w:r>
      </w:hyperlink>
    </w:p>
    <w:p>
      <w:pPr>
        <w:spacing w:after="0" w:line="230"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SIGNATURES</w:t>
        </w:r>
      </w:hyperlink>
    </w:p>
    <w:p>
      <w:pPr>
        <w:spacing w:after="0" w:line="231" w:lineRule="auto"/>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Exhibit Index</w:t>
        </w:r>
      </w:hyperlink>
    </w:p>
    <w:p>
      <w:pPr>
        <w:spacing w:after="0" w:line="231" w:lineRule="auto"/>
        <w:rPr>
          <w:sz w:val="20"/>
          <w:szCs w:val="20"/>
          <w:color w:val="auto"/>
        </w:rPr>
      </w:pPr>
      <w:r>
        <w:rPr>
          <w:rFonts w:ascii="Arial" w:cs="Arial" w:eastAsia="Arial" w:hAnsi="Arial"/>
          <w:sz w:val="22"/>
          <w:szCs w:val="22"/>
          <w:u w:val="single" w:color="auto"/>
          <w:color w:val="0000EE"/>
        </w:rPr>
        <w:t>EX-99.1</w:t>
      </w:r>
    </w:p>
    <w:p>
      <w:pPr>
        <w:spacing w:after="0"/>
        <w:rPr>
          <w:sz w:val="20"/>
          <w:szCs w:val="20"/>
          <w:color w:val="auto"/>
        </w:rPr>
      </w:pPr>
      <w:r>
        <w:rPr>
          <w:rFonts w:ascii="Arial" w:cs="Arial" w:eastAsia="Arial" w:hAnsi="Arial"/>
          <w:sz w:val="22"/>
          <w:szCs w:val="22"/>
          <w:u w:val="single" w:color="auto"/>
          <w:color w:val="0000EE"/>
        </w:rPr>
        <w:t>EX-99.2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1"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121" w:lineRule="exact"/>
        <w:rPr>
          <w:sz w:val="20"/>
          <w:szCs w:val="20"/>
          <w:color w:val="auto"/>
        </w:rPr>
      </w:pPr>
    </w:p>
    <w:p>
      <w:pPr>
        <w:ind w:right="380" w:firstLine="225"/>
        <w:spacing w:after="0" w:line="264" w:lineRule="auto"/>
        <w:rPr>
          <w:sz w:val="20"/>
          <w:szCs w:val="20"/>
          <w:color w:val="auto"/>
        </w:rPr>
      </w:pPr>
      <w:r>
        <w:rPr>
          <w:rFonts w:ascii="Arial" w:cs="Arial" w:eastAsia="Arial" w:hAnsi="Arial"/>
          <w:sz w:val="18"/>
          <w:szCs w:val="18"/>
          <w:color w:val="auto"/>
        </w:rPr>
        <w:t>On November 18, 2008, StemCells, Inc. (the “Company”) announced that, on November 17, 2008, the Company sold and issued to certain investors 13,793,104 shares of Common Stock and warrants to purchase up to 10,344,828 shares of Common Stock (the “Offering”). The terms of the Offering are described in the Company’s Form 8-K filed on November 12, 2008.</w:t>
      </w:r>
    </w:p>
    <w:p>
      <w:pPr>
        <w:spacing w:after="0" w:line="73" w:lineRule="exact"/>
        <w:rPr>
          <w:sz w:val="20"/>
          <w:szCs w:val="20"/>
          <w:color w:val="auto"/>
        </w:rPr>
      </w:pPr>
    </w:p>
    <w:p>
      <w:pPr>
        <w:ind w:right="160" w:firstLine="225"/>
        <w:spacing w:after="0" w:line="264" w:lineRule="auto"/>
        <w:rPr>
          <w:sz w:val="20"/>
          <w:szCs w:val="20"/>
          <w:color w:val="auto"/>
        </w:rPr>
      </w:pPr>
      <w:r>
        <w:rPr>
          <w:rFonts w:ascii="Arial" w:cs="Arial" w:eastAsia="Arial" w:hAnsi="Arial"/>
          <w:sz w:val="18"/>
          <w:szCs w:val="18"/>
          <w:color w:val="auto"/>
        </w:rPr>
        <w:t>In connection with the consummation of the Offering, the Company is hereby furnishing, as Exhibit 99.1 to this Current Report on Form 8-K, the section entitled “Risk Factors”, as disclosed in the Company’s Prospectus Supplement filed on November 12, 2008, for the purpose of updating the Company’s disclosures under the Securities Exchange Act of 1934.</w:t>
      </w:r>
    </w:p>
    <w:p>
      <w:pPr>
        <w:spacing w:after="0" w:line="73" w:lineRule="exact"/>
        <w:rPr>
          <w:sz w:val="20"/>
          <w:szCs w:val="20"/>
          <w:color w:val="auto"/>
        </w:rPr>
      </w:pPr>
    </w:p>
    <w:p>
      <w:pPr>
        <w:ind w:right="20" w:firstLine="222"/>
        <w:spacing w:after="0" w:line="277" w:lineRule="auto"/>
        <w:rPr>
          <w:sz w:val="20"/>
          <w:szCs w:val="20"/>
          <w:color w:val="auto"/>
        </w:rPr>
      </w:pPr>
      <w:r>
        <w:rPr>
          <w:rFonts w:ascii="Arial" w:cs="Arial" w:eastAsia="Arial" w:hAnsi="Arial"/>
          <w:sz w:val="18"/>
          <w:szCs w:val="18"/>
          <w:color w:val="auto"/>
        </w:rPr>
        <w:t>The Company’s press release announcing the closing of the Offering is filed as Exhibit 99.2 to this Current Report on Form 8-K, and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No.</w:t>
            </w:r>
          </w:p>
        </w:tc>
        <w:tc>
          <w:tcPr>
            <w:tcW w:w="340" w:type="dxa"/>
            <w:vAlign w:val="bottom"/>
          </w:tcPr>
          <w:p>
            <w:pPr>
              <w:spacing w:after="0"/>
              <w:rPr>
                <w:sz w:val="14"/>
                <w:szCs w:val="14"/>
                <w:color w:val="auto"/>
              </w:rPr>
            </w:pPr>
          </w:p>
        </w:tc>
        <w:tc>
          <w:tcPr>
            <w:tcW w:w="102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r>
      <w:tr>
        <w:trPr>
          <w:trHeight w:val="426"/>
        </w:trPr>
        <w:tc>
          <w:tcPr>
            <w:tcW w:w="820" w:type="dxa"/>
            <w:vAlign w:val="bottom"/>
          </w:tcPr>
          <w:p>
            <w:pPr>
              <w:spacing w:after="0"/>
              <w:rPr>
                <w:sz w:val="20"/>
                <w:szCs w:val="20"/>
                <w:color w:val="auto"/>
              </w:rPr>
            </w:pPr>
            <w:r>
              <w:rPr>
                <w:rFonts w:ascii="Arial" w:cs="Arial" w:eastAsia="Arial" w:hAnsi="Arial"/>
                <w:sz w:val="18"/>
                <w:szCs w:val="18"/>
                <w:color w:val="auto"/>
              </w:rPr>
              <w:t>99.1</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Risk Factors</w:t>
            </w: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99.2</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Press release of StemCells, Inc. dated November 18, 2008.</w:t>
            </w:r>
          </w:p>
        </w:tc>
      </w:tr>
      <w:tr>
        <w:trPr>
          <w:trHeight w:val="632"/>
        </w:trPr>
        <w:tc>
          <w:tcPr>
            <w:tcW w:w="82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102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tabs>
          <w:tab w:leader="none" w:pos="5240" w:val="left"/>
        </w:tabs>
        <w:rPr>
          <w:sz w:val="20"/>
          <w:szCs w:val="20"/>
          <w:color w:val="auto"/>
        </w:rPr>
      </w:pPr>
      <w:r>
        <w:rPr>
          <w:rFonts w:ascii="Arial" w:cs="Arial" w:eastAsia="Arial" w:hAnsi="Arial"/>
          <w:sz w:val="18"/>
          <w:szCs w:val="18"/>
          <w:color w:val="auto"/>
        </w:rPr>
        <w:t>November 18, 2008</w:t>
      </w:r>
      <w:r>
        <w:rPr>
          <w:sz w:val="20"/>
          <w:szCs w:val="20"/>
          <w:color w:val="auto"/>
        </w:rPr>
        <w:tab/>
      </w:r>
      <w:r>
        <w:rPr>
          <w:rFonts w:ascii="Arial" w:cs="Arial" w:eastAsia="Arial" w:hAnsi="Arial"/>
          <w:sz w:val="16"/>
          <w:szCs w:val="16"/>
          <w:color w:val="auto"/>
        </w:rPr>
        <w:t>StemCells, Inc.</w:t>
      </w:r>
    </w:p>
    <w:p>
      <w:pPr>
        <w:spacing w:after="0" w:line="225"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/s/ Ken Stratton</w:t>
      </w:r>
    </w:p>
    <w:p>
      <w:pPr>
        <w:spacing w:after="0" w:line="2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Name: Ken Stratton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-130810</wp:posOffset>
            </wp:positionV>
            <wp:extent cx="28727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3" w:lineRule="exact"/>
        <w:rPr>
          <w:sz w:val="20"/>
          <w:szCs w:val="20"/>
          <w:color w:val="auto"/>
        </w:rPr>
      </w:pPr>
    </w:p>
    <w:p>
      <w:pPr>
        <w:ind w:left="5260"/>
        <w:spacing w:after="0"/>
        <w:tabs>
          <w:tab w:leader="none" w:pos="5820" w:val="left"/>
        </w:tabs>
        <w:rPr>
          <w:sz w:val="20"/>
          <w:szCs w:val="20"/>
          <w:color w:val="auto"/>
        </w:rPr>
      </w:pPr>
      <w:r>
        <w:rPr>
          <w:rFonts w:ascii="Arial" w:cs="Arial" w:eastAsia="Arial" w:hAnsi="Arial"/>
          <w:sz w:val="18"/>
          <w:szCs w:val="18"/>
          <w:color w:val="auto"/>
        </w:rPr>
        <w:t>Title:</w:t>
        <w:tab/>
        <w:t>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419" w:right="4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60" w:type="dxa"/>
            <w:vAlign w:val="bottom"/>
          </w:tcPr>
          <w:p>
            <w:pPr>
              <w:ind w:left="402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42"/>
        </w:trPr>
        <w:tc>
          <w:tcPr>
            <w:tcW w:w="82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rPr>
                <w:sz w:val="24"/>
                <w:szCs w:val="24"/>
                <w:color w:val="auto"/>
              </w:rPr>
            </w:pPr>
          </w:p>
        </w:tc>
        <w:tc>
          <w:tcPr>
            <w:tcW w:w="1026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8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340" w:type="dxa"/>
            <w:vAlign w:val="bottom"/>
          </w:tcPr>
          <w:p>
            <w:pPr>
              <w:spacing w:after="0"/>
              <w:rPr>
                <w:sz w:val="14"/>
                <w:szCs w:val="14"/>
                <w:color w:val="auto"/>
              </w:rPr>
            </w:pPr>
          </w:p>
        </w:tc>
        <w:tc>
          <w:tcPr>
            <w:tcW w:w="102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26"/>
        </w:trPr>
        <w:tc>
          <w:tcPr>
            <w:tcW w:w="820" w:type="dxa"/>
            <w:vAlign w:val="bottom"/>
          </w:tcPr>
          <w:p>
            <w:pPr>
              <w:spacing w:after="0"/>
              <w:rPr>
                <w:sz w:val="20"/>
                <w:szCs w:val="20"/>
                <w:color w:val="auto"/>
              </w:rPr>
            </w:pPr>
            <w:r>
              <w:rPr>
                <w:rFonts w:ascii="Arial" w:cs="Arial" w:eastAsia="Arial" w:hAnsi="Arial"/>
                <w:sz w:val="18"/>
                <w:szCs w:val="18"/>
                <w:color w:val="auto"/>
              </w:rPr>
              <w:t>99.1</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Risk Factors</w:t>
            </w:r>
          </w:p>
        </w:tc>
        <w:tc>
          <w:tcPr>
            <w:tcW w:w="0" w:type="dxa"/>
            <w:vAlign w:val="bottom"/>
          </w:tcPr>
          <w:p>
            <w:pPr>
              <w:spacing w:after="0"/>
              <w:rPr>
                <w:sz w:val="1"/>
                <w:szCs w:val="1"/>
                <w:color w:val="auto"/>
              </w:rPr>
            </w:pP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99.2</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Press Release of StemCells, Inc., dated November 18, 2008.</w:t>
            </w:r>
          </w:p>
        </w:tc>
        <w:tc>
          <w:tcPr>
            <w:tcW w:w="0" w:type="dxa"/>
            <w:vAlign w:val="bottom"/>
          </w:tcPr>
          <w:p>
            <w:pPr>
              <w:spacing w:after="0"/>
              <w:rPr>
                <w:sz w:val="1"/>
                <w:szCs w:val="1"/>
                <w:color w:val="auto"/>
              </w:rPr>
            </w:pPr>
          </w:p>
        </w:tc>
      </w:tr>
    </w:tbl>
    <w:p>
      <w:pPr>
        <w:sectPr>
          <w:pgSz w:w="11900" w:h="16838" w:orient="portrait"/>
          <w:cols w:equalWidth="0" w:num="1">
            <w:col w:w="11420"/>
          </w:cols>
          <w:pgMar w:left="240" w:top="419" w:right="2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99.1</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Risk factors</w:t>
      </w:r>
    </w:p>
    <w:p>
      <w:pPr>
        <w:spacing w:after="0" w:line="111" w:lineRule="exact"/>
        <w:rPr>
          <w:sz w:val="20"/>
          <w:szCs w:val="20"/>
          <w:color w:val="auto"/>
        </w:rPr>
      </w:pPr>
    </w:p>
    <w:p>
      <w:pPr>
        <w:spacing w:after="0" w:line="285" w:lineRule="auto"/>
        <w:rPr>
          <w:sz w:val="20"/>
          <w:szCs w:val="20"/>
          <w:color w:val="auto"/>
        </w:rPr>
      </w:pPr>
      <w:r>
        <w:rPr>
          <w:rFonts w:ascii="Arial" w:cs="Arial" w:eastAsia="Arial" w:hAnsi="Arial"/>
          <w:sz w:val="16"/>
          <w:szCs w:val="16"/>
          <w:i w:val="1"/>
          <w:iCs w:val="1"/>
          <w:color w:val="auto"/>
        </w:rPr>
        <w:t>This Exhibit may contain forward looking statements within the meaning of Section 27A of the Securities Act and Section 21E of the Securities Exchange Act that involve substantial risks and uncertainties. Such statements include, without limitation, all statements as to expectation or belief and statements as to our future results of operations; the progress of our research, product development and clinical programs; the need for, and timing of, additional capital and capital expenditures; partnering prospects; costs of manufacture of products; the protection of, and the need for, additional intellectual property rights, including any related litigation; effects of regulations; the need for additional facilities; and potential market opportunities. Our actual results may vary materially from those contained in such forward-looking statements because of risks to which we are subject, including uncertainty as to whether the U.S. Food and Drug Administration (FDA) or other regulatory authorities will permit us to proceed with clinical testing of proposed products despite the novel and unproven nature of our technologies; the risk that our initial clinical trial and any other clinical trials or studies could be substantially delayed beyond their expected dates or cause us to incur substantial unanticipated costs; uncertainties in our ability to obtain the capital resources needed to continue our current research and development operations and to conduct the research, preclinical development and clinical trials necessary for regulatory approvals; the uncertainty regarding our ability to obtain a corporate partner or partners, if needed, to support the development and commercialization of our potential cell-based therapeutics products; the uncertainty regarding the outcome of our Phase I clinical trial in NCL and any other clinical trials or studies we may conduct in the future; the uncertainty regarding the validity and enforceability of our issued patents; the risk that we may not be able to manufacture additional master and working cell banks when needed; the uncertainty whether any products that may be generated in our cell-based therapeutics programs will prove clinically safe and effective; the uncertainty whether we will achieve revenue from product sales or become profitable; uncertainties regarding our obligations with respect to our former encapsulated cell therapy facilities in Rhode Island; obsolescence of our technologies; competition from third parties; intellectual property rights of third parties; litigation risks; and other risks to which we are subject. All forward-looking statements attributable to us or to persons acting on our behalf are expressly qualified in their entirety by the cautionary statements and risk factors set forth elsewhere in this Exhibit.</w:t>
      </w:r>
    </w:p>
    <w:p>
      <w:pPr>
        <w:spacing w:after="0" w:line="65"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i w:val="1"/>
          <w:iCs w:val="1"/>
          <w:color w:val="auto"/>
        </w:rPr>
        <w:t>Investing in our common stock and warrants involves a high degree of risk. You should carefully consider the risks described below before purchasing our common stock. If any of the following risks actually occurs, our business, results of operations and financial condition will likely suffer. As a result, the trading price of our common stock may decline, and you might lose part or all of your investment.</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Any adverse development relating to our HuCNS-SC product candidate, such as a significant clinical trial failure, could substantially depress our stock price and prevent us from raising additional capital.</w:t>
      </w:r>
    </w:p>
    <w:p>
      <w:pPr>
        <w:spacing w:after="0" w:line="62" w:lineRule="exact"/>
        <w:rPr>
          <w:sz w:val="20"/>
          <w:szCs w:val="20"/>
          <w:color w:val="auto"/>
        </w:rPr>
      </w:pPr>
    </w:p>
    <w:p>
      <w:pPr>
        <w:ind w:right="20" w:firstLine="215"/>
        <w:spacing w:after="0" w:line="271" w:lineRule="auto"/>
        <w:rPr>
          <w:sz w:val="20"/>
          <w:szCs w:val="20"/>
          <w:color w:val="auto"/>
        </w:rPr>
      </w:pPr>
      <w:r>
        <w:rPr>
          <w:rFonts w:ascii="Arial" w:cs="Arial" w:eastAsia="Arial" w:hAnsi="Arial"/>
          <w:sz w:val="17"/>
          <w:szCs w:val="17"/>
          <w:color w:val="auto"/>
        </w:rPr>
        <w:t>At present our ability to progress as a company is significantly dependent on a single product candidate, our HuCNS-SC cells (purified human neural stem cells), and on a single early stage clinical trial, our Phase I clinical trial for neuronal ceroid lipofuscinosis (NCL, also often referred to as Batten disease). Any clinical, regulatory or other development that significantly delays or prevents us from completing this trial, any material safety issue or adverse side effect to any study participant in this trial, or the failure of this trial to show the results expected would likely depress our stock price significantly and could prevent us from raising the substantial additional capital we will need to further develop our cellular technologies. Moreover, any material adverse occurrence in our first clinical trial for Batten disease could substantially impair our ability to initiate clinical trials to test our HuCNS-SC cells in patients with spinal cord injuries, myelin disorders or other potential indications. This, in turn, could adversely impact our ability to raise additional capital and pursue our planned research and development efforts in both our CNS and liver programs.</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limited capital resources and we may not obtain the significant additional capital needed to sustain our research and development efforts.</w:t>
      </w:r>
    </w:p>
    <w:p>
      <w:pPr>
        <w:spacing w:after="0" w:line="140" w:lineRule="exact"/>
        <w:rPr>
          <w:sz w:val="20"/>
          <w:szCs w:val="20"/>
          <w:color w:val="auto"/>
        </w:rPr>
      </w:pPr>
    </w:p>
    <w:p>
      <w:pPr>
        <w:ind w:right="40" w:firstLine="222"/>
        <w:spacing w:after="0" w:line="293" w:lineRule="auto"/>
        <w:rPr>
          <w:sz w:val="20"/>
          <w:szCs w:val="20"/>
          <w:color w:val="auto"/>
        </w:rPr>
      </w:pPr>
      <w:r>
        <w:rPr>
          <w:rFonts w:ascii="Arial" w:cs="Arial" w:eastAsia="Arial" w:hAnsi="Arial"/>
          <w:sz w:val="16"/>
          <w:szCs w:val="16"/>
          <w:color w:val="auto"/>
        </w:rPr>
        <w:t>We have limited liquidity and capital resources and must obtain significant additional capital resources in order to sustain our product development efforts, acquire businesses, technologies and intellectual property rights which may be important to our business, continue preclinical and clinical testing of our investigative products, pursue regulatory approvals, acquire capital equipment, laboratory and office facilities, establish production capabilities, maintain and enforce our intellectual property portfolio, and support our general and administrative expenses and other working capital requirements. We rely on cash reserves and proceeds from equity and debt offerings, proceeds from the transfer, license, lease, or sale of our intellectual property rights, equipment, facilities, or investments, and government grants and funding from collaborative arrangements, if obtainable, to fund our operations.</w:t>
      </w:r>
    </w:p>
    <w:p>
      <w:pPr>
        <w:spacing w:after="0" w:line="57" w:lineRule="exact"/>
        <w:rPr>
          <w:sz w:val="20"/>
          <w:szCs w:val="20"/>
          <w:color w:val="auto"/>
        </w:rPr>
      </w:pPr>
    </w:p>
    <w:p>
      <w:pPr>
        <w:ind w:right="20" w:firstLine="222"/>
        <w:spacing w:after="0" w:line="254" w:lineRule="auto"/>
        <w:rPr>
          <w:sz w:val="20"/>
          <w:szCs w:val="20"/>
          <w:color w:val="auto"/>
        </w:rPr>
      </w:pPr>
      <w:r>
        <w:rPr>
          <w:rFonts w:ascii="Arial" w:cs="Arial" w:eastAsia="Arial" w:hAnsi="Arial"/>
          <w:sz w:val="18"/>
          <w:szCs w:val="18"/>
          <w:color w:val="auto"/>
        </w:rPr>
        <w:t>We intend to pursue opportunities for additional fundraising in the future through equity or debt financings, corporate alliances or combinations, grants or collaborative research arrangements, or any combination of these. However, external financing in the current financial environment may be particularly difficult, and the source, timing and availability of any future fundraising will depend principally upon market conditions, interest rates and, more specifically, on progress in our research, preclinical and clinical development programs. Funding may not be available when needed — at all or on terms acceptable to us. While we actively manage our programs and resources in order to conserve cash between fundraising opportunities, we believe we will need to secure additional capital in order to conduct our operations beyond 2009. If we exhaust our cash reserves and are unable to realize adequate additional fundraising, we may be unable to meet operating obligations and be required to initiate bankruptcy proceedings or delay, scale back or eliminate some or all of our research and product development programs.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product development programs are based on novel technologies and are inherently risky.</w:t>
      </w:r>
    </w:p>
    <w:p>
      <w:pPr>
        <w:spacing w:after="0" w:line="117" w:lineRule="exact"/>
        <w:rPr>
          <w:sz w:val="20"/>
          <w:szCs w:val="20"/>
          <w:color w:val="auto"/>
        </w:rPr>
      </w:pPr>
    </w:p>
    <w:p>
      <w:pPr>
        <w:ind w:firstLine="222"/>
        <w:spacing w:after="0" w:line="257" w:lineRule="auto"/>
        <w:rPr>
          <w:sz w:val="20"/>
          <w:szCs w:val="20"/>
          <w:color w:val="auto"/>
        </w:rPr>
      </w:pPr>
      <w:r>
        <w:rPr>
          <w:rFonts w:ascii="Arial" w:cs="Arial" w:eastAsia="Arial" w:hAnsi="Arial"/>
          <w:sz w:val="18"/>
          <w:szCs w:val="18"/>
          <w:color w:val="auto"/>
        </w:rPr>
        <w:t>We are subject to the risks of failure inherent in the development of products based on new technologies. The novel nature of these therapies creates significant challenges in regard to product development and optimization, manufacturing, government regulation, third party reimbursement, and market acceptance. For example, the pathway to regulatory approval for cell-based therapies, including our product candidates, may be more complex and lengthy than the pathway for conventional drugs. These challenges may prevent us from developing and commercializing products on a timely or profitable basis or at all.</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technology is at an early stage of discovery and development, and we may fail to develop any commercially acceptable or profitable products.</w:t>
      </w:r>
    </w:p>
    <w:p>
      <w:pPr>
        <w:spacing w:after="0" w:line="140" w:lineRule="exact"/>
        <w:rPr>
          <w:sz w:val="20"/>
          <w:szCs w:val="20"/>
          <w:color w:val="auto"/>
        </w:rPr>
      </w:pPr>
    </w:p>
    <w:p>
      <w:pPr>
        <w:ind w:right="100" w:firstLine="222"/>
        <w:spacing w:after="0" w:line="259" w:lineRule="auto"/>
        <w:rPr>
          <w:sz w:val="20"/>
          <w:szCs w:val="20"/>
          <w:color w:val="auto"/>
        </w:rPr>
      </w:pPr>
      <w:r>
        <w:rPr>
          <w:rFonts w:ascii="Arial" w:cs="Arial" w:eastAsia="Arial" w:hAnsi="Arial"/>
          <w:sz w:val="18"/>
          <w:szCs w:val="18"/>
          <w:color w:val="auto"/>
        </w:rPr>
        <w:t>We have incurred significant operating losses and negative cash flows since inception. We have not achieved profitability and may not be able to realize sufficient revenue to achieve or sustain profitability in the future. We have yet to develop any products that have been approved for marketing, and we do not expect to become profitable within the next several years, but rather expect to incur additional and increasing operating losses. Before commercializing any medical product, we will need to obtain regulatory approval</w:t>
      </w:r>
    </w:p>
    <w:p>
      <w:pPr>
        <w:sectPr>
          <w:pgSz w:w="11900" w:h="16838" w:orient="portrait"/>
          <w:cols w:equalWidth="0" w:num="1">
            <w:col w:w="11420"/>
          </w:cols>
          <w:pgMar w:left="240" w:top="121" w:right="239" w:bottom="948" w:gutter="0" w:footer="0" w:header="0"/>
        </w:sectPr>
      </w:pP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948" w:gutter="0" w:footer="0" w:header="0"/>
          <w:type w:val="continuous"/>
        </w:sectPr>
      </w:pPr>
    </w:p>
    <w:bookmarkStart w:id="7" w:name="page8"/>
    <w:bookmarkEnd w:id="7"/>
    <w:p>
      <w:pPr>
        <w:ind w:right="60"/>
        <w:spacing w:after="0" w:line="259" w:lineRule="auto"/>
        <w:rPr>
          <w:sz w:val="20"/>
          <w:szCs w:val="20"/>
          <w:color w:val="auto"/>
        </w:rPr>
      </w:pPr>
      <w:r>
        <w:rPr>
          <w:rFonts w:ascii="Arial" w:cs="Arial" w:eastAsia="Arial" w:hAnsi="Arial"/>
          <w:sz w:val="18"/>
          <w:szCs w:val="18"/>
          <w:color w:val="auto"/>
        </w:rPr>
        <w:t>from the FDA or from equivalent foreign agencies after conducting extensive preclinical studies and clinical trials that demonstrate that the product candidate is safe and effective. Except for the NCL trial currently being conducted at Oregon Health &amp; Science University (OHSU), we have had no experience conducting human clinical trials. We expect that none of our cell-based therapeutic product candidates will be commercially available for several years, if at all.</w:t>
      </w:r>
    </w:p>
    <w:p>
      <w:pPr>
        <w:spacing w:after="0" w:line="79" w:lineRule="exact"/>
        <w:rPr>
          <w:sz w:val="20"/>
          <w:szCs w:val="20"/>
          <w:color w:val="auto"/>
        </w:rPr>
      </w:pPr>
    </w:p>
    <w:p>
      <w:pPr>
        <w:ind w:right="100" w:firstLine="222"/>
        <w:spacing w:after="0" w:line="259" w:lineRule="auto"/>
        <w:rPr>
          <w:sz w:val="20"/>
          <w:szCs w:val="20"/>
          <w:color w:val="auto"/>
        </w:rPr>
      </w:pPr>
      <w:r>
        <w:rPr>
          <w:rFonts w:ascii="Arial" w:cs="Arial" w:eastAsia="Arial" w:hAnsi="Arial"/>
          <w:sz w:val="18"/>
          <w:szCs w:val="18"/>
          <w:color w:val="auto"/>
        </w:rPr>
        <w:t>While the FDA has permitted us to initiate our Phase I clinical trial of our proprietary HuCNS-SC product candidate in NCL, and the Institutional Review Board of OHSU has approved the protocol and we have completed dosing the six patients planned for the trial, there can be no assurance that the trial will be completed or result in a successful outcome. We may elect to delay or discontinue other studies or clinical trials based on unfavorable results. Any product developed from, or based on, cellular technologies may fail to:</w:t>
      </w:r>
    </w:p>
    <w:p>
      <w:pPr>
        <w:spacing w:after="0" w:line="79" w:lineRule="exact"/>
        <w:rPr>
          <w:sz w:val="20"/>
          <w:szCs w:val="20"/>
          <w:color w:val="auto"/>
        </w:rPr>
      </w:pPr>
    </w:p>
    <w:p>
      <w:pPr>
        <w:ind w:left="220" w:hanging="212"/>
        <w:spacing w:after="0"/>
        <w:tabs>
          <w:tab w:leader="none" w:pos="22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survive and persist in the desired location;</w:t>
      </w:r>
    </w:p>
    <w:p>
      <w:pPr>
        <w:spacing w:after="0" w:line="130" w:lineRule="exact"/>
        <w:rPr>
          <w:rFonts w:ascii="Arial" w:cs="Arial" w:eastAsia="Arial" w:hAnsi="Arial"/>
          <w:sz w:val="18"/>
          <w:szCs w:val="18"/>
          <w:b w:val="1"/>
          <w:bCs w:val="1"/>
          <w:color w:val="auto"/>
        </w:rPr>
      </w:pPr>
    </w:p>
    <w:p>
      <w:pPr>
        <w:ind w:left="220" w:hanging="212"/>
        <w:spacing w:after="0"/>
        <w:tabs>
          <w:tab w:leader="none" w:pos="22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provide the intended therapeutic benefit;</w:t>
      </w:r>
    </w:p>
    <w:p>
      <w:pPr>
        <w:spacing w:after="0" w:line="130" w:lineRule="exact"/>
        <w:rPr>
          <w:rFonts w:ascii="Arial" w:cs="Arial" w:eastAsia="Arial" w:hAnsi="Arial"/>
          <w:sz w:val="18"/>
          <w:szCs w:val="18"/>
          <w:b w:val="1"/>
          <w:bCs w:val="1"/>
          <w:color w:val="auto"/>
        </w:rPr>
      </w:pPr>
    </w:p>
    <w:p>
      <w:pPr>
        <w:ind w:left="220" w:hanging="212"/>
        <w:spacing w:after="0"/>
        <w:tabs>
          <w:tab w:leader="none" w:pos="22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engraft into existing tissue in the desired manner; or</w:t>
      </w:r>
    </w:p>
    <w:p>
      <w:pPr>
        <w:spacing w:after="0" w:line="130" w:lineRule="exact"/>
        <w:rPr>
          <w:rFonts w:ascii="Arial" w:cs="Arial" w:eastAsia="Arial" w:hAnsi="Arial"/>
          <w:sz w:val="18"/>
          <w:szCs w:val="18"/>
          <w:b w:val="1"/>
          <w:bCs w:val="1"/>
          <w:color w:val="auto"/>
        </w:rPr>
      </w:pPr>
    </w:p>
    <w:p>
      <w:pPr>
        <w:ind w:left="220" w:hanging="212"/>
        <w:spacing w:after="0"/>
        <w:tabs>
          <w:tab w:leader="none" w:pos="22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achieve therapeutic benefits equal to, or better than, the standard of treatment at the time of testing.</w:t>
      </w:r>
    </w:p>
    <w:p>
      <w:pPr>
        <w:spacing w:after="0" w:line="117" w:lineRule="exact"/>
        <w:rPr>
          <w:sz w:val="20"/>
          <w:szCs w:val="20"/>
          <w:color w:val="auto"/>
        </w:rPr>
      </w:pPr>
    </w:p>
    <w:p>
      <w:pPr>
        <w:ind w:right="280" w:firstLine="225"/>
        <w:spacing w:after="0" w:line="277" w:lineRule="auto"/>
        <w:rPr>
          <w:sz w:val="20"/>
          <w:szCs w:val="20"/>
          <w:color w:val="auto"/>
        </w:rPr>
      </w:pPr>
      <w:r>
        <w:rPr>
          <w:rFonts w:ascii="Arial" w:cs="Arial" w:eastAsia="Arial" w:hAnsi="Arial"/>
          <w:sz w:val="18"/>
          <w:szCs w:val="18"/>
          <w:color w:val="auto"/>
        </w:rPr>
        <w:t>In addition, our products may cause undesirable side effects. Results of preclinical research in animals may not be indicative of future clinical results in humans.</w:t>
      </w:r>
    </w:p>
    <w:p>
      <w:pPr>
        <w:spacing w:after="0" w:line="62" w:lineRule="exact"/>
        <w:rPr>
          <w:sz w:val="20"/>
          <w:szCs w:val="20"/>
          <w:color w:val="auto"/>
        </w:rPr>
      </w:pPr>
    </w:p>
    <w:p>
      <w:pPr>
        <w:ind w:right="80" w:firstLine="225"/>
        <w:spacing w:after="0" w:line="259" w:lineRule="auto"/>
        <w:rPr>
          <w:sz w:val="20"/>
          <w:szCs w:val="20"/>
          <w:color w:val="auto"/>
        </w:rPr>
      </w:pPr>
      <w:r>
        <w:rPr>
          <w:rFonts w:ascii="Arial" w:cs="Arial" w:eastAsia="Arial" w:hAnsi="Arial"/>
          <w:sz w:val="18"/>
          <w:szCs w:val="18"/>
          <w:color w:val="auto"/>
        </w:rPr>
        <w:t>Ultimately if regulatory authorities do not approve our products or if we fail to maintain regulatory compliance, we would be unable to commercialize our products, and our business and results of operations would be harmed. Even if we do succeed in developing products, we will face many potential obstacles such as the need to develop or obtain manufacturing, marketing and distribution capabilities. Furthermore, because transplantation of cells is a new form of therapy, the marketplace may not accept any products we may develop.</w:t>
      </w:r>
    </w:p>
    <w:p>
      <w:pPr>
        <w:spacing w:after="0" w:line="79" w:lineRule="exact"/>
        <w:rPr>
          <w:sz w:val="20"/>
          <w:szCs w:val="20"/>
          <w:color w:val="auto"/>
        </w:rPr>
      </w:pPr>
    </w:p>
    <w:p>
      <w:pPr>
        <w:ind w:right="160" w:firstLine="225"/>
        <w:spacing w:after="0" w:line="257" w:lineRule="auto"/>
        <w:rPr>
          <w:sz w:val="20"/>
          <w:szCs w:val="20"/>
          <w:color w:val="auto"/>
        </w:rPr>
      </w:pPr>
      <w:r>
        <w:rPr>
          <w:rFonts w:ascii="Arial" w:cs="Arial" w:eastAsia="Arial" w:hAnsi="Arial"/>
          <w:sz w:val="18"/>
          <w:szCs w:val="18"/>
          <w:color w:val="auto"/>
        </w:rPr>
        <w:t>Moreover, because our cell-based therapeutic products will be derived from tissue of individuals other than the patient (that is, they will be “non-self” or “allogeneic” transplant products), patients will likely require the use of immunosuppressive drugs. While immunosuppression is now standard in connection with allogeneic transplants of various kinds, such as heart or liver transplants, long-term maintenance on immunosuppressive drugs can result in complications such as infection, cancer, cardiovascular disease, and renal dysfunction. An immunosuppression regimen is currently being used with our therapeutic product candidate in our Phase I clinical trial for NCL.</w:t>
      </w:r>
    </w:p>
    <w:p>
      <w:pPr>
        <w:spacing w:after="0" w:line="8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Our success will depend in large part on our ability to develop and commercialize products that treat diseases other than neuronal ceroid lipofuscinosis (Batten disease).</w:t>
      </w:r>
    </w:p>
    <w:p>
      <w:pPr>
        <w:spacing w:after="0" w:line="62" w:lineRule="exact"/>
        <w:rPr>
          <w:sz w:val="20"/>
          <w:szCs w:val="20"/>
          <w:color w:val="auto"/>
        </w:rPr>
      </w:pPr>
    </w:p>
    <w:p>
      <w:pPr>
        <w:ind w:right="180" w:firstLine="215"/>
        <w:spacing w:after="0" w:line="259" w:lineRule="auto"/>
        <w:rPr>
          <w:sz w:val="20"/>
          <w:szCs w:val="20"/>
          <w:color w:val="auto"/>
        </w:rPr>
      </w:pPr>
      <w:r>
        <w:rPr>
          <w:rFonts w:ascii="Arial" w:cs="Arial" w:eastAsia="Arial" w:hAnsi="Arial"/>
          <w:sz w:val="18"/>
          <w:szCs w:val="18"/>
          <w:color w:val="auto"/>
        </w:rPr>
        <w:t>Although we have initially focused on evaluating our neural stem cell product for the treatment of infantile and late infantile NCL (Batten disease), this disease is rare and the market for treating this disease is small. Accordingly, even if we obtain marketing approval for our HuCNS-SC product candidate for infantile and late infantile NCL, in order to achieve profitability, we will likely need to obtain approval to treat additional diseases that present more significant market opportunities.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 of companies, businesses or technologies may substantially dilute our stockholders and increase our operating losses.</w:t>
      </w:r>
    </w:p>
    <w:p>
      <w:pPr>
        <w:spacing w:after="0" w:line="117" w:lineRule="exact"/>
        <w:rPr>
          <w:sz w:val="20"/>
          <w:szCs w:val="20"/>
          <w:color w:val="auto"/>
        </w:rPr>
      </w:pPr>
    </w:p>
    <w:p>
      <w:pPr>
        <w:ind w:firstLine="222"/>
        <w:spacing w:after="0" w:line="287" w:lineRule="auto"/>
        <w:rPr>
          <w:sz w:val="20"/>
          <w:szCs w:val="20"/>
          <w:color w:val="auto"/>
        </w:rPr>
      </w:pPr>
      <w:r>
        <w:rPr>
          <w:rFonts w:ascii="Arial" w:cs="Arial" w:eastAsia="Arial" w:hAnsi="Arial"/>
          <w:sz w:val="16"/>
          <w:szCs w:val="16"/>
          <w:color w:val="auto"/>
        </w:rPr>
        <w:t>We may make acquisitions of businesses, technologies or intellectual property rights or otherwise modify our business model in ways we believe to be necessary, useful or complementary to our current product development efforts and cell-based therapeutics business. Any such acquisition or change in business activities may require assimilation of the operations, products or product candidates and personnel of the acquired business and the training and integration of its employees, and could substantially increase our operating costs, without any offsetting increase in revenue. Acquisitions may not provide the intended technological, scientific or business benefits and could disrupt our operations and divert our limited resources and management’s attention from our current operations, which could harm our existing product development efforts. We would likely issue equity securities to pay for any future acquisitions. The issuance of equity securities for an acquisition could be substantially dilutive to our stockholders. In addition, our results of operations may suffer because of acquisition-related costs or the post-acquisition costs of funding the development of an acquired technology or product candidates or operation of the acquired business, or due to amortization or impairment costs for acquired goodwill and other intangible assets. Any investment made in, or funds advanced to, a potential acquisition target could also significantly adversely affect our results of operation and could further reduce our limited capital resources. Any acquisition or action taken in anticipation of a potential acquisition or other change in business activities could substantially depress the price of our stock.</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8" w:name="page9"/>
    <w:bookmarkEnd w:id="8"/>
    <w:p>
      <w:pPr>
        <w:ind w:right="80"/>
        <w:spacing w:after="0" w:line="277" w:lineRule="auto"/>
        <w:rPr>
          <w:sz w:val="20"/>
          <w:szCs w:val="20"/>
          <w:color w:val="auto"/>
        </w:rPr>
      </w:pPr>
      <w:r>
        <w:rPr>
          <w:rFonts w:ascii="Arial" w:cs="Arial" w:eastAsia="Arial" w:hAnsi="Arial"/>
          <w:sz w:val="18"/>
          <w:szCs w:val="18"/>
          <w:b w:val="1"/>
          <w:bCs w:val="1"/>
          <w:i w:val="1"/>
          <w:iCs w:val="1"/>
          <w:color w:val="auto"/>
        </w:rPr>
        <w:t>We have payment obligations resulting from real property owned or leased by us in Rhode Island, which diverts funding from our cell-based therapeutics research and development.</w:t>
      </w:r>
    </w:p>
    <w:p>
      <w:pPr>
        <w:spacing w:after="0" w:line="62" w:lineRule="exact"/>
        <w:rPr>
          <w:sz w:val="20"/>
          <w:szCs w:val="20"/>
          <w:color w:val="auto"/>
        </w:rPr>
      </w:pPr>
    </w:p>
    <w:p>
      <w:pPr>
        <w:ind w:firstLine="225"/>
        <w:spacing w:after="0" w:line="285" w:lineRule="auto"/>
        <w:rPr>
          <w:sz w:val="20"/>
          <w:szCs w:val="20"/>
          <w:color w:val="auto"/>
        </w:rPr>
      </w:pPr>
      <w:r>
        <w:rPr>
          <w:rFonts w:ascii="Arial" w:cs="Arial" w:eastAsia="Arial" w:hAnsi="Arial"/>
          <w:sz w:val="16"/>
          <w:szCs w:val="16"/>
          <w:color w:val="auto"/>
        </w:rPr>
        <w:t>Prior to our reorganization in 1999 and the consolidation of our business in California, we carried out our former encapsulated cell therapy programs in Lincoln, Rhode Island, where we also had our administrative offices. Although we have vacated the Rhode Island facilities, we remain obligated to make lease payments and payments for operating costs for our former science and administrative facility, which we have leased through June 30, 2013. These costs, before sub-tenant rental income, amounted to approximately $1,523,000 in 2007; our rent payments will increase over the term of the lease, and our operating costs may increase as well. In addition to these costs of our former science and administrative facility, we are obligated to make debt service payments and payments for operating costs of approximately $400,000 per year for our former encapsulated cell therapy pilot manufacturing facility, which we own. We have currently subleased a portion of the science and administrative facility, and we are seeking to sublease the remaining portion, but we cannot be sure that we will be able to keep any part of the facility subleased for the duration of our obligation. We are currently seeking to sublease the pilot manufacturing facility, but may not be able to sublease or sell the facility in the future. These continuing costs significantly reduce our cash resources and adversely affect our ability to fund further development of our cellular technologies. In addition, changes in real estate market conditions and assumptions regarding the length of time it may take us to either fully sublease, assign or sell our remaining interest in the our former research facility in Rhode Island may have a significant impact on and cause large variations in our quarter to quarter results of operations. In 1999, in connection with exiting our former research facility in Rhode Island, we created a reserve for the estimated lease payments and operating expenses related to it. The reserve is periodically re-evaluated and adjusted based on assumptions relevant to real estate market conditions and the estimated time until we can either, fully sublease, assign or sell our remaining interests in the property. At December 31, 2007, the reserve was $6,143,000. For the year 2007, we incurred $1,420,000 in operating expenses net of sub-tenant income for this facility. Expenses for this facility will fluctuate based on changes in tenant occupancy rates and other operating expenses related to the lease. Even though it is our intent to sublease, assign, sell, or otherwise divest ourselves of our interests in the facility at the earliest possible time, we cannot determine with certainty a fixed date by which such events will occur. In light of this uncertainty, based on estimates, we will periodically re-evaluate and adjust the reserve, as necessary, and we may make significant adverse adjustments to the reserve in the future.</w:t>
      </w:r>
    </w:p>
    <w:p>
      <w:pPr>
        <w:spacing w:after="0" w:line="6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be unable to obtain partners to support our cell-based therapeutic product development efforts when needed to commercialize our technologies.</w:t>
      </w:r>
    </w:p>
    <w:p>
      <w:pPr>
        <w:spacing w:after="0" w:line="152" w:lineRule="exact"/>
        <w:rPr>
          <w:sz w:val="20"/>
          <w:szCs w:val="20"/>
          <w:color w:val="auto"/>
        </w:rPr>
      </w:pPr>
    </w:p>
    <w:p>
      <w:pPr>
        <w:ind w:right="120" w:firstLine="225"/>
        <w:spacing w:after="0" w:line="271" w:lineRule="auto"/>
        <w:rPr>
          <w:sz w:val="20"/>
          <w:szCs w:val="20"/>
          <w:color w:val="auto"/>
        </w:rPr>
      </w:pPr>
      <w:r>
        <w:rPr>
          <w:rFonts w:ascii="Arial" w:cs="Arial" w:eastAsia="Arial" w:hAnsi="Arial"/>
          <w:sz w:val="17"/>
          <w:szCs w:val="17"/>
          <w:color w:val="auto"/>
        </w:rPr>
        <w:t>Equity and debt financings alone may not be sufficient to fund the cost of developing our cellular technologies, and we may need to rely on partnering or other arrangements to provide financial support for our cellular discovery and development efforts. In addition, in order to successfully develop and commercialize our technologies, we may need to enter into various arrangements with corporate sponsors, pharmaceutical companies, universities, research groups, and others. While we have engaged, and expect to continue to engage, in discussions regarding such arrangements, we have not reached any agreement, and we may fail to obtain any such agreement on terms acceptable to us. Even if we enter into such arrangements, we may not be able to satisfy our obligations under them or renew or replace them after their original terms expire. Furthermore, these arrangements may require us to grant rights to third parties, such as exclusive marketing rights to one or more products, may require us to issue securities to our collaborators and may contain other terms that are burdensome to us or result in a decrease in our stock price.</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unable to protect our patents and proprietary rights, our business, financial condition and results of operations may be materially harmed.</w:t>
      </w:r>
    </w:p>
    <w:p>
      <w:pPr>
        <w:spacing w:after="0" w:line="140" w:lineRule="exact"/>
        <w:rPr>
          <w:sz w:val="20"/>
          <w:szCs w:val="20"/>
          <w:color w:val="auto"/>
        </w:rPr>
      </w:pPr>
    </w:p>
    <w:p>
      <w:pPr>
        <w:ind w:right="40" w:firstLine="222"/>
        <w:spacing w:after="0" w:line="268" w:lineRule="auto"/>
        <w:rPr>
          <w:sz w:val="20"/>
          <w:szCs w:val="20"/>
          <w:color w:val="auto"/>
        </w:rPr>
      </w:pPr>
      <w:r>
        <w:rPr>
          <w:rFonts w:ascii="Arial" w:cs="Arial" w:eastAsia="Arial" w:hAnsi="Arial"/>
          <w:sz w:val="17"/>
          <w:szCs w:val="17"/>
          <w:color w:val="auto"/>
        </w:rPr>
        <w:t>We either own or exclusively license a number of patents and pending patent applications related to various stem and progenitor cells, including human neural stem cell cultures, as well as methods of deriving and using them. The process of obtaining patent protection for products such as those we propose to develop is highly uncertain and involves complex and continually evolving factual and legal questions. The governmental authorities that consider patent applications can deny or significantly reduce the patent coverage requested in an application either before or after issuing the patent. For example, under the procedures of the European Patent Office, third parties may oppose our issued European patents during the relevant opposition period. These proceedings and oppositions could result in substantial uncertainties and cost for us, even if the eventual outcome is favorable to us, and the outcome might not be favorable to us. In the United States, third parties may seek to invalidate or render unenforceable issued patents through a U.S. PTO reexamination process or through the courts; currently two of our patents are the subject of a reexamination proceeding and six of our patents are the subject of litigation. In addition, changes to the laws protecting intellectual property rights could adversely impact the perceived or actual value of our Company. Consequently, we do not know whether any of our pending applications will result in the issuance of patents, whether any of our issued patents will be invalidated or restricted, whether any existing or future patents will provide sufficient protection or significant commercial advantage, or whether others will circumvent these patents, whether or not lawfully. In addition, our patents may not afford us adequate protection from competing products. Moreover, because patents issue for a limited term, our patents may expire before we can commercialize a product covered by the issued patent claims or before we can utilize the patents profitably. Some of our most important patents begin to expire in 2015.</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9" w:name="page10"/>
    <w:bookmarkEnd w:id="9"/>
    <w:p>
      <w:pPr>
        <w:ind w:right="40" w:firstLine="225"/>
        <w:spacing w:after="0" w:line="255" w:lineRule="auto"/>
        <w:rPr>
          <w:sz w:val="20"/>
          <w:szCs w:val="20"/>
          <w:color w:val="auto"/>
        </w:rPr>
      </w:pPr>
      <w:r>
        <w:rPr>
          <w:rFonts w:ascii="Arial" w:cs="Arial" w:eastAsia="Arial" w:hAnsi="Arial"/>
          <w:sz w:val="18"/>
          <w:szCs w:val="18"/>
          <w:color w:val="auto"/>
        </w:rPr>
        <w:t>If we learn of third parties who infringe our patent rights, we may decide to initiate legal proceedings to enforce these rights. Patent litigation, including the pending litigation to which we are a party, is inherently unpredictable and highly risky and may result in unanticipated challenges to the validity or enforceability of our intellectual property, antitrust claims or other claims against us, which could result in the loss of these intellectual property rights. Litigation proceedings can be very time-consuming for management and are also very costly and the parties we bring actions against may have significantly greater financial resources than our own. We may not prevail in these proceedings and if we do not prevail we could be liable for damages as well as the costs and attorney fees of our opponents.</w:t>
      </w:r>
    </w:p>
    <w:p>
      <w:pPr>
        <w:spacing w:after="0" w:line="85"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Proprietary trade secrets and unpatented know-how are also important to our research and development activities. We cannot be certain that others will not independently develop the same or similar technologies on their own or gain access to our trade secrets or disclose such technology or that we will be able to meaningfully protect our trade secrets and unpatented know-how. We require our employees, consultants and significant scientific collaborators and sponsored researchers to execute confidentiality agreements upon the commencement of an employment or consulting relationship with us. These agreements may, however, fail to provide meaningful protection or adequate remedies for us in the event of unauthorized use, transfer or disclosure of such information or technology.</w:t>
      </w:r>
    </w:p>
    <w:p>
      <w:pPr>
        <w:spacing w:after="0" w:line="8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are unable to obtain necessary licenses to third-party patents and other rights, we may not be able to commercially develop our expected products.</w:t>
      </w:r>
    </w:p>
    <w:p>
      <w:pPr>
        <w:spacing w:after="0" w:line="152" w:lineRule="exact"/>
        <w:rPr>
          <w:sz w:val="20"/>
          <w:szCs w:val="20"/>
          <w:color w:val="auto"/>
        </w:rPr>
      </w:pPr>
    </w:p>
    <w:p>
      <w:pPr>
        <w:ind w:right="20" w:firstLine="215"/>
        <w:spacing w:after="0" w:line="270" w:lineRule="auto"/>
        <w:rPr>
          <w:sz w:val="20"/>
          <w:szCs w:val="20"/>
          <w:color w:val="auto"/>
        </w:rPr>
      </w:pPr>
      <w:r>
        <w:rPr>
          <w:rFonts w:ascii="Arial" w:cs="Arial" w:eastAsia="Arial" w:hAnsi="Arial"/>
          <w:sz w:val="17"/>
          <w:szCs w:val="17"/>
          <w:color w:val="auto"/>
        </w:rPr>
        <w:t>A number of pharmaceutical, biotechnology and other companies, universities and research institutions have filed patent applications or have received patents relating to cell therapy, stem and progenitor cells and other technologies potentially relevant to, or necessary for, our expected products. We cannot predict which, if any, of these applications will issue as patents or how many of these issued patents will be found valid and enforceable. There may also be existing issued patents which we are currently unaware of which would be infringed by the commercialization of one or more of our product candidates. If so, we may be prevented from commercializing these products unless the third party is willing to grant a license to us. We may be unable to obtain licenses to the relevant patents at a reasonable cost, if at all, and may also be unable to develop or obtain alternative non-infringing technology. If we are unable to obtain such licenses or develop non-infringing technology at a reasonable cost, our business could be significantly harmed. Also, any infringement lawsuits commenced against us may result in significant costs, divert our management’s attention and result in an award against us for substantial damages, or potentially prevent us from continuing certain operations.</w:t>
      </w:r>
    </w:p>
    <w:p>
      <w:pPr>
        <w:spacing w:after="0" w:line="74" w:lineRule="exact"/>
        <w:rPr>
          <w:sz w:val="20"/>
          <w:szCs w:val="20"/>
          <w:color w:val="auto"/>
        </w:rPr>
      </w:pPr>
    </w:p>
    <w:p>
      <w:pPr>
        <w:ind w:right="40" w:firstLine="222"/>
        <w:spacing w:after="0" w:line="271" w:lineRule="auto"/>
        <w:rPr>
          <w:sz w:val="20"/>
          <w:szCs w:val="20"/>
          <w:color w:val="auto"/>
        </w:rPr>
      </w:pPr>
      <w:r>
        <w:rPr>
          <w:rFonts w:ascii="Arial" w:cs="Arial" w:eastAsia="Arial" w:hAnsi="Arial"/>
          <w:sz w:val="17"/>
          <w:szCs w:val="17"/>
          <w:color w:val="auto"/>
        </w:rPr>
        <w:t>We are aware of intellectual property rights held by third parties that relate to products or technologies we are developing. For example, some aspects of our cell-based therapeutic product candidates involve the use of growth factors, antibodies and other reagents that may, in certain cases, be the subject of third party rights. Before we commercialize any product using these growth factors, antibodies or reagents, we may need to obtain license rights from third parties or use alternative growth factors, antibodies and reagents that are not then the subject of third party patent rights. We currently believe that the commercialization of our products as currently planned will not infringe these third party rights, or, alternatively, that we will be able to obtain necessary licenses or otherwise use alternative non-infringing technology. However, third parties may nonetheless bring suit against us claiming infringement. If we are unable to prove that our technology does not infringe their patents, or if we are unable to obtain necessary licenses or otherwise use alternative non-infringing technology, we may not be able to commercialize any products.</w:t>
      </w:r>
    </w:p>
    <w:p>
      <w:pPr>
        <w:spacing w:after="0" w:line="71" w:lineRule="exact"/>
        <w:rPr>
          <w:sz w:val="20"/>
          <w:szCs w:val="20"/>
          <w:color w:val="auto"/>
        </w:rPr>
      </w:pPr>
    </w:p>
    <w:p>
      <w:pPr>
        <w:ind w:right="220" w:firstLine="222"/>
        <w:spacing w:after="0" w:line="279" w:lineRule="auto"/>
        <w:rPr>
          <w:sz w:val="20"/>
          <w:szCs w:val="20"/>
          <w:color w:val="auto"/>
        </w:rPr>
      </w:pPr>
      <w:r>
        <w:rPr>
          <w:rFonts w:ascii="Arial" w:cs="Arial" w:eastAsia="Arial" w:hAnsi="Arial"/>
          <w:sz w:val="17"/>
          <w:szCs w:val="17"/>
          <w:color w:val="auto"/>
        </w:rPr>
        <w:t>We have obtained rights from companies, universities and research institutions to technologies, processes and compounds that we believe may be important to the development of our products. These licensors, however, may cancel our licenses or convert them to non-exclusive licenses if we fail to use the relevant technology or otherwise breach these agreements. Loss of these licenses could expose us to the risk that our technology infringes the rights of third parties. We can give no assurance that any of these licenses will provide effective protection against our competitors.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compete with companies that have significant advantages over us.</w:t>
      </w:r>
    </w:p>
    <w:p>
      <w:pPr>
        <w:spacing w:after="0" w:line="117" w:lineRule="exact"/>
        <w:rPr>
          <w:sz w:val="20"/>
          <w:szCs w:val="20"/>
          <w:color w:val="auto"/>
        </w:rPr>
      </w:pPr>
    </w:p>
    <w:p>
      <w:pPr>
        <w:ind w:right="140" w:firstLine="222"/>
        <w:spacing w:after="0" w:line="293" w:lineRule="auto"/>
        <w:rPr>
          <w:sz w:val="20"/>
          <w:szCs w:val="20"/>
          <w:color w:val="auto"/>
        </w:rPr>
      </w:pPr>
      <w:r>
        <w:rPr>
          <w:rFonts w:ascii="Arial" w:cs="Arial" w:eastAsia="Arial" w:hAnsi="Arial"/>
          <w:sz w:val="16"/>
          <w:szCs w:val="16"/>
          <w:color w:val="auto"/>
        </w:rPr>
        <w:t>The market for therapeutic products to treat diseases of, or injuries to, the central nervous system (CNS) is large and competition is intense. The majority of the products currently on the market or in development are small molecule pharmaceutical compounds, and many pharmaceutical companies have made significant commitments to the CNS field. We believe cellular therapies, if proven safe and effective, will have unique properties that will make them desirable over small molecule drugs, none of which currently replace damaged tissue. However, any cell-based therapeutic to treat diseases of, or injuries to, the CNS is likely to face intense competition from the small molecule sector, biologics, as well as medical devices. We expect to compete with a host of companies, some of which are privately owned and some of which have resources far greater than ours.</w:t>
      </w:r>
    </w:p>
    <w:p>
      <w:pPr>
        <w:spacing w:after="0" w:line="57" w:lineRule="exact"/>
        <w:rPr>
          <w:sz w:val="20"/>
          <w:szCs w:val="20"/>
          <w:color w:val="auto"/>
        </w:rPr>
      </w:pPr>
    </w:p>
    <w:p>
      <w:pPr>
        <w:ind w:right="60" w:firstLine="225"/>
        <w:spacing w:after="0" w:line="279" w:lineRule="auto"/>
        <w:rPr>
          <w:sz w:val="20"/>
          <w:szCs w:val="20"/>
          <w:color w:val="auto"/>
        </w:rPr>
      </w:pPr>
      <w:r>
        <w:rPr>
          <w:rFonts w:ascii="Arial" w:cs="Arial" w:eastAsia="Arial" w:hAnsi="Arial"/>
          <w:sz w:val="17"/>
          <w:szCs w:val="17"/>
          <w:color w:val="auto"/>
        </w:rPr>
        <w:t>In the liver field, there are no broad-based therapies for the treatment of liver disease at present. The primary therapy is liver transplantation, which is limited by the availability of matched donor organs. Liver-assist devices, when and if they become available, could also be used to help patients while they await suitably matched organs for transplantation. Liver transplantation may remain the standard of care even if we successfully develop a cellular therapy. In addition, new therapies may become available before we successfully develop a cell-based therapy for liver disease.</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0" w:name="page11"/>
    <w:bookmarkEnd w:id="10"/>
    <w:p>
      <w:pPr>
        <w:spacing w:after="0"/>
        <w:rPr>
          <w:sz w:val="20"/>
          <w:szCs w:val="20"/>
          <w:color w:val="auto"/>
        </w:rPr>
      </w:pPr>
      <w:r>
        <w:rPr>
          <w:rFonts w:ascii="Arial" w:cs="Arial" w:eastAsia="Arial" w:hAnsi="Arial"/>
          <w:sz w:val="17"/>
          <w:szCs w:val="17"/>
          <w:b w:val="1"/>
          <w:bCs w:val="1"/>
          <w:i w:val="1"/>
          <w:iCs w:val="1"/>
          <w:color w:val="auto"/>
        </w:rPr>
        <w:t>Development of our technologies is subject to, and restricted by, extensive government regulation, which could impede our business.</w:t>
      </w:r>
    </w:p>
    <w:p>
      <w:pPr>
        <w:spacing w:after="0" w:line="129" w:lineRule="exact"/>
        <w:rPr>
          <w:sz w:val="20"/>
          <w:szCs w:val="20"/>
          <w:color w:val="auto"/>
        </w:rPr>
      </w:pPr>
    </w:p>
    <w:p>
      <w:pPr>
        <w:ind w:right="160" w:firstLine="225"/>
        <w:spacing w:after="0" w:line="271" w:lineRule="auto"/>
        <w:rPr>
          <w:sz w:val="20"/>
          <w:szCs w:val="20"/>
          <w:color w:val="auto"/>
        </w:rPr>
      </w:pPr>
      <w:r>
        <w:rPr>
          <w:rFonts w:ascii="Arial" w:cs="Arial" w:eastAsia="Arial" w:hAnsi="Arial"/>
          <w:sz w:val="17"/>
          <w:szCs w:val="17"/>
          <w:color w:val="auto"/>
        </w:rPr>
        <w:t>Our research and development efforts, as well as any ongoing or future clinical trials, and the manufacturing and marketing of any products we may develop, will be subject to, and restricted by, extensive regulation by governmental authorities in the United States and other countries. The process of obtaining FDA and other necessary regulatory approvals is lengthy, expensive and uncertain. FDA and other legal and regulatory requirements applicable to the development and manufacture of the cells and cell lines required for our preclinical and clinical products could substantially delay or prevent us from producing the cells needed to initiate additional clinical trials. We or our collaborators may fail to obtain the necessary approvals to commence or continue clinical testing or to manufacture or market our potential products in reasonable time frames, if at all. In addition, the U.S. Congress and other legislative bodies may enact regulatory reforms or restrictions on the development of new therapies that could adversely affect the regulatory environment in which we operate or the development of any products we may develop.</w:t>
      </w:r>
    </w:p>
    <w:p>
      <w:pPr>
        <w:spacing w:after="0" w:line="71" w:lineRule="exact"/>
        <w:rPr>
          <w:sz w:val="20"/>
          <w:szCs w:val="20"/>
          <w:color w:val="auto"/>
        </w:rPr>
      </w:pPr>
    </w:p>
    <w:p>
      <w:pPr>
        <w:ind w:right="40" w:firstLine="222"/>
        <w:spacing w:after="0" w:line="271" w:lineRule="auto"/>
        <w:rPr>
          <w:sz w:val="20"/>
          <w:szCs w:val="20"/>
          <w:color w:val="auto"/>
        </w:rPr>
      </w:pPr>
      <w:r>
        <w:rPr>
          <w:rFonts w:ascii="Arial" w:cs="Arial" w:eastAsia="Arial" w:hAnsi="Arial"/>
          <w:sz w:val="17"/>
          <w:szCs w:val="17"/>
          <w:color w:val="auto"/>
        </w:rPr>
        <w:t>We base our research and development on the use of human stem and progenitor cells obtained from human tissue, including fetal tissue. The U.S. federal and state governments and other jurisdictions impose restrictions on the acquisition and use of fetal tissue, including those incorporated in federal Good Tissue Practice, or cGTP, regulations. These regulatory and other constraints could prevent us from obtaining cells and other components of our products in the quantity or quality needed for their development or commercialization. These restrictions change from time to time and may become more onerous. Additionally, we may not be able to identify or develop reliable sources for the cells necessary for our potential products — that is, sources that follow all state and federal laws and guidelines for cell procurement. Certain components used to manufacture our stem and progenitor cell product candidates will need to be manufactured in compliance with the FDA’s Good Manufacturing Practices, or cGMP. Accordingly, we will need to enter into supply agreements with companies that manufacture these components to cGMP standards.</w:t>
      </w:r>
    </w:p>
    <w:p>
      <w:pPr>
        <w:spacing w:after="0" w:line="71" w:lineRule="exact"/>
        <w:rPr>
          <w:sz w:val="20"/>
          <w:szCs w:val="20"/>
          <w:color w:val="auto"/>
        </w:rPr>
      </w:pPr>
    </w:p>
    <w:p>
      <w:pPr>
        <w:ind w:right="80" w:firstLine="225"/>
        <w:spacing w:after="0" w:line="276" w:lineRule="auto"/>
        <w:rPr>
          <w:sz w:val="20"/>
          <w:szCs w:val="20"/>
          <w:color w:val="auto"/>
        </w:rPr>
      </w:pPr>
      <w:r>
        <w:rPr>
          <w:rFonts w:ascii="Arial" w:cs="Arial" w:eastAsia="Arial" w:hAnsi="Arial"/>
          <w:sz w:val="17"/>
          <w:szCs w:val="17"/>
          <w:color w:val="auto"/>
        </w:rPr>
        <w:t>Noncompliance with applicable requirements both before and after approval, if any, can subject us, our third party suppliers and manufacturers, and our other collaborators to administrative and judicial sanctions, such as, among other things, warning letters, fines and other monetary payments, recall or seizure of products, criminal proceedings, suspension or withdrawal of regulatory approvals, interruption or cessation of clinical trials, total or partial suspension of production or distribution, injunctions, limitations on or the elimination of claims we can make for our products, and refusal of the government to enter into supply contracts or fund research, or delay in approving or refusal to approve new drug applications.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on the services of key personnel.</w:t>
      </w:r>
    </w:p>
    <w:p>
      <w:pPr>
        <w:spacing w:after="0" w:line="117" w:lineRule="exact"/>
        <w:rPr>
          <w:sz w:val="20"/>
          <w:szCs w:val="20"/>
          <w:color w:val="auto"/>
        </w:rPr>
      </w:pPr>
    </w:p>
    <w:p>
      <w:pPr>
        <w:ind w:right="20" w:firstLine="222"/>
        <w:spacing w:after="0" w:line="255" w:lineRule="auto"/>
        <w:rPr>
          <w:sz w:val="20"/>
          <w:szCs w:val="20"/>
          <w:color w:val="auto"/>
        </w:rPr>
      </w:pPr>
      <w:r>
        <w:rPr>
          <w:rFonts w:ascii="Arial" w:cs="Arial" w:eastAsia="Arial" w:hAnsi="Arial"/>
          <w:sz w:val="18"/>
          <w:szCs w:val="18"/>
          <w:color w:val="auto"/>
        </w:rPr>
        <w:t>We are highly dependent on the principal members of our management and scientific staff and some of our outside consultants, including the members of our scientific advisory board, our chief executive officer, our vice presidents, and the heads of key departments or functions within the company. Although we have entered into employment agreements with some of these individuals, they may terminate their agreements at any time. In addition, our operations are dependent upon our ability to attract and retain additional qualified scientific and management personnel. We may not be able to attract and retain the personnel we need on acceptable terms given the competition for experienced personnel among pharmaceutical, biotechnology and health care companies, universities and research institutions.</w:t>
      </w:r>
    </w:p>
    <w:p>
      <w:pPr>
        <w:spacing w:after="0" w:line="85" w:lineRule="exact"/>
        <w:rPr>
          <w:sz w:val="20"/>
          <w:szCs w:val="20"/>
          <w:color w:val="auto"/>
        </w:rPr>
      </w:pPr>
    </w:p>
    <w:p>
      <w:pPr>
        <w:ind w:right="120" w:firstLine="225"/>
        <w:spacing w:after="0" w:line="277" w:lineRule="auto"/>
        <w:rPr>
          <w:sz w:val="20"/>
          <w:szCs w:val="20"/>
          <w:color w:val="auto"/>
        </w:rPr>
      </w:pPr>
      <w:r>
        <w:rPr>
          <w:rFonts w:ascii="Arial" w:cs="Arial" w:eastAsia="Arial" w:hAnsi="Arial"/>
          <w:sz w:val="18"/>
          <w:szCs w:val="18"/>
          <w:color w:val="auto"/>
        </w:rPr>
        <w:t>Our activities involve hazardous materials and experimental animal testing; improper handling of these animals and materials by our employees or agents could expose us to significant legal and financial penalties.</w:t>
      </w:r>
    </w:p>
    <w:p>
      <w:pPr>
        <w:spacing w:after="0" w:line="62" w:lineRule="exact"/>
        <w:rPr>
          <w:sz w:val="20"/>
          <w:szCs w:val="20"/>
          <w:color w:val="auto"/>
        </w:rPr>
      </w:pPr>
    </w:p>
    <w:p>
      <w:pPr>
        <w:ind w:right="340" w:firstLine="225"/>
        <w:spacing w:after="0" w:line="259" w:lineRule="auto"/>
        <w:rPr>
          <w:sz w:val="20"/>
          <w:szCs w:val="20"/>
          <w:color w:val="auto"/>
        </w:rPr>
      </w:pPr>
      <w:r>
        <w:rPr>
          <w:rFonts w:ascii="Arial" w:cs="Arial" w:eastAsia="Arial" w:hAnsi="Arial"/>
          <w:sz w:val="18"/>
          <w:szCs w:val="18"/>
          <w:color w:val="auto"/>
        </w:rPr>
        <w:t>Our research and development activities involve the controlled use of test animals as well as hazardous chemicals and potentially hazardous biological materials such as human tissue. Their use subjects us to environmental and safety laws and regulations such as those governing laboratory procedures, exposure to blood-borne pathogens, use of laboratory animals, and the handling of biohazardous materials. Compliance with current or future laws and regulations may be expensive and the cost of compliance could adversely affect us.</w:t>
      </w:r>
    </w:p>
    <w:p>
      <w:pPr>
        <w:spacing w:after="0" w:line="79" w:lineRule="exact"/>
        <w:rPr>
          <w:sz w:val="20"/>
          <w:szCs w:val="20"/>
          <w:color w:val="auto"/>
        </w:rPr>
      </w:pPr>
    </w:p>
    <w:p>
      <w:pPr>
        <w:ind w:firstLine="215"/>
        <w:spacing w:after="0" w:line="271" w:lineRule="auto"/>
        <w:rPr>
          <w:sz w:val="20"/>
          <w:szCs w:val="20"/>
          <w:color w:val="auto"/>
        </w:rPr>
      </w:pPr>
      <w:r>
        <w:rPr>
          <w:rFonts w:ascii="Arial" w:cs="Arial" w:eastAsia="Arial" w:hAnsi="Arial"/>
          <w:sz w:val="17"/>
          <w:szCs w:val="17"/>
          <w:color w:val="auto"/>
        </w:rPr>
        <w:t>Although we believe that our safety procedures for using, handling, storing, and disposing of hazardous and potentially hazardous materials comply with the standards prescribed by California and federal regulations, the risk of accidental contamination or injury from these materials cannot be eliminated. In the event of such an accident or of any violation of these or future laws and regulations, state or federal authorities could curtail our use of these materials; we could be liable for any civil damages that result, the cost of which could be substantial; and we could be subjected to substantial fines or penalties. In addition, any failure by us to control the use, disposal, removal, or storage, or to adequately restrict the discharge, or to assist in the cleanup, of hazardous chemicals or hazardous, infectious or toxic substances could subject us to significant liability. Any such liability could exceed our resources and could have a material adverse effect on our business, financial condition and results of operations. Moreover, an accident could damage our research and manufacturing facilities and operations and result in serious adverse effects on our business.</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1" w:name="page12"/>
    <w:bookmarkEnd w:id="11"/>
    <w:p>
      <w:pPr>
        <w:ind w:right="420"/>
        <w:spacing w:after="0" w:line="277" w:lineRule="auto"/>
        <w:rPr>
          <w:sz w:val="20"/>
          <w:szCs w:val="20"/>
          <w:color w:val="auto"/>
        </w:rPr>
      </w:pPr>
      <w:r>
        <w:rPr>
          <w:rFonts w:ascii="Arial" w:cs="Arial" w:eastAsia="Arial" w:hAnsi="Arial"/>
          <w:sz w:val="18"/>
          <w:szCs w:val="18"/>
          <w:b w:val="1"/>
          <w:bCs w:val="1"/>
          <w:i w:val="1"/>
          <w:iCs w:val="1"/>
          <w:color w:val="auto"/>
        </w:rPr>
        <w:t>The development, manufacturing and commercialization of cell-based therapeutic products expose us to product liability claims, which could lead to substantial liability.</w:t>
      </w:r>
    </w:p>
    <w:p>
      <w:pPr>
        <w:spacing w:after="0" w:line="62" w:lineRule="exact"/>
        <w:rPr>
          <w:sz w:val="20"/>
          <w:szCs w:val="20"/>
          <w:color w:val="auto"/>
        </w:rPr>
      </w:pPr>
    </w:p>
    <w:p>
      <w:pPr>
        <w:jc w:val="both"/>
        <w:ind w:right="40" w:firstLine="225"/>
        <w:spacing w:after="0" w:line="259" w:lineRule="auto"/>
        <w:rPr>
          <w:sz w:val="20"/>
          <w:szCs w:val="20"/>
          <w:color w:val="auto"/>
        </w:rPr>
      </w:pPr>
      <w:r>
        <w:rPr>
          <w:rFonts w:ascii="Arial" w:cs="Arial" w:eastAsia="Arial" w:hAnsi="Arial"/>
          <w:sz w:val="18"/>
          <w:szCs w:val="18"/>
          <w:color w:val="auto"/>
        </w:rPr>
        <w:t>By developing and, ultimately, commercializing medical products, we are exposed to the risk of product liability claims. Product liability claims against us could result in substantial litigation costs and damage awards against us. We have obtained liability insurance that covers our clinical trials, and we will need to increase our insurance coverage if and when we begin commercializing products. We may not be able to obtain insurance on acceptable terms, if at all, and the policy limits on our insurance policies may be insufficient to cover our liability.</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manufacture of cell-based therapeutic products is novel, highly regulated, critical to our business, and dependent upon specialized key materials.</w:t>
      </w:r>
    </w:p>
    <w:p>
      <w:pPr>
        <w:spacing w:after="0" w:line="140" w:lineRule="exact"/>
        <w:rPr>
          <w:sz w:val="20"/>
          <w:szCs w:val="20"/>
          <w:color w:val="auto"/>
        </w:rPr>
      </w:pPr>
    </w:p>
    <w:p>
      <w:pPr>
        <w:ind w:right="60" w:firstLine="222"/>
        <w:spacing w:after="0" w:line="270" w:lineRule="auto"/>
        <w:rPr>
          <w:sz w:val="20"/>
          <w:szCs w:val="20"/>
          <w:color w:val="auto"/>
        </w:rPr>
      </w:pPr>
      <w:r>
        <w:rPr>
          <w:rFonts w:ascii="Arial" w:cs="Arial" w:eastAsia="Arial" w:hAnsi="Arial"/>
          <w:sz w:val="17"/>
          <w:szCs w:val="17"/>
          <w:color w:val="auto"/>
        </w:rPr>
        <w:t>The proliferation and manufacture of cell-based therapeutic products are complicated and difficult processes, dependent upon substantial know-how and subject to the need for continual process improvements to be competitive. Our manufacturing experience is limited and the technologies are comparatively new. In addition, our ability to scale-up manufacturing to satisfy the various requirements of our planned clinical trials, such as GTP, GMP and release testing requirements, is uncertain. Manufacturing disruptions may occur and despite efforts to regulate and control all aspects of manufacturing, the potential for human or system failure remains. Manufacturing irregularities or lapses in quality control could have a serious adverse effect on our reputation and business, which could cause a significant loss of stockholder value. Many of the materials that we use to prepare our cell-based products are highly specialized, complex and available from only a limited number of suppliers or derived from a biological origin. At present, some of our material requirements are single sourced, and the loss of one or more of these sources may adversely affect our business if we are unable to obtain alternatives or alternative sources at all or upon terms that are acceptable to us.</w:t>
      </w:r>
    </w:p>
    <w:p>
      <w:pPr>
        <w:spacing w:after="0" w:line="74"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Because health care insurers and other organizations may not pay for our products or may impose limits on reimbursements, our ability to become profitable could be adversely affected.</w:t>
      </w:r>
    </w:p>
    <w:p>
      <w:pPr>
        <w:spacing w:after="0" w:line="62" w:lineRule="exact"/>
        <w:rPr>
          <w:sz w:val="20"/>
          <w:szCs w:val="20"/>
          <w:color w:val="auto"/>
        </w:rPr>
      </w:pPr>
    </w:p>
    <w:p>
      <w:pPr>
        <w:ind w:right="20" w:firstLine="225"/>
        <w:spacing w:after="0" w:line="285" w:lineRule="auto"/>
        <w:rPr>
          <w:sz w:val="20"/>
          <w:szCs w:val="20"/>
          <w:color w:val="auto"/>
        </w:rPr>
      </w:pPr>
      <w:r>
        <w:rPr>
          <w:rFonts w:ascii="Arial" w:cs="Arial" w:eastAsia="Arial" w:hAnsi="Arial"/>
          <w:sz w:val="16"/>
          <w:szCs w:val="16"/>
          <w:color w:val="auto"/>
        </w:rPr>
        <w:t>In both domestic and foreign markets, sales of potential products are likely to depend in part upon the availability and amounts of reimbursement from third-party health care payor organizations, including government agencies, private health care insurers and other health care payors, such as health maintenance organizations and self-insured employee plans. There is considerable pressure to reduce the cost of therapeutic products. Government and other third party payors are increasingly attempting to contain health care costs by limiting both coverage and the level of reimbursement for new therapeutic products and by refusing, in some cases, to provide any coverage for uses of approved products for disease indications for which the FDA or other relevant authority has not granted marketing approval. Moreover, in some cases, government and other third party payors have refused to provide reimbursement for uses of approved products for disease indications for which the FDA or other relevant authority has granted marketing approval. Significant uncertainty exists as to the reimbursement status of newly approved health care products or novel therapies such as ours. Even if we obtain regulatory approval to market our products, we can give no assurance that reimbursement will be provided by such payors at all or without substantial delay or, if such reimbursement is provided, that the approved reimbursement amounts will be sufficient to enable us to sell products we develop on a profitable basis. Changes in reimbursement policies could also adversely affect the willingness of pharmaceutical companies to collaborate with us on the development of our cellular technologies. In certain foreign markets, pricing or profitability of prescription pharmaceuticals is subject to government control. We also expect that there will continue to be a number of federal and state proposals to implement government control over health care costs. Efforts to change regulatory and reimbursement standards are likely to continue in future legislative sessions. We do not know what legislative proposals federal or state governments will adopt or what actions federal, state or private payors for health care goods and services may take in response to such proposals or legislation. We cannot predict the effect of government control and health care reimbursement practices on our business.</w:t>
      </w:r>
    </w:p>
    <w:p>
      <w:pPr>
        <w:spacing w:after="0" w:line="70"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Ethical and other concerns surrounding the use of stem or progenitor-based cell therapy may negatively affect regulatory approval or public perception of our product candidates, which could reduce demand for our products or depress our stock price.</w:t>
      </w:r>
    </w:p>
    <w:p>
      <w:pPr>
        <w:spacing w:after="0" w:line="62" w:lineRule="exact"/>
        <w:rPr>
          <w:sz w:val="20"/>
          <w:szCs w:val="20"/>
          <w:color w:val="auto"/>
        </w:rPr>
      </w:pPr>
    </w:p>
    <w:p>
      <w:pPr>
        <w:ind w:right="20" w:firstLine="222"/>
        <w:spacing w:after="0" w:line="269" w:lineRule="auto"/>
        <w:rPr>
          <w:sz w:val="20"/>
          <w:szCs w:val="20"/>
          <w:color w:val="auto"/>
        </w:rPr>
      </w:pPr>
      <w:r>
        <w:rPr>
          <w:rFonts w:ascii="Arial" w:cs="Arial" w:eastAsia="Arial" w:hAnsi="Arial"/>
          <w:sz w:val="17"/>
          <w:szCs w:val="17"/>
          <w:color w:val="auto"/>
        </w:rPr>
        <w:t>The use of stem cells for research and therapy has been the subject of debate regarding related ethical, legal and social issues. Although these concerns have mainly been directed to the use of embryonic stem cells, which we do not use, the distinction between embryonic and non-embryonic stem cells is frequently overlooked; moreover, our use of human stem or progenitor cells from fetal sources might raise these or similar concerns. Negative public attitudes toward stem cell therapy could result in greater governmental regulation of stem cell therapies, which could harm our business. For example, concerns regarding such possible regulation could impact our ability to attract collaborators and investors. Also, existing regulatory constraints on the use of embryonic stem cells may in the future be extended to use of fetal stem cells, and these constraints might prohibit or restrict us from conducting research or from commercializing products. Existing and potential U.S. government regulation of embryonic tissue may lead researchers to leave the field of stem cell research or the country altogether, in order to assure that their careers will not be impeded by restrictions on their work. Similarly, these factors may induce graduate students to choose other fields less vulnerable to changes in regulatory oversight, thus exacerbating the risk that we may not be able to attract and retain the scientific personnel we need in face of the competition among pharmaceutical, biotechnology and health care companies, universities and research institutions for what may become a shrinking class of qualified individuals.</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2" w:name="page13"/>
    <w:bookmarkEnd w:id="12"/>
    <w:p>
      <w:pPr>
        <w:ind w:right="100"/>
        <w:spacing w:after="0" w:line="277" w:lineRule="auto"/>
        <w:rPr>
          <w:sz w:val="20"/>
          <w:szCs w:val="20"/>
          <w:color w:val="auto"/>
        </w:rPr>
      </w:pPr>
      <w:r>
        <w:rPr>
          <w:rFonts w:ascii="Arial" w:cs="Arial" w:eastAsia="Arial" w:hAnsi="Arial"/>
          <w:sz w:val="18"/>
          <w:szCs w:val="18"/>
          <w:b w:val="1"/>
          <w:bCs w:val="1"/>
          <w:i w:val="1"/>
          <w:iCs w:val="1"/>
          <w:color w:val="auto"/>
        </w:rPr>
        <w:t>Our corporate documents and Delaware law contain provisions that could make it difficult for us to be acquired in a transaction that might be beneficial to our stockholders.</w:t>
      </w:r>
    </w:p>
    <w:p>
      <w:pPr>
        <w:spacing w:after="0" w:line="62" w:lineRule="exact"/>
        <w:rPr>
          <w:sz w:val="20"/>
          <w:szCs w:val="20"/>
          <w:color w:val="auto"/>
        </w:rPr>
      </w:pPr>
    </w:p>
    <w:p>
      <w:pPr>
        <w:ind w:right="20" w:firstLine="225"/>
        <w:spacing w:after="0" w:line="312" w:lineRule="auto"/>
        <w:rPr>
          <w:sz w:val="20"/>
          <w:szCs w:val="20"/>
          <w:color w:val="auto"/>
        </w:rPr>
      </w:pPr>
      <w:r>
        <w:rPr>
          <w:rFonts w:ascii="Arial" w:cs="Arial" w:eastAsia="Arial" w:hAnsi="Arial"/>
          <w:sz w:val="16"/>
          <w:szCs w:val="16"/>
          <w:color w:val="auto"/>
        </w:rPr>
        <w:t>Our board of directors has the authority to issue shares of preferred stock and to fix the rights, preferences, privileges, and restrictions of these shares without stockholder approval. These provisions in our corporate documents, along with certain provisions under Delaware law, may make it more difficult for a third party to acquire us or discourage a third party from attempting to acquire us, even if the acquisition might be beneficial to our stockholders.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Risks Related to the Securities Market</w:t>
      </w:r>
    </w:p>
    <w:p>
      <w:pPr>
        <w:spacing w:after="0" w:line="12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Our stock price has been, and will likely continue to be, highly volatile, which may negatively affect our ability to obtain additional financing in the future.</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market price per share of our common stock has been and is likely to continue to be highly volatile due to the risks and uncertainties described in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Exhibit, as well as other factors, including:</w:t>
      </w:r>
    </w:p>
    <w:p>
      <w:pPr>
        <w:spacing w:after="0" w:line="103"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our ability to develop and test our technologies;</w:t>
      </w:r>
    </w:p>
    <w:p>
      <w:pPr>
        <w:spacing w:after="0" w:line="130" w:lineRule="exact"/>
        <w:rPr>
          <w:rFonts w:ascii="Arial" w:cs="Arial" w:eastAsia="Arial" w:hAnsi="Arial"/>
          <w:sz w:val="18"/>
          <w:szCs w:val="18"/>
          <w:b w:val="1"/>
          <w:bCs w:val="1"/>
          <w:color w:val="auto"/>
        </w:rPr>
      </w:pPr>
    </w:p>
    <w:p>
      <w:pPr>
        <w:ind w:left="220" w:hanging="212"/>
        <w:spacing w:after="0"/>
        <w:tabs>
          <w:tab w:leader="none" w:pos="22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our ability to patent or obtain licenses to necessary technologies;</w:t>
      </w:r>
    </w:p>
    <w:p>
      <w:pPr>
        <w:spacing w:after="0" w:line="130" w:lineRule="exact"/>
        <w:rPr>
          <w:rFonts w:ascii="Arial" w:cs="Arial" w:eastAsia="Arial" w:hAnsi="Arial"/>
          <w:sz w:val="18"/>
          <w:szCs w:val="18"/>
          <w:b w:val="1"/>
          <w:bCs w:val="1"/>
          <w:color w:val="auto"/>
        </w:rPr>
      </w:pPr>
    </w:p>
    <w:p>
      <w:pPr>
        <w:ind w:left="220" w:hanging="212"/>
        <w:spacing w:after="0"/>
        <w:tabs>
          <w:tab w:leader="none" w:pos="22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conditions and publicity regarding the industry in which we operate, as well as the specific areas our product candidates seek to address;</w:t>
      </w:r>
    </w:p>
    <w:p>
      <w:pPr>
        <w:spacing w:after="0" w:line="130" w:lineRule="exact"/>
        <w:rPr>
          <w:rFonts w:ascii="Arial" w:cs="Arial" w:eastAsia="Arial" w:hAnsi="Arial"/>
          <w:sz w:val="18"/>
          <w:szCs w:val="18"/>
          <w:b w:val="1"/>
          <w:bCs w:val="1"/>
          <w:color w:val="auto"/>
        </w:rPr>
      </w:pPr>
    </w:p>
    <w:p>
      <w:pPr>
        <w:ind w:left="220" w:hanging="212"/>
        <w:spacing w:after="0"/>
        <w:tabs>
          <w:tab w:leader="none" w:pos="22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competition in our industry;</w:t>
      </w:r>
    </w:p>
    <w:p>
      <w:pPr>
        <w:spacing w:after="0" w:line="130" w:lineRule="exact"/>
        <w:rPr>
          <w:rFonts w:ascii="Arial" w:cs="Arial" w:eastAsia="Arial" w:hAnsi="Arial"/>
          <w:sz w:val="18"/>
          <w:szCs w:val="18"/>
          <w:b w:val="1"/>
          <w:bCs w:val="1"/>
          <w:color w:val="auto"/>
        </w:rPr>
      </w:pPr>
    </w:p>
    <w:p>
      <w:pPr>
        <w:ind w:left="220" w:hanging="212"/>
        <w:spacing w:after="0"/>
        <w:tabs>
          <w:tab w:leader="none" w:pos="22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economic and other external factors or other disasters or crises;</w:t>
      </w:r>
    </w:p>
    <w:p>
      <w:pPr>
        <w:spacing w:after="0" w:line="130" w:lineRule="exact"/>
        <w:rPr>
          <w:rFonts w:ascii="Arial" w:cs="Arial" w:eastAsia="Arial" w:hAnsi="Arial"/>
          <w:sz w:val="18"/>
          <w:szCs w:val="18"/>
          <w:b w:val="1"/>
          <w:bCs w:val="1"/>
          <w:color w:val="auto"/>
        </w:rPr>
      </w:pPr>
    </w:p>
    <w:p>
      <w:pPr>
        <w:ind w:left="220" w:hanging="212"/>
        <w:spacing w:after="0"/>
        <w:tabs>
          <w:tab w:leader="none" w:pos="22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price and volume fluctuations in the stock market at large that are unrelated to our operating performance; and</w:t>
      </w:r>
    </w:p>
    <w:p>
      <w:pPr>
        <w:spacing w:after="0" w:line="130" w:lineRule="exact"/>
        <w:rPr>
          <w:rFonts w:ascii="Arial" w:cs="Arial" w:eastAsia="Arial" w:hAnsi="Arial"/>
          <w:sz w:val="18"/>
          <w:szCs w:val="18"/>
          <w:b w:val="1"/>
          <w:bCs w:val="1"/>
          <w:color w:val="auto"/>
        </w:rPr>
      </w:pPr>
    </w:p>
    <w:p>
      <w:pPr>
        <w:ind w:left="220" w:hanging="212"/>
        <w:spacing w:after="0"/>
        <w:tabs>
          <w:tab w:leader="none" w:pos="22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comments by securities analysts, or our failure to meet market expectations.</w:t>
      </w:r>
    </w:p>
    <w:p>
      <w:pPr>
        <w:spacing w:after="0" w:line="117" w:lineRule="exact"/>
        <w:rPr>
          <w:sz w:val="20"/>
          <w:szCs w:val="20"/>
          <w:color w:val="auto"/>
        </w:rPr>
      </w:pPr>
    </w:p>
    <w:p>
      <w:pPr>
        <w:jc w:val="both"/>
        <w:ind w:firstLine="225"/>
        <w:spacing w:after="0" w:line="264" w:lineRule="auto"/>
        <w:rPr>
          <w:sz w:val="20"/>
          <w:szCs w:val="20"/>
          <w:color w:val="auto"/>
        </w:rPr>
      </w:pPr>
      <w:r>
        <w:rPr>
          <w:rFonts w:ascii="Arial" w:cs="Arial" w:eastAsia="Arial" w:hAnsi="Arial"/>
          <w:sz w:val="18"/>
          <w:szCs w:val="18"/>
          <w:color w:val="auto"/>
        </w:rPr>
        <w:t>Over the two-year period ended November 11, 2008, the trading price of our common stock as reported on The Nasdaq Global Market ranged from a high of $3.63 to a low of $0.66. As a result of this volatility, your investment in our stock is subject to substantial risk. Furthermore, the volatility of our stock price could negatively impact our ability to raise capital or acquire businesses or technologies.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contractually obligated to issue shares in the future, diluting the interest of current stockholders.</w:t>
      </w:r>
    </w:p>
    <w:p>
      <w:pPr>
        <w:spacing w:after="0" w:line="117" w:lineRule="exact"/>
        <w:rPr>
          <w:sz w:val="20"/>
          <w:szCs w:val="20"/>
          <w:color w:val="auto"/>
        </w:rPr>
      </w:pPr>
    </w:p>
    <w:p>
      <w:pPr>
        <w:ind w:right="120" w:firstLine="225"/>
        <w:spacing w:after="0" w:line="293" w:lineRule="auto"/>
        <w:rPr>
          <w:sz w:val="20"/>
          <w:szCs w:val="20"/>
          <w:color w:val="auto"/>
        </w:rPr>
      </w:pPr>
      <w:r>
        <w:rPr>
          <w:rFonts w:ascii="Arial" w:cs="Arial" w:eastAsia="Arial" w:hAnsi="Arial"/>
          <w:sz w:val="16"/>
          <w:szCs w:val="16"/>
          <w:color w:val="auto"/>
        </w:rPr>
        <w:t>On November 17, 2008 we issued warrants to purchase up to 10,344,828 shares of our common stock at an exercise price of $2.30 per share. In addition, as of September 30, 2008, there were outstanding warrants to purchase 1,255,000 shares of our common stock, at a weighted average exercise price of $1.90 per share. Also as of September 30, 2008, there were outstanding options to purchase 8,471,887 shares of our common stock, at a weighted average exercise price of $2.33 per share, and 1,650,000 restricted stock units. Moreover, we expect to issue additional options to purchase shares of our common stock to compensate employees, consultants and directors, and may issue additional shares to raise capital, to acquire other companies or technologies, to pay for services, or for other corporate purposes. Any such issuances will have the effect of diluting the interest of current stockholders.</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935" w:right="259" w:bottom="1440" w:gutter="0" w:footer="0" w:header="0"/>
        </w:sectPr>
      </w:pPr>
    </w:p>
    <w:bookmarkStart w:id="13" w:name="page14"/>
    <w:bookmarkEnd w:id="13"/>
    <w:p>
      <w:pPr>
        <w:jc w:val="right"/>
        <w:spacing w:after="0"/>
        <w:rPr>
          <w:sz w:val="20"/>
          <w:szCs w:val="20"/>
          <w:color w:val="auto"/>
        </w:rPr>
      </w:pPr>
      <w:r>
        <w:rPr>
          <w:rFonts w:ascii="Arial" w:cs="Arial" w:eastAsia="Arial" w:hAnsi="Arial"/>
          <w:sz w:val="18"/>
          <w:szCs w:val="18"/>
          <w:b w:val="1"/>
          <w:bCs w:val="1"/>
          <w:color w:val="auto"/>
        </w:rPr>
        <w:t>Exhibit 99.2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STEMCELLS, INC. CLOSES $20 MILLION EQUITY FINANCING</w:t>
      </w:r>
    </w:p>
    <w:p>
      <w:pPr>
        <w:spacing w:after="0" w:line="117" w:lineRule="exact"/>
        <w:rPr>
          <w:sz w:val="20"/>
          <w:szCs w:val="20"/>
          <w:color w:val="auto"/>
        </w:rPr>
      </w:pPr>
    </w:p>
    <w:p>
      <w:pPr>
        <w:ind w:right="220"/>
        <w:spacing w:after="0" w:line="272" w:lineRule="auto"/>
        <w:rPr>
          <w:sz w:val="20"/>
          <w:szCs w:val="20"/>
          <w:color w:val="auto"/>
        </w:rPr>
      </w:pPr>
      <w:r>
        <w:rPr>
          <w:rFonts w:ascii="Arial" w:cs="Arial" w:eastAsia="Arial" w:hAnsi="Arial"/>
          <w:sz w:val="17"/>
          <w:szCs w:val="17"/>
          <w:b w:val="1"/>
          <w:bCs w:val="1"/>
          <w:color w:val="auto"/>
        </w:rPr>
        <w:t xml:space="preserve">PALO ALTO, Calif. November 18, 2008 — </w:t>
      </w:r>
      <w:r>
        <w:rPr>
          <w:rFonts w:ascii="Arial" w:cs="Arial" w:eastAsia="Arial" w:hAnsi="Arial"/>
          <w:sz w:val="17"/>
          <w:szCs w:val="17"/>
          <w:color w:val="auto"/>
        </w:rPr>
        <w:t>StemCells, Inc. (NASDAQ: STEM) announced today that it has closed the sale of 13,793,104 units to certain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institutional investors at a price of $1.45 per unit, for gross proceeds of $20.0 million. Each unit consists of one share of common stock and one five-year warrant to purchase 0.75 share of common stock at an exercise price of $2.30 per share. The units were sold in a registered direct offering under the Company’s effective shelf registration statement previously filed with the Securities and Exchange Commission (SEC). The Company received total proceeds, net of offering expenses and placement agency fees, of approximately $18.5 million. The proceeds will be used for general corporate purposes, including working capital, product development and capital expenditures, as well as for other strategic purposes. At September 30, 2008, the Company had cash, cash equivalents, and marketable debt securities of approximately $21.3 million, and together with the net proceeds of this offering, would have a </w:t>
      </w:r>
      <w:r>
        <w:rPr>
          <w:rFonts w:ascii="Arial" w:cs="Arial" w:eastAsia="Arial" w:hAnsi="Arial"/>
          <w:sz w:val="17"/>
          <w:szCs w:val="17"/>
          <w:i w:val="1"/>
          <w:iCs w:val="1"/>
          <w:color w:val="auto"/>
        </w:rPr>
        <w:t>pro</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forma </w:t>
      </w:r>
      <w:r>
        <w:rPr>
          <w:rFonts w:ascii="Arial" w:cs="Arial" w:eastAsia="Arial" w:hAnsi="Arial"/>
          <w:sz w:val="17"/>
          <w:szCs w:val="17"/>
          <w:color w:val="auto"/>
        </w:rPr>
        <w:t>cash balance of approximately $39.8 million.</w:t>
      </w:r>
    </w:p>
    <w:p>
      <w:pPr>
        <w:spacing w:after="0" w:line="68" w:lineRule="exact"/>
        <w:rPr>
          <w:sz w:val="20"/>
          <w:szCs w:val="20"/>
          <w:color w:val="auto"/>
        </w:rPr>
      </w:pPr>
    </w:p>
    <w:p>
      <w:pPr>
        <w:jc w:val="both"/>
        <w:ind w:right="340"/>
        <w:spacing w:after="0" w:line="312" w:lineRule="auto"/>
        <w:rPr>
          <w:sz w:val="20"/>
          <w:szCs w:val="20"/>
          <w:color w:val="auto"/>
        </w:rPr>
      </w:pPr>
      <w:r>
        <w:rPr>
          <w:rFonts w:ascii="Arial" w:cs="Arial" w:eastAsia="Arial" w:hAnsi="Arial"/>
          <w:sz w:val="16"/>
          <w:szCs w:val="16"/>
          <w:color w:val="auto"/>
        </w:rPr>
        <w:t>“It is no secret that development-stage biotechnology companies like StemCells need to raise capital from time to time. The capital markets are extremely volatile and impossible to predict, so we are pleased to have strengthened our cash reserves in such turbulent times,” said Martin McGlynn, President and Chief Executive Officer. “We will continue to focus our efforts on managing our resources prudently and building long-term shareholder value.”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StemCells, Inc.</w:t>
      </w:r>
    </w:p>
    <w:p>
      <w:pPr>
        <w:spacing w:after="0" w:line="27" w:lineRule="exact"/>
        <w:rPr>
          <w:sz w:val="20"/>
          <w:szCs w:val="20"/>
          <w:color w:val="auto"/>
        </w:rPr>
      </w:pPr>
    </w:p>
    <w:p>
      <w:pPr>
        <w:ind w:right="160"/>
        <w:spacing w:after="0" w:line="268" w:lineRule="auto"/>
        <w:rPr>
          <w:sz w:val="20"/>
          <w:szCs w:val="20"/>
          <w:color w:val="auto"/>
        </w:rPr>
      </w:pPr>
      <w:r>
        <w:rPr>
          <w:rFonts w:ascii="Arial" w:cs="Arial" w:eastAsia="Arial" w:hAnsi="Arial"/>
          <w:sz w:val="17"/>
          <w:szCs w:val="17"/>
          <w:color w:val="auto"/>
        </w:rPr>
        <w:t>StemCells, Inc. is a clinical-stage biotechnology company focused on the discovery, development and commercialization of cell-based therapeutics to treat diseases of the central nervous system and liver. The Company’s product development programs seek to repair or repopulate CNS and liver tissue that has been damaged or lost as a result of disease or injury. StemCells has pioneered the discovery and development of HuCNS-SC</w:t>
      </w:r>
      <w:r>
        <w:rPr>
          <w:rFonts w:ascii="Arial" w:cs="Arial" w:eastAsia="Arial" w:hAnsi="Arial"/>
          <w:sz w:val="14"/>
          <w:szCs w:val="14"/>
          <w:color w:val="auto"/>
        </w:rPr>
        <w:t>®</w:t>
      </w:r>
      <w:r>
        <w:rPr>
          <w:rFonts w:ascii="Arial" w:cs="Arial" w:eastAsia="Arial" w:hAnsi="Arial"/>
          <w:sz w:val="17"/>
          <w:szCs w:val="17"/>
          <w:color w:val="auto"/>
        </w:rPr>
        <w:t xml:space="preserve"> cells, its highly purified, expandable population of human neural stem cells. StemCells has completed enrollment and dosing of a six patient Phase I clinical trial of its proprietary HuCNS-SC product candidate as a treatment for neuronal ceroid lipofuscinosis (NCL) and expects the trial to be completed in January 2009. NCL, which is often referred to as Batten disease, is a rare and fatal neurodegenerative disease that affects infants and young children. StemCells owns or has exclusive rights to more than 50 issued or allowed U.S. patents and more than 150 granted or allowed non-U.S. patents. Further information about the Company is available on its web site at: </w:t>
      </w:r>
      <w:r>
        <w:rPr>
          <w:rFonts w:ascii="Arial" w:cs="Arial" w:eastAsia="Arial" w:hAnsi="Arial"/>
          <w:sz w:val="17"/>
          <w:szCs w:val="17"/>
          <w:u w:val="single" w:color="auto"/>
          <w:color w:val="auto"/>
        </w:rPr>
        <w:t>www.stemcellsinc.com</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4" w:name="page15"/>
    <w:bookmarkEnd w:id="14"/>
    <w:p>
      <w:pPr>
        <w:spacing w:after="0" w:line="268" w:lineRule="auto"/>
        <w:rPr>
          <w:sz w:val="20"/>
          <w:szCs w:val="20"/>
          <w:color w:val="auto"/>
        </w:rPr>
      </w:pPr>
      <w:r>
        <w:rPr>
          <w:rFonts w:ascii="Arial" w:cs="Arial" w:eastAsia="Arial" w:hAnsi="Arial"/>
          <w:sz w:val="17"/>
          <w:szCs w:val="17"/>
          <w:i w:val="1"/>
          <w:iCs w:val="1"/>
          <w:color w:val="auto"/>
        </w:rPr>
        <w:t>Apart from statements of historical fact, the text of this press release constitutes forward-looking statements regarding, among other things, the future business operations of StemCells, Inc. (the “Company”) and its ability to conduct clinical trials as well as its research and product development efforts. These forward-looking statements speak only as of the date of this news release. The Company does not undertake to update any of these forward-looking statements to reflect events or circumstances that occur after the date hereof. Such statements reflect management’s current views and are based on certain assumptions that may or may not ultimately prove valid. The Company’s actual results may vary materially from those contemplated in such forward-looking statements due to risks and uncertainties to which the Company is subject, including uncertainty as to whether the FDA or other applicable regulatory agencies will permit the Company to continue clinical testing in NCL or in future clinical trials of proposed therapies for other diseases or conditions despite the novel and unproven nature of the Company’s technologies; uncertainties regarding the Company’s ability to obtain the increased capital resources needed to continue its current research and development operations and to conduct the research, preclinical development and clinical trials necessary for regulatory approvals; uncertainty regarding the validity and enforceability of the Company’s patents; uncertainty as to whether HuCNS-SC and any products that may be generated in the future in the Company’s cell-based programs will prove safe and clinically effective and not cause tumors or other adverse side effects; uncertainties regarding the Company’s manufacturing capabilities given its increasing preclinical and clinical commitments; uncertainties as to whether the Company will achieve revenues from product sales or become profitable; and other factors that are described under the heading “Risk Factors” in Item 1A of Part II of the Company’s Quarterly Report on Form 10-Q.</w:t>
      </w:r>
    </w:p>
    <w:p>
      <w:pPr>
        <w:sectPr>
          <w:pgSz w:w="11900" w:h="16838" w:orient="portrait"/>
          <w:cols w:equalWidth="0" w:num="1">
            <w:col w:w="11400"/>
          </w:cols>
          <w:pgMar w:left="240" w:top="935" w:right="259" w:bottom="1440" w:gutter="0" w:footer="0" w:header="0"/>
        </w:sectPr>
      </w:pP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CONTACT:</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StemCells,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Rodney Young</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Chief Financial Officer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650-475-3100, Ext. 105</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irpr@stemcellsinc.com</w:t>
      </w:r>
    </w:p>
    <w:p>
      <w:pPr>
        <w:spacing w:after="0" w:line="200" w:lineRule="exact"/>
        <w:rPr>
          <w:sz w:val="20"/>
          <w:szCs w:val="20"/>
          <w:color w:val="auto"/>
        </w:rPr>
      </w:pPr>
    </w:p>
    <w:p>
      <w:pPr>
        <w:sectPr>
          <w:pgSz w:w="11900" w:h="16838" w:orient="portrait"/>
          <w:cols w:equalWidth="0" w:num="2">
            <w:col w:w="880" w:space="500"/>
            <w:col w:w="10020"/>
          </w:cols>
          <w:pgMar w:left="240" w:top="935" w:right="259" w:bottom="1440" w:gutter="0" w:footer="0" w:header="0"/>
          <w:type w:val="continuous"/>
        </w:sectPr>
      </w:pP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SOURCE:</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StemCells, Inc.</w:t>
      </w:r>
    </w:p>
    <w:sectPr>
      <w:pgSz w:w="11900" w:h="16838" w:orient="portrait"/>
      <w:cols w:equalWidth="0" w:num="2">
        <w:col w:w="760" w:space="620"/>
        <w:col w:w="10020"/>
      </w:cols>
      <w:pgMar w:left="240" w:top="935" w:right="2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o"/>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2019-12-11T14:52:46Z</dcterms:created>
  <dcterms:modified xsi:type="dcterms:W3CDTF">2019-12-11T14:52:46Z</dcterms:modified>
</cp:coreProperties>
</file>