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333-273207</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154305</wp:posOffset>
            </wp:positionV>
            <wp:extent cx="257175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2,281,626 Shares of Common Stock</w:t>
      </w:r>
    </w:p>
    <w:p>
      <w:pPr>
        <w:spacing w:after="0" w:line="229" w:lineRule="exact"/>
        <w:rPr>
          <w:sz w:val="24"/>
          <w:szCs w:val="24"/>
          <w:color w:val="auto"/>
        </w:rPr>
      </w:pPr>
    </w:p>
    <w:p>
      <w:pPr>
        <w:jc w:val="both"/>
        <w:spacing w:after="0" w:line="301" w:lineRule="auto"/>
        <w:rPr>
          <w:sz w:val="20"/>
          <w:szCs w:val="20"/>
          <w:color w:val="auto"/>
        </w:rPr>
      </w:pPr>
      <w:r>
        <w:rPr>
          <w:rFonts w:ascii="Arial" w:cs="Arial" w:eastAsia="Arial" w:hAnsi="Arial"/>
          <w:sz w:val="16"/>
          <w:szCs w:val="16"/>
          <w:color w:val="auto"/>
        </w:rPr>
        <w:t>This prospectus relates to the sale or other disposition from time to time of up to 2,281,626 shares of our common stock, $0.01 par value per share, including 385,246 issued and outstanding shares of our common stock, and an aggregate of up to 1,896,380 shares issuable upon the exercise of options and warrants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57" w:lineRule="exact"/>
        <w:rPr>
          <w:sz w:val="24"/>
          <w:szCs w:val="24"/>
          <w:color w:val="auto"/>
        </w:rPr>
      </w:pPr>
    </w:p>
    <w:p>
      <w:pPr>
        <w:jc w:val="both"/>
        <w:spacing w:after="0" w:line="296" w:lineRule="auto"/>
        <w:rPr>
          <w:sz w:val="20"/>
          <w:szCs w:val="20"/>
          <w:color w:val="auto"/>
        </w:rPr>
      </w:pPr>
      <w:r>
        <w:rPr>
          <w:rFonts w:ascii="Arial" w:cs="Arial" w:eastAsia="Arial" w:hAnsi="Arial"/>
          <w:sz w:val="16"/>
          <w:szCs w:val="16"/>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42.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6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ticker symbol “MBOT.” On July 14, 2023, the last reported closing price of our common stock on the Nasdaq Capital Market was $2.48.</w:t>
      </w:r>
    </w:p>
    <w:p>
      <w:pPr>
        <w:spacing w:after="0" w:line="166" w:lineRule="exact"/>
        <w:rPr>
          <w:sz w:val="24"/>
          <w:szCs w:val="24"/>
          <w:color w:val="auto"/>
        </w:rPr>
      </w:pPr>
    </w:p>
    <w:p>
      <w:pPr>
        <w:jc w:val="both"/>
        <w:spacing w:after="0" w:line="347" w:lineRule="auto"/>
        <w:rPr>
          <w:sz w:val="20"/>
          <w:szCs w:val="20"/>
          <w:color w:val="auto"/>
        </w:rPr>
      </w:pPr>
      <w:r>
        <w:rPr>
          <w:rFonts w:ascii="Arial" w:cs="Arial" w:eastAsia="Arial" w:hAnsi="Arial"/>
          <w:sz w:val="16"/>
          <w:szCs w:val="16"/>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16"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July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80" w:type="dxa"/>
            <w:vAlign w:val="bottom"/>
            <w:gridSpan w:val="5"/>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836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RISK FACTOR SUMMARY</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SUMMARY</w:t>
            </w:r>
          </w:p>
        </w:tc>
        <w:tc>
          <w:tcPr>
            <w:tcW w:w="850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THE OFFERING</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934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175"/>
        </w:trPr>
        <w:tc>
          <w:tcPr>
            <w:tcW w:w="266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FINANCIAL STATEMENTS</w:t>
            </w:r>
          </w:p>
        </w:tc>
        <w:tc>
          <w:tcPr>
            <w:tcW w:w="794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5"/>
              </w:rPr>
              <w:t>SPECIAL NOTE REGARDING FORWARD-LOOKING STATEMENTS</w:t>
            </w:r>
          </w:p>
        </w:tc>
        <w:tc>
          <w:tcPr>
            <w:tcW w:w="52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2"/>
              </w:rPr>
              <w:t>BUSINESS</w:t>
            </w:r>
          </w:p>
        </w:tc>
        <w:tc>
          <w:tcPr>
            <w:tcW w:w="97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MANAGEMENT</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6"/>
              </w:rPr>
              <w:t>EXECUTIVE AND DIRECTOR COMPENSATION</w:t>
            </w:r>
          </w:p>
        </w:tc>
        <w:tc>
          <w:tcPr>
            <w:tcW w:w="67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TRANSACTIONS WITH RELATED PERSONS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176"/>
        </w:trPr>
        <w:tc>
          <w:tcPr>
            <w:tcW w:w="6700" w:type="dxa"/>
            <w:vAlign w:val="bottom"/>
            <w:tcBorders>
              <w:top w:val="single" w:sz="8" w:color="0000EE"/>
            </w:tcBorders>
            <w:gridSpan w:val="20"/>
          </w:tcPr>
          <w:p>
            <w:pPr>
              <w:spacing w:after="0" w:line="176" w:lineRule="exact"/>
              <w:rPr>
                <w:sz w:val="20"/>
                <w:szCs w:val="20"/>
                <w:color w:val="auto"/>
              </w:rPr>
            </w:pPr>
            <w:r>
              <w:rPr>
                <w:rFonts w:ascii="Arial" w:cs="Arial" w:eastAsia="Arial" w:hAnsi="Arial"/>
                <w:sz w:val="18"/>
                <w:szCs w:val="18"/>
                <w:color w:val="0000EE"/>
              </w:rPr>
              <w:t>DILUTION</w:t>
            </w:r>
          </w:p>
        </w:tc>
        <w:tc>
          <w:tcPr>
            <w:tcW w:w="390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5"/>
              </w:rPr>
              <w:t>SELLING STOCKHOLDERS</w:t>
            </w:r>
          </w:p>
        </w:tc>
        <w:tc>
          <w:tcPr>
            <w:tcW w:w="838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PLAN OF DISTRIBUTION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286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LEGAL MATTERS</w:t>
            </w:r>
          </w:p>
        </w:tc>
        <w:tc>
          <w:tcPr>
            <w:tcW w:w="774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EXPERTS</w:t>
            </w:r>
          </w:p>
        </w:tc>
        <w:tc>
          <w:tcPr>
            <w:tcW w:w="98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You should rely only on the information that we have provided or incorporated by reference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and that any information we have incorporated by reference is accurate only as of the date of the document incorporated by reference, regardless of the time of delivery of this prospectus or any prospectus supplement or any sale of a security. Our business, financial condition, results of operations and prospects may have changed since those dates.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urge you to carefully read this prospectus and any prospectus supplement, together with the information incorporated herein by reference as described under the heading “Where You Can Find More Information” and “Incorporation of Documents by Reference.”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own or have rights to various U.S. federal trademark registrations and applications, and unregistered trademarks and servicemarks, including</w:t>
      </w:r>
    </w:p>
    <w:p>
      <w:pPr>
        <w:spacing w:after="0" w:line="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LIBERTY</w:t>
      </w:r>
      <w:r>
        <w:rPr>
          <w:rFonts w:ascii="Arial" w:cs="Arial" w:eastAsia="Arial" w:hAnsi="Arial"/>
          <w:sz w:val="28"/>
          <w:szCs w:val="28"/>
          <w:color w:val="auto"/>
          <w:vertAlign w:val="superscript"/>
        </w:rPr>
        <w:t>®</w:t>
      </w:r>
      <w:r>
        <w:rPr>
          <w:rFonts w:ascii="Arial" w:cs="Arial" w:eastAsia="Arial" w:hAnsi="Arial"/>
          <w:sz w:val="17"/>
          <w:szCs w:val="17"/>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substantial doubt regarding on our ability to continue as a going concern.</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subject to litigation, which may divert management’s attention and, in the event of an adverse judgment or settlement for some or all of the $6,750,000 being litigated, will have a material adverse effect on our financial condition and our ability to continue our operations.</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Microbot has a limited operating history outside of being a research and development-stage company, which may make it difficult to evaluate the prospects for the Company’s future viability.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still be subject to significant disruptions to our clinical trials or other business operations as a result of the COVID-19 pandemic, which could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Unsuccessful animal studies, clinical trials or procedures relating to product candidates under development could have a material adverse effect on Microbot’s prospects.</w:t>
      </w:r>
    </w:p>
    <w:p>
      <w:pPr>
        <w:spacing w:after="0" w:line="168" w:lineRule="exact"/>
        <w:rPr>
          <w:rFonts w:ascii="Arial" w:cs="Arial" w:eastAsia="Arial" w:hAnsi="Arial"/>
          <w:sz w:val="18"/>
          <w:szCs w:val="18"/>
          <w:color w:val="auto"/>
        </w:rPr>
      </w:pPr>
    </w:p>
    <w:p>
      <w:pPr>
        <w:ind w:left="660" w:hanging="328"/>
        <w:spacing w:after="0" w:line="189"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Microbot’s business depends heavily on the success of its lead product candidate, the LIBERTY</w:t>
      </w:r>
      <w:r>
        <w:rPr>
          <w:rFonts w:ascii="Arial" w:cs="Arial" w:eastAsia="Arial" w:hAnsi="Arial"/>
          <w:sz w:val="29"/>
          <w:szCs w:val="29"/>
          <w:color w:val="auto"/>
          <w:vertAlign w:val="superscript"/>
        </w:rPr>
        <w:t>®</w:t>
      </w:r>
      <w:r>
        <w:rPr>
          <w:rFonts w:ascii="Arial" w:cs="Arial" w:eastAsia="Arial" w:hAnsi="Arial"/>
          <w:sz w:val="18"/>
          <w:szCs w:val="18"/>
          <w:color w:val="auto"/>
        </w:rPr>
        <w:t>. If Microbot is unable to commercialize the LIBERTY, or experiences significant delays in doing so, Microbot’s business will be materially harmed.</w:t>
      </w:r>
    </w:p>
    <w:p>
      <w:pPr>
        <w:spacing w:after="0" w:line="201" w:lineRule="exact"/>
        <w:rPr>
          <w:rFonts w:ascii="Arial" w:cs="Arial" w:eastAsia="Arial" w:hAnsi="Arial"/>
          <w:sz w:val="36"/>
          <w:szCs w:val="36"/>
          <w:color w:val="auto"/>
          <w:vertAlign w:val="superscript"/>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Microbot’s research and development efforts are uncertain and there can be no assurance of the commercial success of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Microbot’s ability to expand its technology platforms for other uses may be limited.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this time, Microbot does not know the extent of the clinical trial that the FDA will require it to submit in support of its future marketing applications for its LIBERTY product candidate, which creates uncertainty for Microbot as well as the possibility of increased product development costs and time to market.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Microbot’s One &amp; Done technology is subject to a buy-back clause which, if triggered, could cause us to lose rights to the technology.</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the commercial opportunity for LIBERTY and any other commercial products that may be developed by Microbot is smaller than Microbot anticipates, Microbot’s future revenue from LIBERTY and such other products will be adversely affected and Microbot’s business will suffer.</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will be unlikely to buy the LIBERTY or any other product candidates unless Microbot can demonstrate that they can be produced for sale to consumers at attractive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 has relied on, and intends to continue to rely on, third-party manufacturers to produce its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Microbot’s product candidates are not considered to be a safe and effective alternative to existing technologies, Microbot will not be commercially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 may be subject to penalties and may be precluded from marketing its product candidates if Microbot fails to comply with extensive governmental regulations.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Clinical outcome studies for the LIBERTY may not provide sufficient data to make Microbot’s product candidates the standard of care.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Microbot products may in the future be subject to mandatory product recalls that could harm its reputation, business and financial results.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 could be exposed to significant liability claims if Microbot is unable to obtain insurance at acceptable costs and adequate levels or otherwise protect itself against potential product liability claims.</w:t>
      </w:r>
    </w:p>
    <w:p>
      <w:pPr>
        <w:sectPr>
          <w:pgSz w:w="11900" w:h="16838" w:orient="portrait"/>
          <w:cols w:equalWidth="0" w:num="1">
            <w:col w:w="11240"/>
          </w:cols>
          <w:pgMar w:left="320" w:top="688" w:right="339" w:bottom="0" w:gutter="0" w:footer="0" w:header="0"/>
        </w:sectPr>
      </w:pPr>
    </w:p>
    <w:bookmarkStart w:id="4" w:name="page5"/>
    <w:bookmarkEnd w:id="4"/>
    <w:p>
      <w:pPr>
        <w:ind w:left="328"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operations in international markets involve inherent risks that Microbot may not be able to control.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Microbot’s financial results may be affected by fluctuations in exchange rates and Microbot’s current currency hedging strategy may not be sufficient to counter such fluctuations.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Termination of the license with respect to one or more of our technology platforms may result in Microbot ceasing its development efforts for the applicable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Microbot may not meet its product candidates’ development and commercialization objectives in a timely manner or at all.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litigation and infringement claims could cause Microbot to incur significant expenses or prevent Microbot from selling certain of its product candidates.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Microbot has facilities located in Israel, and therefore, political conditions in Israel may affect Microbot’s operations and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relations could limit Microbot’s ability to sell or buy internationally.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Israel’s economy may become unstable.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rate fluctuations between the U.S. dollar and the NIS currencies may negatively affect Microbot’s operating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of Microbot’s employees and officers are obligated to perform military reserve duty in Israel.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may be difficult to enforce a non-Israeli judgment against Microbot or its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expect to pay cash dividends on our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Raising additional capital may cause dilution to the Company’s investors, restrict its operations or require it to relinquish rights to its technologies or product candidates.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for our Common Stock may be volatile.</w:t>
      </w:r>
    </w:p>
    <w:p>
      <w:pPr>
        <w:spacing w:after="0" w:line="225" w:lineRule="exact"/>
        <w:rPr>
          <w:rFonts w:ascii="Arial" w:cs="Arial" w:eastAsia="Arial" w:hAnsi="Arial"/>
          <w:sz w:val="18"/>
          <w:szCs w:val="18"/>
          <w:color w:val="auto"/>
        </w:rPr>
      </w:pPr>
    </w:p>
    <w:p>
      <w:pPr>
        <w:ind w:left="5580" w:right="80" w:hanging="5248"/>
        <w:spacing w:after="0" w:line="527"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issuance of shares upon exercise of outstanding warrants and options could cause immediate and substantial dilution to existing stockholders.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0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or incorporated by reference into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Using our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technological platform, we are developing the first ever fully disposable robot for various endovascular interventional procedures.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and Private Placement Offerings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26, 2023, we entered into a securities purchase agreement with institutional investors, pursuant to which we agreed to issue and sell in a registered direct offering an aggregate of 624,618 shares of our common stock, at an offering price of $3.25 per share, for aggregate gross proceeds, with the private placement described below, of approximately $2 million before deducting the placement agent fee and related offering expenses (the “Second June Offering”). We also agreed to issue to H.C. Wainwright &amp; Co., LLC or its designees preferred investment options to purchase 31,231 shares of our common stock. The registered direct offering was consummated on June 28, 2023. In a concurrent private placement, we also issued to the purchasers of our shares of common stock in the Second June Offering, series D preferred investment options to purchase up to 312,309 shares of our common stock. Each series D preferred investment option is exercisable for one share of common stock at an exercise price of $3.19 commencing on the date of issuance and expires five and one-half years from the initial exercise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 2023, we entered into a securities purchase agreement with institutional investors, pursuant to which we agreed to issue and sell in a registered direct offering an aggregate of 701,756 shares of our common stock, at an offering price of $2.1375 per share, for aggregate gross proceeds, with the private placement described below, of approximately $1.5 million before deducting the placement agent fee and related offering expenses (the “First June Offering”). We also agreed to issue to H.C. Wainwright &amp; Co., LLC or its designees preferred investment options to purchase 35,088 shares of our common stock. The registered direct offering was consummated on June 6, 2023. In a concurrent private placement, we also issued to the purchasers of our shares of common stock in the First June Offering, series C preferred investment options to purchase up to 350,878 shares of our common stock. Each series C preferred investment option is exercisable for one share of common stock at an exercise price of $2.075 commencing on the date of issuance and expires five and one-half years from the initial exercise date.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23, 2023, we entered into a securities purchase agreement with an institutional investor, pursuant to which we agreed to issue and sell in a registered direct offering (i) an aggregate of 975,000 shares of our common stock, at an offering price of $2.20 per share and (ii) pre-funded warrants exercisable for up to 234,500 shares of our common stock, at an offering price of $2.1999 per pre-funded warrant, for aggregate gross proceeds of approximately $2.66 million before deducting the placement agent fee and related offering expenses (the “Second May Offering”). We also agreed to issue to H.C. Wainwright &amp; Co., LLC or its designees preferred investment options to purchase 60,476 shares of our common stock. The Second May Offering was consummated on May 24, 2023.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22, 2023, we entered into a securities purchase agreement with an institutional investor, pursuant to which we agreed to issue and sell in a registered direct offering an aggregate of 655,569 shares of our common stock, at an offering price of $2.20 per share, for aggregate gross proceeds of approximately $1.4 million before deducting the placement agent fee and related offering expenses (the “First May Offering”). We also agreed to issue to H.C. Wainwright &amp; Co., LLC or its designees preferred investment options to purchase 32,778 shares of our common stock. The First May Offering was consummated on May 23,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Preferred Investment Options Amendment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Second May Offering, we agreed to amend the terms of (i) the Series A preferred investment options to purchase 1,022,495 shares of our common stock for an exercise price of $4.64 per share which are scheduled to expire on October 25, 2027 and (ii) the Series B preferred investment options to purchase 1,022,495 shares of our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and further described in our Current Report on Form 8-K filed on October 25,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On June 16, 2023, the holder of the Series B Preferred Investment Options exercised all of such Series B Preferred Investment Options pursuant to its cashless exercise provision into 385,246 shares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for Grant from The Israel Innovation Authority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 2023, we announced that we received approval for grant from the Israel Innovation Authority (“IIA”) in the amount of NIS 1.62 million, which based on a recent exchange rate to the U.S. dollar, would be approximately $440,000, to further finance the development of our manufacturing process of our flagship robotic surgical system, the LIBERTY.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relation to the IIA grant, we are obligated to pay royalties amounting to between 3%-5% of our future sales of the LIBERTY product up to the grant amount plus interest. The grant is linked to the U.S. dollar and bears interest at Libor per annum. The grant monies will be paid over time based on the terms of the grant, and the U.S. dollar amount actually received will be based on the exchange rate of the U.S. dollar to the New Israeli Shekel at the time of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Core-Business Focus Program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the Board of Directors of the Company authorized, and the Company commenced, a cost reduction plan while the Company seeks to raise additional capital to continue development of the LIBERTY robotic system. This cost reduction plan includes:</w:t>
      </w:r>
    </w:p>
    <w:p>
      <w:pPr>
        <w:spacing w:after="0" w:line="18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Postpone a Good Laboratory Practice study for LIBERTY until the completion of the V&amp;V.</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Harel Gadot, Chairman, President and CEO of the Company, has agreed to a reduction of 50% of his base salary, with terms and conditions with respect to the reduction period to be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both"/>
        <w:ind w:left="66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Rachel Vaknin, CFO. Pursuant to an Addendum to Employment Agreement, Ms. Vaknin’s gross monthly salary was decreased to a gross amount of NIS 35,000. Social and fringe benefits due to Ms. Vaknin shall be calculated based upon the updated salary, excluding sick days and vacation days which will continue to be accumulated per her existing employment agreement. Notwithstanding the foregoing, in the event of termination of Ms. Vaknin’s employment, either by us or by Ms. Vaknin, the redemption of accrued vacation days and the payment of prior notice period shall be calculated based on Ms. Vaknin’s salary prior to May 15, 2023.</w:t>
      </w:r>
    </w:p>
    <w:p>
      <w:pPr>
        <w:spacing w:after="0" w:line="176"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Simon Sharon, CTO and General Manager. Pursuant to an Addendum to Employment Agreement, Mr. Sharon’s gross monthly salary was 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us or by Mr. Sharon, the redemption of accrued vacation days and the payment of prior notice period shall be calculated based on Mr. Sharon’s salary prior to May 15, 2023.</w:t>
      </w:r>
    </w:p>
    <w:p>
      <w:pPr>
        <w:spacing w:after="0" w:line="176"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Eyal Morag, CMO. Pursuant to an Addendum to Employment Agreement, Dr. Morag’s gross monthly salary was decreased to a gross amount 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us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was shortened to ninety days.</w:t>
      </w:r>
    </w:p>
    <w:p>
      <w:pPr>
        <w:spacing w:after="0" w:line="178"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independent members of the Board of Directors have agreed to a suspension of their director fees, with reinstatement of such fees to be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its Scientific Advisory Board, waived his SAB fees, with fees payable to the remaining SAB members to be restructured.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that the savings generated from such cost-reduction activities, along with the net proceeds raised from the First May Offering, the Second May Offering, the First June Offering and the Second June Offering, will enable us to continue the V&amp;V, explore a first-in-human trial outside of the U.S., prepare and submit an Investigational device exemption with the U.S. Food and Drug Administration, and commence a clinical trial in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Pre-Clinical Study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First-In-Human Clinical Cases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also exploring options to conduct First-In-Human trials or cases in other places where the regulatory laws allow.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Catheterization Milestone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r>
        <w:rPr>
          <w:rFonts w:ascii="Arial" w:cs="Arial" w:eastAsia="Arial" w:hAnsi="Arial"/>
          <w:sz w:val="29"/>
          <w:szCs w:val="29"/>
          <w:b w:val="1"/>
          <w:bCs w:val="1"/>
          <w:i w:val="1"/>
          <w:iCs w:val="1"/>
          <w:color w:val="auto"/>
          <w:vertAlign w:val="superscript"/>
        </w:rPr>
        <w:t>®</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LIBERTY’s addressable markets are the Interventional Cardiology, Interventional Radiology and Interventional Neuroradiology markets.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Streamlines Cath-lab procedures - Can be made compatible with Microbot’s NitiLoop’s NovaCross products or possibly other guidewire/microcatheter technologies, that combines guidewire and microcatheter into a single device.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guidewire, as well as linear motion for an additional “over the wire” device.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Ease of use - LIBERTY’s intuitive remote controls aims to simplify advanced procedures while shortening the physician’s learning curve.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Telemedicine compatible - Capable of supporting tele-catheterization, carried out remotely by highly trained specialists.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results of the study allow it to move forward and focus on the next phases to ultimately include a U.S.-based pivotal pre-clinical study.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together with its regulatory experts and consultants, believe a larger sample size and robust data generated by this study will advance the company’s efforts towards the submission of Investigational Device Exemption (IDE) with the U.S. Food and Drug Administration (FDA).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&amp; Done</w:t>
      </w:r>
      <w:r>
        <w:rPr>
          <w:rFonts w:ascii="Arial" w:cs="Arial" w:eastAsia="Arial" w:hAnsi="Arial"/>
          <w:sz w:val="29"/>
          <w:szCs w:val="29"/>
          <w:b w:val="1"/>
          <w:bCs w:val="1"/>
          <w:i w:val="1"/>
          <w:iCs w:val="1"/>
          <w:color w:val="auto"/>
          <w:vertAlign w:val="superscript"/>
        </w:rPr>
        <w:t>TM</w:t>
      </w:r>
      <w:r>
        <w:rPr>
          <w:rFonts w:ascii="Arial" w:cs="Arial" w:eastAsia="Arial" w:hAnsi="Arial"/>
          <w:sz w:val="18"/>
          <w:szCs w:val="18"/>
          <w:b w:val="1"/>
          <w:bCs w:val="1"/>
          <w:i w:val="1"/>
          <w:iCs w:val="1"/>
          <w:color w:val="auto"/>
        </w:rPr>
        <w:t xml:space="preserve"> Technology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8, 2018, we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had been exploring the integration of the One &amp; Done</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into the LIBERTY endovascular robotic system for a range of potential applications in the cardiovascular, peripheral vascular and neurovascular spaces. However, as a result of its recently enacted core-business focus program and its cost reduction plan, the Company has terminated its existing agreement with CardioSert Ltd. effective as of August 17, 2023 and ceased its research</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and development of and commercialization efforts for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which could result in the technology being re-acquired by CardioSert Ltd. for nominal consideration.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NovaCross</w:t>
      </w:r>
      <w:r>
        <w:rPr>
          <w:rFonts w:ascii="Arial" w:cs="Arial" w:eastAsia="Arial" w:hAnsi="Arial"/>
          <w:sz w:val="29"/>
          <w:szCs w:val="29"/>
          <w:b w:val="1"/>
          <w:bCs w:val="1"/>
          <w:i w:val="1"/>
          <w:iCs w:val="1"/>
          <w:color w:val="auto"/>
          <w:vertAlign w:val="superscript"/>
        </w:rPr>
        <w:t>TM</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11, 2022, we announced that we are planning to focus our strategic efforts on the growing endovascular space and advancing the LIBERTY Robotic System to achieve its regulatory and commercial milestones, as well as expanding the LIBERTY ecosystem, and made a strategic decision to suspend the continued research and development of the SCS project, effective at that date. The SCS generally performed as expected during testing, both internally and externally, and we believe it continues to have potential clinical value as evidenced by the pre-clinical data submitted to the FDA, which allowed us to successfully apply for the Early Feasibility Study program administered by the FDA. However, the conflicting commercialization pathways between LIBERTY and the SCS due to different hospital call points, and the anticipated lengthier regulatory process of the SCS, led us to believe that focusing our strategic efforts on the LIBERTY Robotic System will provide us with a greater opportunity for success and future growth. We had been exploring opportunities with the SCS assets with the focus on maximizing shareholders value, including seeking buyers for the assets, entering into joint ventures, licensing arrangements, spinning-off the assets into a new operating company or discontinue the project altogether. However, as a result of our recently enacted core-business focus program and our cost reduction plan, we have been in contact with TRDF, the licensor of the technology, and intend to return the licensed intellectual property for the SCS (ViRob) back to TRDF as early as the end of July 2023 in accordance with the terms of its license agreement, as we have not been successful in any such possible other opportunities.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been exploring the use of the TipCAT for minimally invasive neurosurgical and endovascular applications to complement our other technologies. However, as a result of our recently enacted core-business focus program and our cost reduction plan, we returned the licensed intellectual property for the TipCAT back to TRDF, the licensor of the technology, in June 2023, as we do not have the funds to continue to develop this technology.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relates to the resale by the selling stockholders identified in this prospectus of up to 2,281,626 shares of our common stock, as follows:</w:t>
      </w:r>
    </w:p>
    <w:p>
      <w:pPr>
        <w:spacing w:after="0" w:line="24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385,246 shares of our common stock issued in June 2023 upon the cashless exercise of series B preferred investment options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$6.1125;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60,476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35,088 shares of our common stock issuable upon the exercise of outstanding warrants expiring in November 2026, at an exercise price per share of $2.6719;</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350,878 shares of our common stock issuable upon the exercise of outstanding series C preferred investment options expiring in December 2028, at an exercise price per share of $2.075;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312,309 shares of our common stock issuable upon the exercise of outstanding series D preferred investment options expiring in December 2028, at an exercise price per share of $3.19;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31,231 shares of our common stock issuable upon the exercise of outstanding warrants expiring in June 2028, at an exercise price per share of $4.0625.</w:t>
      </w:r>
    </w:p>
    <w:p>
      <w:pPr>
        <w:sectPr>
          <w:pgSz w:w="11900" w:h="16838" w:orient="portrait"/>
          <w:cols w:equalWidth="0" w:num="1">
            <w:col w:w="11240"/>
          </w:cols>
          <w:pgMar w:left="320" w:top="688"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Common stock offered by the selling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Common stock outstanding before the offering (1)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the offering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Nasdaq Capital Market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2,281,626 shares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11,707,317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13,603,697 shares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MBOT</w:t>
      </w:r>
    </w:p>
    <w:p>
      <w:pPr>
        <w:spacing w:after="0" w:line="200" w:lineRule="exact"/>
        <w:rPr>
          <w:sz w:val="20"/>
          <w:szCs w:val="20"/>
          <w:color w:val="auto"/>
        </w:rPr>
      </w:pPr>
    </w:p>
    <w:p>
      <w:pPr>
        <w:sectPr>
          <w:pgSz w:w="11900" w:h="16838" w:orient="portrait"/>
          <w:cols w:equalWidth="0" w:num="2">
            <w:col w:w="7700" w:space="720"/>
            <w:col w:w="2820"/>
          </w:cols>
          <w:pgMar w:left="320" w:top="688" w:right="339" w:bottom="1440" w:gutter="0" w:footer="0" w:header="0"/>
          <w:type w:val="continuous"/>
        </w:sectPr>
      </w:pPr>
    </w:p>
    <w:p>
      <w:pPr>
        <w:spacing w:after="0" w:line="5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number of shares outstanding as of July 14, 2023.</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the exercise of all of the 1,896,380 options and warrants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385,246 issued and outstanding shares of our common stock and the 1,896,380 shares of common stock issuable upon the exercise of currently outstanding options and warrants, in each case that are being offered for resale by the selling stockholders will be sold for the accounts of the selling stockholders named in this prospectus. As a result, all proceeds from the sales of the such shares of common stock offered for resale hereby will go to the selling stockholders and we will not receive any proceeds from the resale of those shares of common stock by the selling stockholders.</w:t>
      </w:r>
    </w:p>
    <w:p>
      <w:pPr>
        <w:spacing w:after="0" w:line="157"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We may receive up to a total of $4,763,404 in gross proceeds if all of the options and warrants are exercised hereunder for cash. However, as we are unable to predict the timing or amount of potential exercises of the warrants, we have not allocated any proceeds of such exercises to any particular purpose. Accordingly, all such proceeds, if any would be allocated to working capital. Pursuant to conditions set forth in the warrants, the warrants are exercisable under certain circumstances on a cashless basis, and should a selling stockholder elect to exercise on a cashless basis we will not receive any proceeds from the sale of common stock issued upon the cashless exercise of the warrant.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Investing in our common stock involves a high degree of risk. Please read the information contained under the heading “Risk Factors” beginning on page 11 of this prospectus and in any subsequent report incorporated by reference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This prospectus and the documents incorporated in this prospectus by reference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or in the documents incorporated in this prospectus by reference. Forward-looking statements speak only as of the date of this report. We do not undertake any obligation to publicly update any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substantial doubt regarding on our ability to continue as a going concern.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stated elsewhere in this prospectus or in the documents incorporated by reference into this prospectus, including in our Annual report on Form 10-K for the fiscal year ended December 31, 2022 and our Quarterly Report on Form 10-Q for the fiscal quarter ended March 31, 2023, we have not generated any revenues, have sustained losses and have accumulated a significant deficit since our inception. Also, we estimate that our cash resources are only sufficient to fund our operations for approximately 9 months from the date of this prospectus and as a result, our continued existence is dependent upon our ability to obtain additional debt or equity financing and to ultimately become a commercially viable organization.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additional necessary debt or equity financing will be available, or will be available on terms acceptable to us, in which case we may be unable to meet our obligations or fully implement our business plan, if at all, beyond such 9 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9 months, which could adversely affect our ability to raise capital, expand our business and develop our planned products.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litigation, which may divert management’s attention and, in the event of an adverse judgment or settlement for some or all of the $6,750,000 being litigated, have a material adverse effect on our financial condition and our ability to continue our operations.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seeks rescission of the SPA and return of the Plaintiffs’ $6.75 million purchase price with respect to the Financing.</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308" w:lineRule="auto"/>
        <w:rPr>
          <w:sz w:val="20"/>
          <w:szCs w:val="20"/>
          <w:color w:val="auto"/>
        </w:rPr>
      </w:pPr>
      <w:r>
        <w:rPr>
          <w:rFonts w:ascii="Arial" w:cs="Arial" w:eastAsia="Arial" w:hAnsi="Arial"/>
          <w:sz w:val="17"/>
          <w:szCs w:val="17"/>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 device;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LIBERTY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is a development-stage medical device company and currently generates no revenue from product sales, and may never be able to commercialize LIBERTY or other future product candidates. Microbot does not currently have the required approvals or clearances to market or test in humans the LIBERTY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 LIBERTY device.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expects the research and development expenses of the Company to continue to increase substantially in future periods as it conducts pre-clinical studies in large animals and potentially clinical trials for its product candidates, and especially if it initiates additional research programs for future product candidates. This is the case even with the recent suspension of the research and development program relating to the SCS device.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prospectus and in the documents incorporated by reference into this prospectus.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 introduction of LIBERTY. The Company’s future capital requirements, generally, will depend on many factors, including:</w:t>
      </w:r>
    </w:p>
    <w:p>
      <w:pPr>
        <w:spacing w:after="0" w:line="18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outcomes of the product candidates’ regulatory reviews, subsequent approvals or clearances, or other regulatory actions;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final outcome of the Company’s existing lawsuit with Empery and Hudson Bay;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design, duration and any potential delays of the clinical trials that could be conducted at the FDA’s request using Microbot’s product candidates;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new and existing businesses, product candidates and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to maintain, expand and defend the scope of Microbot’s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to secure or establish sales, marketing and commercial manufacturing capabilities or arrangements with third parties regarding same;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need and ability to hire additional management and scientific and medical personnel;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to operate as a public company in the United States.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still be subject to significant disruptions to our clinical trials or other business operations as a result of the COVID-19 pandemic, which could have a material adverse effect on our business.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have not yet commenced clinical trials, in the event the coronavirus pandemic or another pandemic is continuing when we are prepared to commence such trials, the coronavirus disease may cause significant delays and disruptions to our clinical trials and our interactions with the FDA. If the patients involved with any such clinical trials become infected with the coronavirus disease, we may have more AEs and deaths in our clinical trials as a result. We may also face difficulties enrolling patients in our clinical trials if the patient populations that are eligible for our clinical trials are impacted by the coronavirus or other disease. Additionally, if our clinical trial patients are unable to travel to our clinical trial sites as a result of quarantines or other restrictions resulting from the coronavirus or other disease, we may experience higher drop-out rates or delays in our clinical trials, and some patients may not be able to comply with clinical trial protocols if quarantines impede patient movement or interrupt healthcare services, which could impact our ability to determine the efficacy or safety of our LIBERTY device. Site initiation and patient enrollment may also be delayed due to prioritization of hospital resources toward the coronavirus disease outbreak.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Additionally, travel restrictions and expanded screenings may be implemented locally or worldwide in an effort to contain the coronavirus or other disease. As such, we and our contract research organizations may be unable to visit our trial sites and monitor the data from our trials on timely basis. Our employees may also face travel restrictions, which would impact our business. Furthermore, some of our manufacturers and suppliers are in Europe and Asia and may be impacted by port closures and other restrictions resulting from any such outbreak, which may disrupt our supply chain or limit our ability to obtain sufficient materials for our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ultimate impact of the coronavirus disease outbreak or a similar health epidemic is highly uncertain and subject to change, and we cannot presently predict the scope and severity of any further potential business shutdowns or disruptions, but if we or any of the third parties with whom we engage, including the suppliers, clinical trial sites, contract research organizations, regulators, including the FDA health care providers and other third parties with whom we conduct business, were to experience shutdowns or other business disruptions, our ability to conduct our business and operations could be materially and negatively impacted, which could prevent or delay us from obtaining approval for our LIBERTY device.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Failure to successfully complete the studies or trials in a timely and cost-effective manner could have a material adverse effect on Microbot’s prospects with respect to the LIBERTY device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sole lead product candidate, the LIBERTY. If Microbot is unable to commercialize the LIBERTY, or experiences significant delays in doing so, Microbot’s business will be materially harmed.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Generally, after all necessary clinical and performance data supporting the safety and effectiveness of the LIBERTY device, or any other product candidate,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the LIBERTY device, or any of our other product candidates from time to time. The success of commercializing any of our product candidates, include the LIBERTY device, will depend on a number of factors, including the following: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generating commercial sales, if and when approved, whether alone or in collaboration with other entities;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competing with existing and competitive products on the market and any new competing products that may enter the market; and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recently suspended our research and development programs for all of our product candidates and platforms other than LIBERTY as a result of, among other things, some of the above factors, and our short and medium term success is no longer tied to multiple product candidates but rather just the LIBERTY device. If Microbot does not achieve one or more of these factors in a timely manner or at all, it could experience significant delays or an inability to successfully commercialize the LIBERTY or any other product candidate, which would materially harm its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Microbot’s ability to expand its technology platforms for other uses may be limited.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b w:val="1"/>
          <w:bCs w:val="1"/>
          <w:i w:val="1"/>
          <w:iCs w:val="1"/>
          <w:color w:val="auto"/>
        </w:rPr>
        <w:t>At this time, Microbot does not know the extent of the clinical trial that the FDA will require it to submit in support of its future marketing applications for its LIBERTY product candidate, which creates uncertainty for Microbot as well as the possibility of increased product development costs and time to market.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identified a predicate device for the LIBERTY device,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requires clinical data to be submitted as part of the LIBERTY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Thus, the addition of one or more mandatory clinical trials to the development timeline for the LIBERTY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LIBERTY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Microbot’s One &amp; Done technology is subject to a buy-back clause which, if triggered, could cause us to lose rights to the technology.</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 we entered into in January 2018 to acquire the One &amp; Done technology, we are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failure to meet the applicable commercialization deadline could therefore result in the sale back of the technology to CardioSert. In addition, as a result of our recently enacted core-business focus program and cost reduction plan, we terminated our existing agreement with Cardiosert Ltd. effective as of August 17, 2023, which could result in the technology being re-acquired by Cardiosert Ltd. for nominal consideration. Although we have not yet been notified of any such election, any such sale would materially adversely affect our ability to develop and commercialize, or materially delay the development and commercialization of, our One &amp; Done technology, if we were to otherwise determine to restart that product platform.</w:t>
      </w:r>
    </w:p>
    <w:p>
      <w:pPr>
        <w:spacing w:after="0" w:line="17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342" w:lineRule="auto"/>
        <w:rPr>
          <w:sz w:val="20"/>
          <w:szCs w:val="20"/>
          <w:color w:val="auto"/>
        </w:rPr>
      </w:pPr>
      <w:r>
        <w:rPr>
          <w:rFonts w:ascii="Arial" w:cs="Arial" w:eastAsia="Arial" w:hAnsi="Arial"/>
          <w:sz w:val="16"/>
          <w:szCs w:val="16"/>
          <w:b w:val="1"/>
          <w:bCs w:val="1"/>
          <w:i w:val="1"/>
          <w:iCs w:val="1"/>
          <w:color w:val="auto"/>
        </w:rPr>
        <w:t>If the commercial opportunity for LIBERTY and any other commercial products that may be developed by Microbot is smaller than Microbot anticipates, Microbot’s future revenue from LIBERTY and such other products will be adversely affected and Microbot’s business will suffer.</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commercial success of LIBERTY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Customers will be unlikely to buy the LIBERTY or any other product candidates unless Microbot can demonstrate that they can be produced for sale to consumers at attractive prices.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date, Microbot has focused primarily on research and development of the LIBERTY device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relied on, and intends to continue to rely on, third-party manufacturers to produce its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internal operational problems or scheduling constraints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regulatory non-compliance or other violations by the third-party manufacturer that could result in quality assurance;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various factors beyond Microbot’s control;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 parties for various reasons beyond Microbot’s control, at a time that is costly or inconvenient to Microbot.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LIBERTY and our other product candidates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LIBERTY or our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Microbot’s product offerings are used across diverse healthcare settings, they will be affected to varying degrees by the different payment systems.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outcome studies for the LIBERTY may not provide sufficient data to make such product candidates the standard of care.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Microbot’s business plan with respect to the LIBERTY relies on the broad adoption by surgeons of the products for their respective planned applications.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Clinical studies may not show an advantage in LIBERTY based procedures in a timely manner, or at all, and outcome studies have not been designed at this time, and may be too large and too costly for Microbot to conduct. Both situations could prevent broad adoption of the LIBERTY and materially impact Microbot’s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Microbot products may in the future be subject to mandatory product recalls that could harm its reputation, business and financial results.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6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detention or seizure of Microbot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premarket approval of new products or modified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withdrawing 510(k) clearances or other types of regulatory authorizations -that have already been granted;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to grant export approval for Microbot products;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cost reduction program, we have reduced all executive officers’ salaries by between 30-50%.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for Microbot to market its product candidates in countries other than the United States, it must comply with the safety and quality regulations in such countries.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cannot be certain that it will be successful in complying with the requirements of the CE Certificate of Conformity and receiving a CE Mark for its product candidates or in continuing to meet the requirements of the Medical Devices Directive in the European Economic Area (EEA).</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Microbot operations in international markets involve inherent risks that Microbot may not be able to control.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macroeconomic conditions affecting geographies where Microbot intends to do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closing of international borders, including as a result of biohazards or pandemics;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of doing business in certain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infringement claims on foreign patents, copyrights or trademark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across disparate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associated with enforcing agreements and intellectual property rights through foreign legal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protection measures and other regulatory requirements, which affect Microbot’s ability to import or export its product candidates from or to various countries;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military conflict, terrorist activities, natural disasters and medical epidemics;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Microbot’s ability to recruit and retain channel partners in foreign jurisdictions.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Microbot’s right to develop and commercialize the LIBERTY product candidate is subject to the terms and condition of a license granted to Microbot by Technion Research and Development Foundation Ltd. and termination of the license with respect to the technology platform underlying the product candidate could result in Microbot ceasing its development efforts for the LIBERTY platform.</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Microbot entered into a license agreement with Technion Research and Development Foundation Ltd., or TRDF, pursuant to which Microbot obtained an exclusive, worldwide, royalty-bearing, sub-licensable license to certain patents and inventions, originally relating to the SCS and TipCAT technology platforms and subsequently amended to include our LIBERTY platform.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in the event Microbot fails to meet a development milestone associated with such technology. Therefore, the failure to meet development milestones may lead to a complete termination of the license agreement and result in Microbot ceasing its development efforts for the applicable product candidate. Failure to meet any development milestone will give TRDF the right to terminate the license with respect to the technology underlying the missed milestone. TRDF has previously demonstrated flexibility with respect to amending the terms of the license to extend the milestone dates, although we can give no assurance at this time that TRDF will continue to be so flexible with respect to amending the terms of the license. We have informed TRDF of our suspension of our SCS research and development program and our plans exploring strategic alternatives for such product and technology. Furthermore, we have returned the intellectual property relating to the TipCat platform as part of our core-business focus program and we may similarly return the intellectual property relating to the SCS(ViRob) platform. To-date, TRDF has not taken any action to so terminate the license, although we can give no assurance they will not do so.</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TRDF were to terminate the license agreement or if Microbot was to otherwise lose the ability to exploit the licensed patents, Microbot’s competitive advantage with respect to its LIBERTY technology platform could be reduced or terminated, and Microbot will likely not be able to find a source to replace the licensed technology.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if there is any future dispute between Microbot and TRDF regarding the respective parties’ rights under the license agreement, Microbot’s ability to develop and commercialize the LIBERTY may be materially harmed, although at this time no material development or commercialization of either platform is in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may not meet its product candidates’ development and commercialization objectives in a timely manner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ectPr>
          <w:pgSz w:w="11900" w:h="16838" w:orient="portrait"/>
          <w:cols w:equalWidth="0" w:num="1">
            <w:col w:w="11240"/>
          </w:cols>
          <w:pgMar w:left="320" w:top="692" w:right="339" w:bottom="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TRDF licensed patents,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the first right, but not the obligation, to control the prosecution, maintenance or enforcement of the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TRDF licensed patents, TRDF may elect to do so but may fail to take the steps that are necessary or desirable in order to obtain, maintain and enforce the licensed patents.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facilities located in Israel, and therefore, political conditions in Israel may affect Microbot’s operations and results.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Microbot has facilities located in Israel. In addition, one of its seven directors, its General Manager and Chief Technology Officer, Chief Medical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relations could limit Microbot’s ability to sell or buy internationally.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Israel’s economy may become unstable.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NIS currencies may negatively affect Microbot’s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Microbot’s research and development efforts from inception until now have been financed in part through such Israeli Innovation Authority royalty bearing grants in an aggregate amount of approximately $1,500,000 through March 31, 2023, plus a recent approval for a grant in the amount of NIS 1.62 million, which based on a recent exchange rate to the U.S. dollar, would be approximately $440,000, to further finance the development of a manufacturing process for the LIBERTY. In addition, as a result of our 2018 agreement with CardioSert and our 2022 agreement with Nitiloop, we took over the liability to repay CardioSert’s and Nitiloop’s IIA grants in the aggregate amount of approximately $530,000 and $925,000, respectively.</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Some of Microbot’s employees and officers are obligated to perform military reserve duty in Israel.</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enforce a non-Israeli judgment against Microbot or its officers and directors.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LIBERTY and other products that it is seeking to develop or commercialize with respect to its other product candidates in the future.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LIBERTY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have in the past and may again in the future pursue other acquisitions of businesses and technologies. Acquisitions entail numerous risks, including:</w:t>
      </w:r>
    </w:p>
    <w:p>
      <w:pPr>
        <w:spacing w:after="0" w:line="24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integration of acquired operations, services and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expected synergies;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 of unknown material liabilities of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of acquired intangible assets, which could reduce future reported earnings;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funding to properly and adequately develop and commercialize the technologies acquired;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clients or key employees of acquired companies;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dilution to existing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or operational estimates or projections;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acquisitions, strategic partnerships, joint ventures or capital commitments;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intellectual property position;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Israel or elsewhere.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issuance of shares upon exercise of outstanding warrants and options could cause immediate and substantial dilution to existing stockholders.</w:t>
      </w: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385,246 issued and outstanding shares of our common stock and the 1,896,380 shares of common stock issuable upon the exercise of currently outstanding options and warrants,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7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We may receive up to a total of $4,763,404 in gross proceeds if all of the warrants are exercised hereunder for cash. However, as we are unable to predict the timing or amount of potential exercises of the warrants, we have not allocated any proceeds of such exercises to any particular purpose. Accordingly, all such proceeds, if any would be allocated to working capital. Pursuant to conditions set forth in the warrants, the warrants are exercisable under certain circumstances on a cashless basis, and should a selling stockholder elect to exercise on a cashless basis we will not receive any proceeds from the sale of common stock issued upon the cashless exercise of the warrant.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since November 29, 2016. Prior to that, our common stock was traded under the symbol “STEM.”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14, 2023, there were approximately 101 holders of record of our common stock, and the closing price of our common stock as reported on the NASDAQ Capital Market was $2.78.</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Part II, Item 8 in our Annual Report on Form 10-K for the fiscal year ended December 31, 2022, filed with the SEC on March 31, 2023, which is incorporated herein by reference, for the following financial statements:</w:t>
      </w:r>
    </w:p>
    <w:p>
      <w:pPr>
        <w:spacing w:after="0" w:line="170" w:lineRule="exact"/>
        <w:rPr>
          <w:sz w:val="20"/>
          <w:szCs w:val="20"/>
          <w:color w:val="auto"/>
        </w:rPr>
      </w:pPr>
    </w:p>
    <w:p>
      <w:pPr>
        <w:spacing w:after="0"/>
        <w:rPr>
          <w:rFonts w:ascii="Arial" w:cs="Arial" w:eastAsia="Arial" w:hAnsi="Arial"/>
          <w:sz w:val="18"/>
          <w:szCs w:val="18"/>
          <w:color w:val="0000EE"/>
        </w:rPr>
      </w:pPr>
      <w:hyperlink r:id="rId41">
        <w:r>
          <w:rPr>
            <w:rFonts w:ascii="Arial" w:cs="Arial" w:eastAsia="Arial" w:hAnsi="Arial"/>
            <w:sz w:val="18"/>
            <w:szCs w:val="18"/>
            <w:u w:val="single" w:color="auto"/>
            <w:color w:val="0000EE"/>
          </w:rPr>
          <w:t>Report of Independent Registered Public Accounting Firm</w:t>
        </w:r>
        <w:r>
          <w:rPr>
            <w:rFonts w:ascii="Arial" w:cs="Arial" w:eastAsia="Arial" w:hAnsi="Arial"/>
            <w:sz w:val="18"/>
            <w:szCs w:val="18"/>
            <w:color w:val="0000EE"/>
          </w:rPr>
          <w:t xml:space="preserve">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1197)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Consolidated Balance Sheets as of December 31, 2022, and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Consolidated Statements of Comprehensive Loss for the years ended December 31, 2022 and 2021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Consolidated Statements of Shareholders’ Equity for the years ended December 31, 2022 and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Consolidated Statements of Cash Flows for the years ended December 31, 2022 and 2021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Notes to the Consolidated Financial Statements</w:t>
        </w:r>
      </w:hyperlink>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also Part I, Item 1 in our Quarterly Report on Form 10-Q for the quarter ended March 31, 2023, filed with the SEC on May 17, 2023, which is incorporated herein by reference, for the following financial statements:</w:t>
      </w:r>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Interim Consolidated Balance Sheets as of March 31, 2023 (Unaudited) and December 31, 2022 (Audited)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Interim Consolidated Statements of Comprehensive Loss for the Three Months Ended March 31, 2023 and 2022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Interim Consolidated Statements of Shareholders’ Equity for the Three Months Ended March 31, 2023 and 2022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Interim Consolidated Statements of Cash Flows for the Three Months Ended March 31, 2023 and 2022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Notes to Interim Consolidated Financial Statements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prospectus, any prospectus supplement and the information incorporated by reference in 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Please see Item 7 in our Annual Report on Form 10-K for the fiscal year ended December 31, 2022, filed with the SEC on March 31, 2023, and Item 2 in our Quarterly Report on Form 10-Q for the quarter ended March 31, 2023, filed with the SEC on May 17, 2023, both of which are incorporated herein by reference, for our management’s discussion and analysis of financial condition and results of operations for the respective periods.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Item 1 in our Annual Report on Form 10-K for the fiscal year ended December 31, 2022 filed with the SEC on March 31, 2023, which is incorporated herein by reference, for a discussion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r>
        <w:rPr>
          <w:rFonts w:ascii="Arial" w:cs="Arial" w:eastAsia="Arial" w:hAnsi="Arial"/>
          <w:sz w:val="29"/>
          <w:szCs w:val="29"/>
          <w:b w:val="1"/>
          <w:bCs w:val="1"/>
          <w:i w:val="1"/>
          <w:iCs w:val="1"/>
          <w:color w:val="auto"/>
          <w:vertAlign w:val="superscript"/>
        </w:rPr>
        <w:t>®</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LIBERTY’s addressable markets are the Interventional Cardiology, Interventional Radiology and Interventional Neuroradiology markets.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Streamlines Cath-lab procedures - Can be made compatible with Microbot’s NitiLoop’s NovaCross products or possibly other guidewire/microcatheter technologies, that combines guidewire and microcatheter into a single device.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guidewire, as well as linear motion for an additional “over the wire” device.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Ease of use - LIBERTY’s intuitive remote controls aims to simplify advanced procedures while shortening the physician’s learning curve.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Telemedicine compatible - Capable of supporting tele-catheterization, carried out remotely by highly trained specialists.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results of the study allow it to move forward and focus on the next phases to ultimately include a U.S.-based pivotal pre-clinical study.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together with its regulatory experts and consultants, believe a larger sample size and robust data generated by this study will advance the company’s efforts towards the submission of Investigational Device Exemption (IDE) with the U.S. Food and Drug Administration (FDA).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One &amp; Done</w:t>
      </w:r>
      <w:r>
        <w:rPr>
          <w:rFonts w:ascii="Arial" w:cs="Arial" w:eastAsia="Arial" w:hAnsi="Arial"/>
          <w:sz w:val="29"/>
          <w:szCs w:val="29"/>
          <w:b w:val="1"/>
          <w:bCs w:val="1"/>
          <w:i w:val="1"/>
          <w:iCs w:val="1"/>
          <w:color w:val="auto"/>
          <w:vertAlign w:val="superscript"/>
        </w:rPr>
        <w:t>TM</w:t>
      </w:r>
      <w:r>
        <w:rPr>
          <w:rFonts w:ascii="Arial" w:cs="Arial" w:eastAsia="Arial" w:hAnsi="Arial"/>
          <w:sz w:val="18"/>
          <w:szCs w:val="18"/>
          <w:b w:val="1"/>
          <w:bCs w:val="1"/>
          <w:i w:val="1"/>
          <w:iCs w:val="1"/>
          <w:color w:val="auto"/>
        </w:rPr>
        <w:t xml:space="preserve"> Technology</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8, 2018, we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8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 had been exploring the integration of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technology into the LIBERTY endovascular robotic system for a range of potential applications in the cardiovascular, peripheral vascular and neurovascular spaces. However, as a result of its recently enacted core-business focus program and its cost reduction plan, the Company has terminated its existing agreement with CardioSert Ltd. effective as of August 17, 2023 and ceased its research and development of and commercialization efforts for the One &amp; Done, which could result in the technology being re-acquired by CardioSert Ltd. for nominal consideration.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NovaCross</w:t>
      </w:r>
      <w:r>
        <w:rPr>
          <w:rFonts w:ascii="Arial" w:cs="Arial" w:eastAsia="Arial" w:hAnsi="Arial"/>
          <w:sz w:val="29"/>
          <w:szCs w:val="29"/>
          <w:b w:val="1"/>
          <w:bCs w:val="1"/>
          <w:i w:val="1"/>
          <w:iCs w:val="1"/>
          <w:color w:val="auto"/>
          <w:vertAlign w:val="superscript"/>
        </w:rPr>
        <w:t>TM</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11, 2022, we announced that we are planning to focus our strategic efforts on the growing endovascular space and advancing the LIBERTY Robotic System to achieve its regulatory and commercial milestones, as well as expanding the LIBERTY ecosystem, and made a strategic decision to suspend the continued research and development of the SCS project, effective at that date. The SCS generally performed as expected during testing, both internally and externally, and we believe it continues to have potential clinical value as evidenced by the pre-clinical data submitted to the FDA, which allowed us to successfully apply for the Early Feasibility Study program administered by the FDA. However, the conflicting commercialization pathways between LIBERTY and the SCS due to different hospital call points, and the anticipated lengthier regulatory process of the SCS, led us to believe that focusing our strategic efforts on the LIBERTY Robotic System will provide us with a greater opportunity for success and future growth. We had been exploring opportunities with the SCS assets with the focus on maximizing shareholders value, including seeking buyers for the assets, entering into joint ventures, licensing arrangements, spinning-off the assets into a new operating company or discontinue the project altogether. However, as a result of our recently enacted core-business focus program and our cost reduction plan , we have been in contact with TRDF, the licensor of the technology, and intend to return the licensed intellectual property for the SCS (ViRob) back to TRDF as early as the end of July 2023 in accordance with the terms of its license agreement, as we have not been successful in any such possible other opportunities.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been exploring the use of the TipCAT for minimally invasive neurosurgical and endovascular applications to complement our other technologies. However, as a result of our recently enacted core-business focus program and our cost reduction plan , we returned the licensed intellectual property for the TipCAT back to TRDF, the licensor of the technology, in June 2023, as we do not have the funds to continue to develop this technology.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and Private Placement Offerings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26, 2023, we entered into a securities purchase agreement with institutional investors, pursuant to which we agreed to issue and sell in a registered direct offering an aggregate of 624,618 shares of our common stock, at an offering price of $3.25 per share, for aggregate gross proceeds, with the private placement described below, of approximately $2 million before deducting the placement agent fee and related offering expenses (the “Second June Offering”). We also agreed to issue to H.C. Wainwright &amp; Co., LLC or its designees preferred investment options to purchase 31,231 shares of our common stock. The registered direct offering was consummated on June 28, 2023. In a concurrent private placement, we also issued to the purchasers of our shares of common stock in the Second June Offering, series D preferred investment options to purchase up to 312,309 shares of our common stock. Each series D preferred investment option is exercisable for one share of common stock at an exercise price of $3.19 commencing on the date of issuance and expires five and one-half years from the initial exercise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 2023, we entered into a securities purchase agreement with institutional investors, pursuant to which we agreed to issue and sell in a registered direct offering an aggregate of 701,756 shares of our common stock, at an offering price of $2.1375 per share, for aggregate gross proceeds, with the private placement described below, of approximately $1.5 million before deducting the placement agent fee and related offering expenses (the “First June Offering”). We also agreed to issue to H.C. Wainwright &amp; Co., LLC or its designees preferred investment options to purchase 35,088 shares of our common stock. The registered direct offering was consummated on June 6, 2023. In a concurrent private placement, we also issued to the purchasers of our shares of common stock in the First June Offering, series C preferred investment options to purchase up to 350,878 shares of our common stock. Each series C preferred investment option is exercisable for one share of common stock at an exercise price of $2.075 commencing on the date of issuance and expires five and one-half years from the initial exercise date.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23, 2023, we entered into a securities purchase agreement with an institutional investor, pursuant to which we agreed to issue and sell in a registered direct offering (i) an aggregate of 975,000 shares of our common stock, at an offering price of $2.20 per share and (ii) pre-funded warrants exercisable for up to 234,500 shares of our common stock, at an offering price of $2.1999 per pre-funded warrant, for aggregate gross proceeds of approximately $2.66 million before deducting the placement agent fee and related offering expenses (the “Second May Offering”). We also agreed to issue to H.C. Wainwright &amp; Co., LLC or its designees preferred investment options to purchase 60,476 shares of our common stock. The Second May Offering was consummated on May 24, 2023.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22, 2023, we entered into a securities purchase agreement with an institutional investor, pursuant to which we agreed to issue and sell in a registered direct offering an aggregate of 655,569 shares of our common stock, at an offering price of $2.20 per share, for aggregate gross proceeds of approximately $1.4 million before deducting the placement agent fee and related offering expenses (the “First May Offering”). We also agreed to issue to H.C. Wainwright &amp; Co., LLC or its designees preferred investment options to purchase 32,778 shares of our common stock. The First May Offering was consummated on May 23,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Preferred Investment Options Amendment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Second May Offering, we agreed to amend the terms of (i) the Series A preferred investment options to purchase 1,022,495 shares of our common stock for an exercise price of $4.64 per share which are scheduled to expire on October 25, 2027 and (ii) the Series B preferred investment options to purchase 1,022,495 shares of our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and further described in our Current Report on Form 8-K filed on October 25,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On June 16, 2023, the holder of the Series B Preferred Investment Options exercised all of such Series B Preferred Investment Options pursuant to its cashless exercise provision into 385,246 shares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for Grant from The Israel Innovation Authority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 2023, we announced that we received a grant from the Israel Innovation Authority (“IIA”) in the amount of NIS 1.62 million, which based on a recent exchange rate to the U.S. dollar, would be approximately $440,000, to further finance the development of our manufacturing process of our flagship robotic surgical system, the LIBERTY.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relation to the IIA grant, we are obligated to pay royalties amounting to between 3%-5% of our future sales of the LIBERTY product up to the grant amount plus interest. The grant is linked to the U.S. dollar and bears interest at Libor per annum. The grant monies will be paid over time based on the terms of the grant, and the U.S. dollar amount actually received will be based on the exchange rate of the U.S. dollar to the New Israeli Shekel at the time of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Core-Business Focus Program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the Board of Directors of the Company authorized, and the Company commenced, a cost reduction plan while the Company seeks to raise additional capital to continue development of the LIBERTY robotic system. This cost reduction plan includes:</w:t>
      </w:r>
    </w:p>
    <w:p>
      <w:pPr>
        <w:spacing w:after="0" w:line="184" w:lineRule="exact"/>
        <w:rPr>
          <w:sz w:val="20"/>
          <w:szCs w:val="20"/>
          <w:color w:val="auto"/>
        </w:rPr>
      </w:pPr>
    </w:p>
    <w:p>
      <w:pPr>
        <w:ind w:left="980" w:hanging="648"/>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Postpone a Good Laboratory Practice study for LIBERTY until the completion of the V&amp;V.</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Harel Gadot, Chairman, President and CEO of the Company, has agreed to a reduction of 50% of his base salary, with terms and conditions with respect to the reduction period to be determined.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as follows:</w:t>
      </w:r>
    </w:p>
    <w:p>
      <w:pPr>
        <w:spacing w:after="0" w:line="252" w:lineRule="exact"/>
        <w:rPr>
          <w:rFonts w:ascii="Arial" w:cs="Arial" w:eastAsia="Arial" w:hAnsi="Arial"/>
          <w:sz w:val="18"/>
          <w:szCs w:val="18"/>
          <w:color w:val="auto"/>
        </w:rPr>
      </w:pPr>
    </w:p>
    <w:p>
      <w:pPr>
        <w:jc w:val="both"/>
        <w:ind w:left="1620" w:hanging="532"/>
        <w:spacing w:after="0" w:line="255"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Rachel Vaknin, CFO. Pursuant to an Addendum to Employment Agreement, Ms. Vaknin’s gross monthly salary was decreased to a gross amount of NIS 35,000. Social and fringe benefits due to Ms. Vaknin shall be calculated based upon the updated salary, excluding sick days and vacation days which will continue to be accumulated per her existing employment agreement. Notwithstanding the foregoing, in the event of termination of Ms. Vaknin’s employment, either by us or by Ms. Vaknin, the redemption of accrued vacation days and the payment of prior notice period shall be calculated based on Ms. Vaknin’s salary prior to May 15, 2023.</w:t>
      </w:r>
    </w:p>
    <w:p>
      <w:pPr>
        <w:spacing w:after="0" w:line="192" w:lineRule="exact"/>
        <w:rPr>
          <w:rFonts w:ascii="Arial" w:cs="Arial" w:eastAsia="Arial" w:hAnsi="Arial"/>
          <w:sz w:val="18"/>
          <w:szCs w:val="18"/>
          <w:color w:val="auto"/>
        </w:rPr>
      </w:pPr>
    </w:p>
    <w:p>
      <w:pPr>
        <w:jc w:val="both"/>
        <w:ind w:left="1620" w:hanging="532"/>
        <w:spacing w:after="0" w:line="255"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Simon Sharon, CTO and General Manager. Pursuant to an Addendum to Employment Agreement, Mr. Sharon’s gross monthly salary was 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us or by Mr. Sharon, the redemption of accrued vacation days and the payment of prior notice period shall be calculated based on Mr. Sharon’s salary prior to May 15, 2023.</w:t>
      </w:r>
    </w:p>
    <w:p>
      <w:pPr>
        <w:spacing w:after="0" w:line="192" w:lineRule="exact"/>
        <w:rPr>
          <w:rFonts w:ascii="Arial" w:cs="Arial" w:eastAsia="Arial" w:hAnsi="Arial"/>
          <w:sz w:val="18"/>
          <w:szCs w:val="18"/>
          <w:color w:val="auto"/>
        </w:rPr>
      </w:pPr>
    </w:p>
    <w:p>
      <w:pPr>
        <w:jc w:val="both"/>
        <w:ind w:left="1620" w:hanging="532"/>
        <w:spacing w:after="0" w:line="25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Eyal Morag, CMO. Pursuant to an Addendum to Employment Agreement, Dr. Morag’s gross monthly salary was decreased to a gross amount 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us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was shortened to ninety days.</w:t>
      </w:r>
    </w:p>
    <w:p>
      <w:pPr>
        <w:spacing w:after="0" w:line="221"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independent members of the Board of Directors have agreed to a suspension of their director fees, with reinstatement of such fees to be determined.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225"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83"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its Scientific Advisory Board, waived his SAB fees, with fees payable to the remaining SAB members to be restructured.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that the savings generated from such cost-reduction activities, along with the net proceeds raised from the First May Offering, the Second May Offering, the First June Offering and the Second June Offering, will enable us to continue the V&amp;V, explore a first-in-human trial outside of the U.S., prepare and submit an Investigational device exemption with the U.S. Food and Drug Administration, and commence a clinical trial in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Pre-Clinical Study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First-In-Human Clinical Cases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also exploring options to conduct First-In-Human trials or cases in other places where the regulatory laws allow.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Catheterization Milestone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Litigation Resulting from 2017 Financing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are currently in the discovery phase and we are commencing court-ordered mediation. Management is unable to assess the outcome of any such mediation, or the likelihood that we will succeed at trial with respect to the SPA or the Financing, having previously lost another lawsuit with respect to the 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recently terminated its lease at its Hingham, Massachusetts facility as a result of its cost reduction plan, and is exploring a possible replacement office for its U.S. staff. Pending new U.S. facilities, the Company’s U.S. employees are working remotely. It has retained a small leased storage facility and a mailing address in the United States.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July 14, 2023, we have approximately 17 employees (including full-time and hourly employees).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Chief Executive Officer, President and Chairman, Harel Gadot, along with 1 full-time and one part-time employee, are based in the United States. Additionally, Microbot has 13 full-time employees and 1 hourly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Benefits and Wellbeing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competitive compensation for our employees We have historically offered annual bonuses and stock-based compensation for eligible employees. As a result of our recent cost reduction plan, our executive officers and certain of our employees have taken salary reductions. We can give no assurance that such plan will not have an adverse effect on our ability to attract and/or retain employees or remain competitive for talent.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Leadership, Training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strive to encourage a diversity of views and to create an equal opportunity workplace. During the past year, we have increased the total number of women in management positions.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Item 10 in our Annual Report on Form 10-K for the fiscal year ended December 31, 2022 filed with the SEC on March 31, 2023, which is incorporated herein by reference, for information regarding our board and directors and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the sections captioned “Director Compensation,” “Executive Compensation,” and “Corporate Governance — Compensation Committee Interlocks and Insider Participation” in our Annual Report on Form 10-K for the fiscal year ended December 31, 2022 filed with the SEC on March 31, 2023, which is incorporated herein by reference, for a discussion of executive and director compensation.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“Certain Relationships and Related Transactions” in our Annual Report on Form 10-K for the fiscal year ended December 31, 2022 filed with the SEC on March 31, 2023, which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July 14, 2023, by (i) each of our directors and director nominees,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July 14, 2023. We calculated percentage ownership in accordance with the rules of the SEC. The percentage of common stock beneficially owned is based on 11,707,317 shares outstanding as of July 14, 2023. In addition, shares issuable pursuant to options or other convertible securities that may be acquired within 60 days of March 30, 2023 are deemed to be issued and outstanding and have been treated as outstanding in calculating and determining the beneficial ownership and percentage ownership of those persons possessing those securities, but not for any other persons.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Number of Shares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Owner</w:t>
            </w: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Beneficially Owned</w:t>
            </w:r>
          </w:p>
        </w:tc>
        <w:tc>
          <w:tcPr>
            <w:tcW w:w="2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 w:type="dxa"/>
            <w:vAlign w:val="bottom"/>
            <w:tcBorders>
              <w:bottom w:val="single" w:sz="8" w:color="CCEEFF"/>
            </w:tcBorders>
          </w:tcPr>
          <w:p>
            <w:pPr>
              <w:spacing w:after="0"/>
              <w:rPr>
                <w:sz w:val="20"/>
                <w:szCs w:val="20"/>
                <w:color w:val="auto"/>
              </w:rPr>
            </w:pP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Chasing Value Asset Management Inc.</w:t>
            </w:r>
            <w:r>
              <w:rPr>
                <w:rFonts w:ascii="Arial" w:cs="Arial" w:eastAsia="Arial" w:hAnsi="Arial"/>
                <w:sz w:val="29"/>
                <w:szCs w:val="29"/>
                <w:color w:val="auto"/>
                <w:vertAlign w:val="superscript"/>
              </w:rPr>
              <w:t>(1)</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610,657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70"/>
        </w:trPr>
        <w:tc>
          <w:tcPr>
            <w:tcW w:w="6940" w:type="dxa"/>
            <w:vAlign w:val="bottom"/>
          </w:tcPr>
          <w:p>
            <w:pPr>
              <w:spacing w:after="0" w:line="270"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779,706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6.31%</w:t>
            </w: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267,089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70"/>
        </w:trPr>
        <w:tc>
          <w:tcPr>
            <w:tcW w:w="6940" w:type="dxa"/>
            <w:vAlign w:val="bottom"/>
          </w:tcPr>
          <w:p>
            <w:pPr>
              <w:spacing w:after="0" w:line="270"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(4)</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25,061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(4)</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25,061</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70"/>
        </w:trPr>
        <w:tc>
          <w:tcPr>
            <w:tcW w:w="6940" w:type="dxa"/>
            <w:vAlign w:val="bottom"/>
          </w:tcPr>
          <w:p>
            <w:pPr>
              <w:spacing w:after="0" w:line="270"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(4)</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25,061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r>
      <w:tr>
        <w:trPr>
          <w:trHeight w:val="256"/>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Aileen Stockburger</w:t>
            </w:r>
            <w:r>
              <w:rPr>
                <w:rFonts w:ascii="Arial" w:cs="Arial" w:eastAsia="Arial" w:hAnsi="Arial"/>
                <w:sz w:val="29"/>
                <w:szCs w:val="29"/>
                <w:color w:val="auto"/>
                <w:vertAlign w:val="superscript"/>
              </w:rPr>
              <w:t>(4)</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19,894</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70"/>
        </w:trPr>
        <w:tc>
          <w:tcPr>
            <w:tcW w:w="6940" w:type="dxa"/>
            <w:vAlign w:val="bottom"/>
          </w:tcPr>
          <w:p>
            <w:pPr>
              <w:spacing w:after="0" w:line="270" w:lineRule="exact"/>
              <w:rPr>
                <w:sz w:val="20"/>
                <w:szCs w:val="20"/>
                <w:color w:val="auto"/>
              </w:rPr>
            </w:pPr>
            <w:r>
              <w:rPr>
                <w:rFonts w:ascii="Arial" w:cs="Arial" w:eastAsia="Arial" w:hAnsi="Arial"/>
                <w:sz w:val="18"/>
                <w:szCs w:val="18"/>
                <w:color w:val="auto"/>
              </w:rPr>
              <w:t>Simon Sharon</w:t>
            </w:r>
            <w:r>
              <w:rPr>
                <w:rFonts w:ascii="Arial" w:cs="Arial" w:eastAsia="Arial" w:hAnsi="Arial"/>
                <w:sz w:val="29"/>
                <w:szCs w:val="29"/>
                <w:color w:val="auto"/>
                <w:vertAlign w:val="superscript"/>
              </w:rPr>
              <w:t>(4)</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55,341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Eyal Morag</w:t>
            </w:r>
            <w:r>
              <w:rPr>
                <w:rFonts w:ascii="Arial" w:cs="Arial" w:eastAsia="Arial" w:hAnsi="Arial"/>
                <w:sz w:val="29"/>
                <w:szCs w:val="29"/>
                <w:color w:val="auto"/>
                <w:vertAlign w:val="superscript"/>
              </w:rPr>
              <w:t>(4)</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36,875</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56"/>
        </w:trPr>
        <w:tc>
          <w:tcPr>
            <w:tcW w:w="6940" w:type="dxa"/>
            <w:vAlign w:val="bottom"/>
          </w:tcPr>
          <w:p>
            <w:pPr>
              <w:spacing w:after="0" w:line="256" w:lineRule="exact"/>
              <w:rPr>
                <w:sz w:val="20"/>
                <w:szCs w:val="20"/>
                <w:color w:val="auto"/>
              </w:rPr>
            </w:pPr>
            <w:r>
              <w:rPr>
                <w:rFonts w:ascii="Arial" w:cs="Arial" w:eastAsia="Arial" w:hAnsi="Arial"/>
                <w:sz w:val="18"/>
                <w:szCs w:val="18"/>
                <w:color w:val="auto"/>
              </w:rPr>
              <w:t>Tal Wenderow</w:t>
            </w:r>
            <w:r>
              <w:rPr>
                <w:rFonts w:ascii="Arial" w:cs="Arial" w:eastAsia="Arial" w:hAnsi="Arial"/>
                <w:sz w:val="29"/>
                <w:szCs w:val="29"/>
                <w:color w:val="auto"/>
                <w:vertAlign w:val="superscript"/>
              </w:rPr>
              <w:t>(4)</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18,422</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r>
      <w:tr>
        <w:trPr>
          <w:trHeight w:val="270"/>
        </w:trPr>
        <w:tc>
          <w:tcPr>
            <w:tcW w:w="69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Rachel Vaknin</w:t>
            </w:r>
            <w:r>
              <w:rPr>
                <w:rFonts w:ascii="Arial" w:cs="Arial" w:eastAsia="Arial" w:hAnsi="Arial"/>
                <w:sz w:val="29"/>
                <w:szCs w:val="29"/>
                <w:color w:val="auto"/>
                <w:vertAlign w:val="superscript"/>
              </w:rPr>
              <w:t>(4)</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12,750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r>
      <w:tr>
        <w:trPr>
          <w:trHeight w:val="390"/>
        </w:trPr>
        <w:tc>
          <w:tcPr>
            <w:tcW w:w="6940" w:type="dxa"/>
            <w:vAlign w:val="bottom"/>
          </w:tcPr>
          <w:p>
            <w:pPr>
              <w:spacing w:after="0"/>
              <w:rPr>
                <w:sz w:val="20"/>
                <w:szCs w:val="20"/>
                <w:color w:val="auto"/>
              </w:rPr>
            </w:pPr>
            <w:r>
              <w:rPr>
                <w:rFonts w:ascii="Arial" w:cs="Arial" w:eastAsia="Arial" w:hAnsi="Arial"/>
                <w:sz w:val="18"/>
                <w:szCs w:val="18"/>
                <w:color w:val="auto"/>
              </w:rPr>
              <w:t>All current directors and executive officers as a group (10 persons)</w:t>
            </w:r>
            <w:r>
              <w:rPr>
                <w:rFonts w:ascii="Arial" w:cs="Arial" w:eastAsia="Arial" w:hAnsi="Arial"/>
                <w:sz w:val="29"/>
                <w:szCs w:val="29"/>
                <w:color w:val="auto"/>
                <w:vertAlign w:val="superscript"/>
              </w:rPr>
              <w:t>(5)</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1,265,260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10.05%</w:t>
            </w:r>
          </w:p>
        </w:tc>
      </w:tr>
    </w:tbl>
    <w:p>
      <w:pPr>
        <w:spacing w:after="0" w:line="6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a Schedule 13G filed by the reporting person on January 20, 2021, the reporting person has sole voting power over 207,000 shares and sole dispositive power over 610,657 shares. Sheldon D. Liber is the Chief Executive Officer of the reporting person. The address of the principal business office of the reporting person is 2444 Wilshire Boulevard, Suite 300, Santa Monica, California 90403.</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77,846 shares of our common stock issuable upon the exercise of options granted to MEDX Ventures Group LLC, and (iii) 565,013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jc w:val="both"/>
        <w:ind w:left="340" w:hanging="332"/>
        <w:spacing w:after="0" w:line="28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(i) 242,028 shares of our common stock owned by LSA - Life Science Accelerator Ltd. and (ii) 25,061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(2), (3) and (4).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common stock to be sold by the selling stockholders upon conversion of their warrants is common stock that is issuable upon such exercise. To the extent the common stock underlying the warrants is issued, there will be dilution to the ownership interests of our existing stockholders.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 forth certain information regarding the selling stockholders and the shares of common stock beneficially owned by them, which information is available to us as of July 14, 2023.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42.</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Beneficial ownership is determined in accordance with Rule 13d-3(d) promulgated by the SEC under the Exchange Act. The percentage of shares beneficially owned prior to the offering is based on 11,707,317 shares of our common stock outstanding as of July 14,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Shares of</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Common</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Shares of Common Stock</w:t>
            </w: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Beneficially Owned After Sale of</w:t>
            </w: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Shares of</w:t>
            </w: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All Shares of Common Stock</w:t>
            </w:r>
          </w:p>
        </w:tc>
      </w:tr>
      <w:tr>
        <w:trPr>
          <w:trHeight w:val="255"/>
        </w:trPr>
        <w:tc>
          <w:tcPr>
            <w:tcW w:w="3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Owned</w:t>
            </w: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Pursuant to this Prospectus</w:t>
            </w:r>
          </w:p>
        </w:tc>
      </w:tr>
      <w:tr>
        <w:trPr>
          <w:trHeight w:val="198"/>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7"/>
              </w:rPr>
              <w:t>Before</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Stock</w:t>
            </w:r>
          </w:p>
        </w:tc>
        <w:tc>
          <w:tcPr>
            <w:tcW w:w="112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Number of</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Stockholder</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Any Sale</w:t>
            </w:r>
          </w:p>
        </w:tc>
        <w:tc>
          <w:tcPr>
            <w:tcW w:w="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of Class</w:t>
            </w:r>
          </w:p>
        </w:tc>
        <w:tc>
          <w:tcPr>
            <w:tcW w:w="3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7"/>
        </w:trPr>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Armistice Capital LLC</w:t>
            </w:r>
            <w:r>
              <w:rPr>
                <w:rFonts w:ascii="Arial" w:cs="Arial" w:eastAsia="Arial" w:hAnsi="Arial"/>
                <w:sz w:val="29"/>
                <w:szCs w:val="29"/>
                <w:color w:val="auto"/>
                <w:vertAlign w:val="superscript"/>
              </w:rPr>
              <w:t>(1)</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1,745,763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1,745,763</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spacing w:after="0" w:line="270" w:lineRule="exact"/>
              <w:rPr>
                <w:sz w:val="20"/>
                <w:szCs w:val="20"/>
                <w:color w:val="auto"/>
              </w:rPr>
            </w:pPr>
            <w:r>
              <w:rPr>
                <w:rFonts w:ascii="Arial" w:cs="Arial" w:eastAsia="Arial" w:hAnsi="Arial"/>
                <w:sz w:val="18"/>
                <w:szCs w:val="18"/>
                <w:color w:val="auto"/>
              </w:rPr>
              <w:t>Intracoastal Capital, LLC</w:t>
            </w:r>
            <w:r>
              <w:rPr>
                <w:rFonts w:ascii="Arial" w:cs="Arial" w:eastAsia="Arial" w:hAnsi="Arial"/>
                <w:sz w:val="29"/>
                <w:szCs w:val="29"/>
                <w:color w:val="auto"/>
                <w:vertAlign w:val="superscript"/>
              </w:rPr>
              <w:t>(2)</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color w:val="auto"/>
              </w:rPr>
              <w:t>221,062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221,062</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3"/>
                <w:szCs w:val="23"/>
                <w:color w:val="auto"/>
              </w:rPr>
            </w:pPr>
          </w:p>
        </w:tc>
        <w:tc>
          <w:tcPr>
            <w:tcW w:w="12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CVI Investments, Inc.</w:t>
            </w:r>
            <w:r>
              <w:rPr>
                <w:rFonts w:ascii="Arial" w:cs="Arial" w:eastAsia="Arial" w:hAnsi="Arial"/>
                <w:sz w:val="29"/>
                <w:szCs w:val="29"/>
                <w:color w:val="auto"/>
                <w:vertAlign w:val="superscript"/>
              </w:rPr>
              <w:t>(3)(4)</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104,103</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104,103</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spacing w:after="0" w:line="270" w:lineRule="exact"/>
              <w:rPr>
                <w:sz w:val="20"/>
                <w:szCs w:val="20"/>
                <w:color w:val="auto"/>
              </w:rPr>
            </w:pPr>
            <w:r>
              <w:rPr>
                <w:rFonts w:ascii="Arial" w:cs="Arial" w:eastAsia="Arial" w:hAnsi="Arial"/>
                <w:sz w:val="18"/>
                <w:szCs w:val="18"/>
                <w:color w:val="auto"/>
              </w:rPr>
              <w:t>Noam Rubenstein</w:t>
            </w:r>
            <w:r>
              <w:rPr>
                <w:rFonts w:ascii="Arial" w:cs="Arial" w:eastAsia="Arial" w:hAnsi="Arial"/>
                <w:sz w:val="29"/>
                <w:szCs w:val="29"/>
                <w:color w:val="auto"/>
                <w:vertAlign w:val="superscript"/>
              </w:rPr>
              <w:t>(4)</w:t>
            </w:r>
          </w:p>
        </w:tc>
        <w:tc>
          <w:tcPr>
            <w:tcW w:w="1740" w:type="dxa"/>
            <w:vAlign w:val="bottom"/>
            <w:gridSpan w:val="3"/>
          </w:tcPr>
          <w:p>
            <w:pPr>
              <w:jc w:val="right"/>
              <w:ind w:right="220"/>
              <w:spacing w:after="0" w:line="270" w:lineRule="exact"/>
              <w:rPr>
                <w:sz w:val="20"/>
                <w:szCs w:val="20"/>
                <w:color w:val="auto"/>
              </w:rPr>
            </w:pPr>
            <w:r>
              <w:rPr>
                <w:rFonts w:ascii="Arial" w:cs="Arial" w:eastAsia="Arial" w:hAnsi="Arial"/>
                <w:sz w:val="18"/>
                <w:szCs w:val="18"/>
                <w:color w:val="auto"/>
              </w:rPr>
              <w:t>66,369</w:t>
            </w:r>
            <w:r>
              <w:rPr>
                <w:rFonts w:ascii="Arial" w:cs="Arial" w:eastAsia="Arial" w:hAnsi="Arial"/>
                <w:sz w:val="29"/>
                <w:szCs w:val="29"/>
                <w:color w:val="auto"/>
                <w:vertAlign w:val="subscript"/>
              </w:rPr>
              <w:t>(5)</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66,369</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3"/>
                <w:szCs w:val="23"/>
                <w:color w:val="auto"/>
              </w:rPr>
            </w:pPr>
          </w:p>
        </w:tc>
        <w:tc>
          <w:tcPr>
            <w:tcW w:w="12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Vasinkevich</w:t>
            </w:r>
            <w:r>
              <w:rPr>
                <w:rFonts w:ascii="Arial" w:cs="Arial" w:eastAsia="Arial" w:hAnsi="Arial"/>
                <w:sz w:val="29"/>
                <w:szCs w:val="29"/>
                <w:color w:val="auto"/>
                <w:vertAlign w:val="superscript"/>
              </w:rPr>
              <w:t>(4)</w:t>
            </w:r>
          </w:p>
        </w:tc>
        <w:tc>
          <w:tcPr>
            <w:tcW w:w="1740" w:type="dxa"/>
            <w:vAlign w:val="bottom"/>
            <w:gridSpan w:val="3"/>
            <w:shd w:val="clear" w:color="auto" w:fill="CCEEFF"/>
          </w:tcPr>
          <w:p>
            <w:pPr>
              <w:jc w:val="right"/>
              <w:ind w:right="220"/>
              <w:spacing w:after="0" w:line="256" w:lineRule="exact"/>
              <w:rPr>
                <w:sz w:val="20"/>
                <w:szCs w:val="20"/>
                <w:color w:val="auto"/>
              </w:rPr>
            </w:pPr>
            <w:r>
              <w:rPr>
                <w:rFonts w:ascii="Arial" w:cs="Arial" w:eastAsia="Arial" w:hAnsi="Arial"/>
                <w:sz w:val="18"/>
                <w:szCs w:val="18"/>
                <w:color w:val="auto"/>
              </w:rPr>
              <w:t>135,110</w:t>
            </w:r>
            <w:r>
              <w:rPr>
                <w:rFonts w:ascii="Arial" w:cs="Arial" w:eastAsia="Arial" w:hAnsi="Arial"/>
                <w:sz w:val="29"/>
                <w:szCs w:val="29"/>
                <w:color w:val="auto"/>
                <w:vertAlign w:val="subscript"/>
              </w:rPr>
              <w:t>(5)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135,110</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spacing w:after="0" w:line="270" w:lineRule="exact"/>
              <w:rPr>
                <w:sz w:val="20"/>
                <w:szCs w:val="20"/>
                <w:color w:val="auto"/>
              </w:rPr>
            </w:pPr>
            <w:r>
              <w:rPr>
                <w:rFonts w:ascii="Arial" w:cs="Arial" w:eastAsia="Arial" w:hAnsi="Arial"/>
                <w:sz w:val="18"/>
                <w:szCs w:val="18"/>
                <w:color w:val="auto"/>
              </w:rPr>
              <w:t>Craig Schwabe</w:t>
            </w:r>
            <w:r>
              <w:rPr>
                <w:rFonts w:ascii="Arial" w:cs="Arial" w:eastAsia="Arial" w:hAnsi="Arial"/>
                <w:sz w:val="29"/>
                <w:szCs w:val="29"/>
                <w:color w:val="auto"/>
                <w:vertAlign w:val="superscript"/>
              </w:rPr>
              <w:t>(4)</w:t>
            </w:r>
          </w:p>
        </w:tc>
        <w:tc>
          <w:tcPr>
            <w:tcW w:w="1740" w:type="dxa"/>
            <w:vAlign w:val="bottom"/>
            <w:gridSpan w:val="3"/>
          </w:tcPr>
          <w:p>
            <w:pPr>
              <w:jc w:val="right"/>
              <w:ind w:right="220"/>
              <w:spacing w:after="0" w:line="270" w:lineRule="exact"/>
              <w:rPr>
                <w:sz w:val="20"/>
                <w:szCs w:val="20"/>
                <w:color w:val="auto"/>
              </w:rPr>
            </w:pPr>
            <w:r>
              <w:rPr>
                <w:rFonts w:ascii="Arial" w:cs="Arial" w:eastAsia="Arial" w:hAnsi="Arial"/>
                <w:sz w:val="18"/>
                <w:szCs w:val="18"/>
                <w:color w:val="auto"/>
              </w:rPr>
              <w:t>7,111</w:t>
            </w:r>
            <w:r>
              <w:rPr>
                <w:rFonts w:ascii="Arial" w:cs="Arial" w:eastAsia="Arial" w:hAnsi="Arial"/>
                <w:sz w:val="29"/>
                <w:szCs w:val="29"/>
                <w:color w:val="auto"/>
                <w:vertAlign w:val="subscript"/>
              </w:rPr>
              <w:t>(5)</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7,111</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3"/>
                <w:szCs w:val="23"/>
                <w:color w:val="auto"/>
              </w:rPr>
            </w:pPr>
          </w:p>
        </w:tc>
        <w:tc>
          <w:tcPr>
            <w:tcW w:w="12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Charles Worthman</w:t>
            </w:r>
            <w:r>
              <w:rPr>
                <w:rFonts w:ascii="Arial" w:cs="Arial" w:eastAsia="Arial" w:hAnsi="Arial"/>
                <w:sz w:val="29"/>
                <w:szCs w:val="29"/>
                <w:color w:val="auto"/>
                <w:vertAlign w:val="superscript"/>
              </w:rPr>
              <w:t>(4)</w:t>
            </w:r>
          </w:p>
        </w:tc>
        <w:tc>
          <w:tcPr>
            <w:tcW w:w="1740" w:type="dxa"/>
            <w:vAlign w:val="bottom"/>
            <w:gridSpan w:val="3"/>
            <w:shd w:val="clear" w:color="auto" w:fill="CCEEFF"/>
          </w:tcPr>
          <w:p>
            <w:pPr>
              <w:jc w:val="right"/>
              <w:ind w:right="220"/>
              <w:spacing w:after="0" w:line="256" w:lineRule="exact"/>
              <w:rPr>
                <w:sz w:val="20"/>
                <w:szCs w:val="20"/>
                <w:color w:val="auto"/>
              </w:rPr>
            </w:pPr>
            <w:r>
              <w:rPr>
                <w:rFonts w:ascii="Arial" w:cs="Arial" w:eastAsia="Arial" w:hAnsi="Arial"/>
                <w:sz w:val="18"/>
                <w:szCs w:val="18"/>
                <w:color w:val="auto"/>
              </w:rPr>
              <w:t>2,108</w:t>
            </w:r>
            <w:r>
              <w:rPr>
                <w:rFonts w:ascii="Arial" w:cs="Arial" w:eastAsia="Arial" w:hAnsi="Arial"/>
                <w:sz w:val="29"/>
                <w:szCs w:val="29"/>
                <w:color w:val="auto"/>
                <w:vertAlign w:val="subscript"/>
              </w:rPr>
              <w:t>(5)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2,108</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color w:val="auto"/>
              </w:rPr>
              <w:t>2,281,626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16.77%</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2,281,626</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0"/>
                <w:szCs w:val="20"/>
                <w:color w:val="auto"/>
              </w:rPr>
            </w:pPr>
          </w:p>
        </w:tc>
        <w:tc>
          <w:tcPr>
            <w:tcW w:w="1220" w:type="dxa"/>
            <w:vAlign w:val="bottom"/>
            <w:gridSpan w:val="2"/>
          </w:tcPr>
          <w:p>
            <w:pPr>
              <w:ind w:left="10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outstanding shares of our common stock.</w:t>
      </w:r>
    </w:p>
    <w:p>
      <w:pPr>
        <w:spacing w:after="0" w:line="225" w:lineRule="exact"/>
        <w:rPr>
          <w:sz w:val="20"/>
          <w:szCs w:val="20"/>
          <w:color w:val="auto"/>
        </w:rPr>
      </w:pPr>
    </w:p>
    <w:p>
      <w:pPr>
        <w:jc w:val="both"/>
        <w:ind w:left="340" w:hanging="332"/>
        <w:spacing w:after="0" w:line="25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(i) 385,246 shares of common stock and (ii) options to purchase 1,360,517 shares of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Armistice Capital from exercising that portion of the warrants that would result in Armistice Capital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options to purchase an aggregate of 221,062 shares of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address of Intracoastal is 245 Palm Trail, Delray Beach, FL 33483.</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warrants to purchase shares of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address of CVI is c/o Heights Capital Management, Inc., 101 California Street, Suite 3250, San Francisco, CA 94111.</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selling stockholder is an affiliate of a registered broker-dealer.</w:t>
      </w:r>
    </w:p>
    <w:p>
      <w:pPr>
        <w:spacing w:after="0" w:line="9" w:lineRule="exact"/>
        <w:rPr>
          <w:rFonts w:ascii="Arial" w:cs="Arial" w:eastAsia="Arial" w:hAnsi="Arial"/>
          <w:sz w:val="18"/>
          <w:szCs w:val="18"/>
          <w:color w:val="auto"/>
        </w:rPr>
      </w:pPr>
    </w:p>
    <w:p>
      <w:pPr>
        <w:jc w:val="both"/>
        <w:ind w:left="340" w:hanging="332"/>
        <w:spacing w:after="0" w:line="25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warrants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the Selling Stockholders</w:t>
      </w:r>
    </w:p>
    <w:p>
      <w:pPr>
        <w:sectPr>
          <w:pgSz w:w="11900" w:h="16838" w:orient="portrait"/>
          <w:cols w:equalWidth="0" w:num="1">
            <w:col w:w="11240"/>
          </w:cols>
          <w:pgMar w:left="320" w:top="688" w:right="339" w:bottom="42" w:gutter="0" w:footer="0" w:header="0"/>
        </w:sectPr>
      </w:pPr>
    </w:p>
    <w:bookmarkStart w:id="45" w:name="page46"/>
    <w:bookmarkEnd w:id="45"/>
    <w:p>
      <w:pPr>
        <w:spacing w:after="0" w:line="277" w:lineRule="auto"/>
        <w:rPr>
          <w:sz w:val="20"/>
          <w:szCs w:val="20"/>
          <w:color w:val="auto"/>
        </w:rPr>
      </w:pPr>
      <w:r>
        <w:rPr>
          <w:rFonts w:ascii="Arial" w:cs="Arial" w:eastAsia="Arial" w:hAnsi="Arial"/>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88" w:right="339" w:bottom="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Delaware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authorized capital stock consists of 60,000,000 shares of common stock, par value $0.01, of which 11,707,317 shares were issued and outstanding as of July 14, 2023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July 14, 2023, we had:</w:t>
      </w:r>
    </w:p>
    <w:p>
      <w:pPr>
        <w:spacing w:after="0" w:line="225" w:lineRule="exact"/>
        <w:rPr>
          <w:sz w:val="20"/>
          <w:szCs w:val="20"/>
          <w:color w:val="auto"/>
        </w:rPr>
      </w:pPr>
    </w:p>
    <w:p>
      <w:pPr>
        <w:ind w:left="6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1,529,304 shares of our common stock issuable upon the exercise of outstanding stock options granted to employees, directors and consultants, with exercise prices ranging from approximately $0.005 to $15.75 and having a weighted-average exercise price of $7.05 per share;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131,585 shares of our common stock reserved for future grant under our 2017 Equity Incentive Plan;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522,904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July 14, 2023, we had outstanding:</w:t>
      </w:r>
    </w:p>
    <w:p>
      <w:pPr>
        <w:spacing w:after="0" w:line="225" w:lineRule="exact"/>
        <w:rPr>
          <w:sz w:val="20"/>
          <w:szCs w:val="20"/>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$6.1125;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60,476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35,088 shares of our common stock issuable upon the exercise of outstanding warrants expiring in November 2026, at an exercise price per share of $2.6719;</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350,878 shares of our common stock issuable upon the exercise of outstanding series C preferred investment options expiring in December 2028, at an exercise price per share of $2.075;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312,309 shares of our common stock issuable upon the exercise of outstanding series D preferred investment options expiring in December 2028, at an exercise price per share of $3.19;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31,231 shares of our common stock issuable upon the exercise of outstanding warrants expiring in June 2028, at an exercise price per share of $4.0625.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of our common stock is Computershare Trust Company, N.A. Its address is 33 North LaSalle Street, Suite 1100, Chicago, IL 60602.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Law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Staggered Board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provisions for stockholder proposals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meetings of stockholders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stockholder action by written consent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Super-majority stockholder vote required for certain actions.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Section 174 of the DGCL;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Ruskin Moscou Faltischek, PC, Uniondale,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We also maintain a website at</w:t>
      </w:r>
      <w:r>
        <w:rPr>
          <w:rFonts w:ascii="Arial" w:cs="Arial" w:eastAsia="Arial" w:hAnsi="Arial"/>
          <w:sz w:val="18"/>
          <w:szCs w:val="18"/>
          <w:i w:val="1"/>
          <w:iCs w:val="1"/>
          <w:color w:val="auto"/>
        </w:rPr>
        <w:t xml:space="preserve"> http://www.microbotmedical.com</w:t>
      </w:r>
      <w:r>
        <w:rPr>
          <w:rFonts w:ascii="Arial" w:cs="Arial" w:eastAsia="Arial" w:hAnsi="Arial"/>
          <w:sz w:val="18"/>
          <w:szCs w:val="18"/>
          <w:color w:val="auto"/>
        </w:rPr>
        <w:t>, at which you may access these materials free of charge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(908) 967-6677.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S-1 under the Securities Act of 1933, as amended, with the SEC with respect to the securities being offered pursuant to this prospectus. This prospectus omits certain information contained in the registration statement, as permitted by the SEC. You should refer to the registration statement, including the exhibits, for further information about 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We are incorporating by reference the documents listed below, which we have already filed with the SEC, and all documents subsequently filed by us pursuant to Sections 13(a), 13(c), 14 or 15(d) of the Exchange Act, except as to any portion of any future report or document that is not deemed filed under such provisions, prior to the termination of the offering:</w:t>
      </w:r>
    </w:p>
    <w:p>
      <w:pPr>
        <w:spacing w:after="0" w:line="17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March 31, 2023;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76">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17, 2023;</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3"/>
        </w:numPr>
        <w:rPr>
          <w:rFonts w:ascii="Arial" w:cs="Arial" w:eastAsia="Arial" w:hAnsi="Arial"/>
          <w:sz w:val="18"/>
          <w:szCs w:val="18"/>
          <w:color w:val="0000EE"/>
        </w:rPr>
      </w:pPr>
      <w:hyperlink r:id="rId77">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23,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18, 2023 May 22,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23,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24,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25,</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2023</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8">
        <w:r>
          <w:rPr>
            <w:rFonts w:ascii="Arial" w:cs="Arial" w:eastAsia="Arial" w:hAnsi="Arial"/>
            <w:sz w:val="18"/>
            <w:szCs w:val="18"/>
            <w:u w:val="single" w:color="auto"/>
            <w:color w:val="0000EE"/>
          </w:rPr>
          <w:t>May 31, 2023</w:t>
        </w:r>
      </w:hyperlink>
      <w:hyperlink r:id="rId7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9">
        <w:r>
          <w:rPr>
            <w:rFonts w:ascii="Arial" w:cs="Arial" w:eastAsia="Arial" w:hAnsi="Arial"/>
            <w:sz w:val="18"/>
            <w:szCs w:val="18"/>
            <w:u w:val="single" w:color="auto"/>
            <w:color w:val="0000EE"/>
          </w:rPr>
          <w:t>June 2, 2023</w:t>
        </w:r>
      </w:hyperlink>
      <w:hyperlink r:id="rId7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0">
        <w:r>
          <w:rPr>
            <w:rFonts w:ascii="Arial" w:cs="Arial" w:eastAsia="Arial" w:hAnsi="Arial"/>
            <w:sz w:val="18"/>
            <w:szCs w:val="18"/>
            <w:u w:val="single" w:color="auto"/>
            <w:color w:val="0000EE"/>
          </w:rPr>
          <w:t>June 6, 2023</w:t>
        </w:r>
      </w:hyperlink>
      <w:hyperlink r:id="rId7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1">
        <w:r>
          <w:rPr>
            <w:rFonts w:ascii="Arial" w:cs="Arial" w:eastAsia="Arial" w:hAnsi="Arial"/>
            <w:sz w:val="18"/>
            <w:szCs w:val="18"/>
            <w:u w:val="single" w:color="auto"/>
            <w:color w:val="0000EE"/>
          </w:rPr>
          <w:t>June 16, 2023</w:t>
        </w:r>
      </w:hyperlink>
      <w:hyperlink r:id="rId7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2">
        <w:r>
          <w:rPr>
            <w:rFonts w:ascii="Arial" w:cs="Arial" w:eastAsia="Arial" w:hAnsi="Arial"/>
            <w:sz w:val="18"/>
            <w:szCs w:val="18"/>
            <w:u w:val="single" w:color="auto"/>
            <w:color w:val="0000EE"/>
          </w:rPr>
          <w:t xml:space="preserve">June 22, 2023 </w:t>
        </w:r>
      </w:hyperlink>
      <w:hyperlink r:id="rId77">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3">
        <w:r>
          <w:rPr>
            <w:rFonts w:ascii="Arial" w:cs="Arial" w:eastAsia="Arial" w:hAnsi="Arial"/>
            <w:sz w:val="18"/>
            <w:szCs w:val="18"/>
            <w:u w:val="single" w:color="auto"/>
            <w:color w:val="0000EE"/>
          </w:rPr>
          <w:t xml:space="preserve">June 29, 2023 </w:t>
        </w:r>
      </w:hyperlink>
      <w:hyperlink r:id="rId77">
        <w:r>
          <w:rPr>
            <w:rFonts w:ascii="Arial" w:cs="Arial" w:eastAsia="Arial" w:hAnsi="Arial"/>
            <w:sz w:val="18"/>
            <w:szCs w:val="18"/>
            <w:color w:val="000000"/>
          </w:rPr>
          <w:t>(except in each case for information contained</w:t>
        </w:r>
      </w:hyperlink>
      <w:r>
        <w:rPr>
          <w:rFonts w:ascii="Arial" w:cs="Arial" w:eastAsia="Arial" w:hAnsi="Arial"/>
          <w:sz w:val="18"/>
          <w:szCs w:val="18"/>
          <w:color w:val="0000EE"/>
        </w:rPr>
        <w:t xml:space="preserve"> </w:t>
      </w:r>
      <w:r>
        <w:rPr>
          <w:rFonts w:ascii="Arial" w:cs="Arial" w:eastAsia="Arial" w:hAnsi="Arial"/>
          <w:sz w:val="18"/>
          <w:szCs w:val="18"/>
          <w:color w:val="000000"/>
        </w:rPr>
        <w:t>therein which is furnished rather than filed); and</w:t>
      </w:r>
    </w:p>
    <w:p>
      <w:pPr>
        <w:spacing w:after="0" w:line="1" w:lineRule="exact"/>
        <w:rPr>
          <w:rFonts w:ascii="Arial" w:cs="Arial" w:eastAsia="Arial" w:hAnsi="Arial"/>
          <w:sz w:val="18"/>
          <w:szCs w:val="18"/>
          <w:color w:val="0000EE"/>
        </w:rPr>
      </w:pPr>
    </w:p>
    <w:p>
      <w:pPr>
        <w:ind w:left="660" w:hanging="328"/>
        <w:spacing w:after="0" w:line="2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auto"/>
        </w:rPr>
        <w:t>Form 8-A</w:t>
      </w:r>
      <w:r>
        <w:rPr>
          <w:rFonts w:ascii="Arial" w:cs="Arial" w:eastAsia="Arial" w:hAnsi="Arial"/>
          <w:sz w:val="18"/>
          <w:szCs w:val="18"/>
          <w:color w:val="auto"/>
        </w:rPr>
        <w:t>, filed with the SEC on August 3, 1998, including all amendments and reports filed for the purpose of updating such description.</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1438275</wp:posOffset>
            </wp:positionH>
            <wp:positionV relativeFrom="paragraph">
              <wp:posOffset>-858520</wp:posOffset>
            </wp:positionV>
            <wp:extent cx="511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511175" cy="889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-721360</wp:posOffset>
            </wp:positionV>
            <wp:extent cx="511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165" w:lineRule="exact"/>
        <w:rPr>
          <w:rFonts w:ascii="Arial" w:cs="Arial" w:eastAsia="Arial" w:hAnsi="Arial"/>
          <w:sz w:val="18"/>
          <w:szCs w:val="18"/>
          <w:color w:val="0000EE"/>
        </w:rPr>
      </w:pPr>
    </w:p>
    <w:p>
      <w:pPr>
        <w:jc w:val="both"/>
        <w:spacing w:after="0" w:line="255" w:lineRule="auto"/>
        <w:rPr>
          <w:sz w:val="20"/>
          <w:szCs w:val="20"/>
          <w:color w:val="auto"/>
        </w:rPr>
      </w:pPr>
      <w:r>
        <w:rPr>
          <w:rFonts w:ascii="Arial" w:cs="Arial" w:eastAsia="Arial" w:hAnsi="Arial"/>
          <w:sz w:val="18"/>
          <w:szCs w:val="18"/>
          <w:color w:val="auto"/>
        </w:rPr>
        <w:t>Any statement contained in this prospectus and any applicable prospectus supplement or in a document incorporated or deemed to be incorporated by reference into this prospectus and any applicable prospectus supplement will be deemed to be modified or superseded for purposes of this prospectus and any prospectus supplement to the extent that a statement contained in this prospectus and any applicable prospectus supplement or any other subsequently filed document that is deemed to be incorporated by reference into this prospectus and any applicable prospectus supplement modifies or supersedes the statement. Any statement so modified or superseded will not be deemed, except as so modified or superseded, to constitute a part of this prospectus and any applicable prospectus supplement.</w:t>
      </w:r>
    </w:p>
    <w:p>
      <w:pPr>
        <w:spacing w:after="0" w:line="192" w:lineRule="exact"/>
        <w:rPr>
          <w:rFonts w:ascii="Arial" w:cs="Arial" w:eastAsia="Arial" w:hAnsi="Arial"/>
          <w:sz w:val="18"/>
          <w:szCs w:val="18"/>
          <w:color w:val="0000EE"/>
        </w:rPr>
      </w:pPr>
    </w:p>
    <w:p>
      <w:pPr>
        <w:jc w:val="both"/>
        <w:spacing w:after="0" w:line="263" w:lineRule="auto"/>
        <w:rPr>
          <w:sz w:val="20"/>
          <w:szCs w:val="20"/>
          <w:color w:val="auto"/>
        </w:rPr>
      </w:pPr>
      <w:r>
        <w:rPr>
          <w:rFonts w:ascii="Arial" w:cs="Arial" w:eastAsia="Arial" w:hAnsi="Arial"/>
          <w:sz w:val="18"/>
          <w:szCs w:val="18"/>
          <w:color w:val="auto"/>
        </w:rPr>
        <w:t>We will furnish without charge to you, on written or oral request, a copy of any filing or report incorporated by reference, including exhibits to the document. You should direct any requests for documents to Microbot Medical Inc., 288 Grove Street, Suite 388, Braintree, MA 02184, (908) 967-6677, Attention: Harel Gadot.</w:t>
      </w:r>
    </w:p>
    <w:p>
      <w:pPr>
        <w:spacing w:after="0" w:line="184"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lvl w:ilvl="1">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4" Type="http://schemas.openxmlformats.org/officeDocument/2006/relationships/image" Target="media/image35.png"/><Relationship Id="rId47" Type="http://schemas.openxmlformats.org/officeDocument/2006/relationships/image" Target="media/image36.png"/><Relationship Id="rId51" Type="http://schemas.openxmlformats.org/officeDocument/2006/relationships/image" Target="media/image37.png"/><Relationship Id="rId53" Type="http://schemas.openxmlformats.org/officeDocument/2006/relationships/image" Target="media/image38.png"/><Relationship Id="rId56"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41" Type="http://schemas.openxmlformats.org/officeDocument/2006/relationships/hyperlink" Target="https://www.sec.gov/Archives/edgar/data/883975/000149315223010223/form10-k.htm#a_001" TargetMode="External"/><Relationship Id="rId43" Type="http://schemas.openxmlformats.org/officeDocument/2006/relationships/hyperlink" Target="https://www.sec.gov/Archives/edgar/data/883975/000149315223010223/form10-k.htm#a_002" TargetMode="External"/><Relationship Id="rId45" Type="http://schemas.openxmlformats.org/officeDocument/2006/relationships/hyperlink" Target="https://www.sec.gov/Archives/edgar/data/883975/000149315223010223/form10-k.htm#a_003" TargetMode="External"/><Relationship Id="rId46" Type="http://schemas.openxmlformats.org/officeDocument/2006/relationships/hyperlink" Target="https://www.sec.gov/Archives/edgar/data/883975/000149315223010223/form10-k.htm#a_004" TargetMode="External"/><Relationship Id="rId48" Type="http://schemas.openxmlformats.org/officeDocument/2006/relationships/hyperlink" Target="https://www.sec.gov/Archives/edgar/data/883975/000149315223010223/form10-k.htm#a_005" TargetMode="External"/><Relationship Id="rId49" Type="http://schemas.openxmlformats.org/officeDocument/2006/relationships/hyperlink" Target="https://www.sec.gov/Archives/edgar/data/883975/000149315223010223/form10-k.htm#a_006" TargetMode="External"/><Relationship Id="rId50" Type="http://schemas.openxmlformats.org/officeDocument/2006/relationships/hyperlink" Target="https://www.sec.gov/Archives/edgar/data/883975/000149315223017966/form10-q.htm#a_001" TargetMode="External"/><Relationship Id="rId52" Type="http://schemas.openxmlformats.org/officeDocument/2006/relationships/hyperlink" Target="https://www.sec.gov/Archives/edgar/data/883975/000149315223017966/form10-q.htm#a_002" TargetMode="External"/><Relationship Id="rId54" Type="http://schemas.openxmlformats.org/officeDocument/2006/relationships/hyperlink" Target="https://www.sec.gov/Archives/edgar/data/883975/000149315223017966/form10-q.htm#a_003" TargetMode="External"/><Relationship Id="rId55" Type="http://schemas.openxmlformats.org/officeDocument/2006/relationships/hyperlink" Target="https://www.sec.gov/Archives/edgar/data/883975/000149315223017966/form10-q.htm#a_004" TargetMode="External"/><Relationship Id="rId57" Type="http://schemas.openxmlformats.org/officeDocument/2006/relationships/hyperlink" Target="https://www.sec.gov/Archives/edgar/data/883975/000149315223017966/form10-q.htm#a_005" TargetMode="External"/><Relationship Id="rId75" Type="http://schemas.openxmlformats.org/officeDocument/2006/relationships/hyperlink" Target="https://www.sec.gov/Archives/edgar/data/883975/000149315223010223/form10-k.htm" TargetMode="External"/><Relationship Id="rId76" Type="http://schemas.openxmlformats.org/officeDocument/2006/relationships/hyperlink" Target="https://www.sec.gov/Archives/edgar/data/883975/000149315223017966/form10-q.htm" TargetMode="External"/><Relationship Id="rId77" Type="http://schemas.openxmlformats.org/officeDocument/2006/relationships/hyperlink" Target="https://www.sec.gov/Archives/edgar/data/883975/000149315223019000/form8-k.htm" TargetMode="External"/><Relationship Id="rId78" Type="http://schemas.openxmlformats.org/officeDocument/2006/relationships/hyperlink" Target="https://www.sec.gov/Archives/edgar/data/883975/000149315223019537/form8-k.htm" TargetMode="External"/><Relationship Id="rId79" Type="http://schemas.openxmlformats.org/officeDocument/2006/relationships/hyperlink" Target="https://www.sec.gov/Archives/edgar/data/883975/000149315223019871/form8-k.htm" TargetMode="External"/><Relationship Id="rId80" Type="http://schemas.openxmlformats.org/officeDocument/2006/relationships/hyperlink" Target="https://www.sec.gov/Archives/edgar/data/883975/000149315223020309/form8-k.htm" TargetMode="External"/><Relationship Id="rId81" Type="http://schemas.openxmlformats.org/officeDocument/2006/relationships/hyperlink" Target="https://www.sec.gov/Archives/edgar/data/883975/000149315223021553/form8-k.htm" TargetMode="External"/><Relationship Id="rId82" Type="http://schemas.openxmlformats.org/officeDocument/2006/relationships/hyperlink" Target="https://www.sec.gov/Archives/edgar/data/883975/000149315223022078/form8-k.htm" TargetMode="External"/><Relationship Id="rId83" Type="http://schemas.openxmlformats.org/officeDocument/2006/relationships/hyperlink" Target="https://www.sec.gov/Archives/edgar/data/883975/000149315223022814/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2023-07-18T13:56:11Z</dcterms:created>
  <dcterms:modified xsi:type="dcterms:W3CDTF">2023-07-18T13:56:11Z</dcterms:modified>
</cp:coreProperties>
</file>