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30, 2023</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333-275634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3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Massachusetts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Massachusetts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Dominick P. Ragno,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East Tower,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New York 11556-1425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after the effective date of this registration statement, as determined by the Registrant.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1400"/>
        <w:spacing w:after="0" w:line="207" w:lineRule="exact"/>
        <w:tabs>
          <w:tab w:leader="none" w:pos="4480" w:val="left"/>
          <w:tab w:leader="none" w:pos="6740" w:val="left"/>
          <w:tab w:leader="none" w:pos="101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41" w:right="339" w:bottom="0" w:gutter="0" w:footer="0" w:header="0"/>
        </w:sectPr>
      </w:pPr>
    </w:p>
    <w:bookmarkStart w:id="1" w:name="page2"/>
    <w:bookmarkEnd w:id="1"/>
    <w:p>
      <w:pPr>
        <w:spacing w:after="0" w:line="4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4">
            <w:col w:w="3780" w:space="720"/>
            <w:col w:w="1540" w:space="720"/>
            <w:col w:w="2640" w:space="720"/>
            <w:col w:w="1120"/>
          </w:cols>
          <w:pgMar w:left="320" w:top="81" w:right="339" w:bottom="1440" w:gutter="0" w:footer="0" w:header="0"/>
        </w:sectPr>
      </w:pP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type w:val="continuous"/>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NOVEMBER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156845</wp:posOffset>
            </wp:positionV>
            <wp:extent cx="2631440" cy="1320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We may include specific risk factors in supplements to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439"/>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PROSPECTUS SUMMARY</w:t>
            </w:r>
          </w:p>
        </w:tc>
        <w:tc>
          <w:tcPr>
            <w:tcW w:w="84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Clinical Cases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LIBERTY’s addressable markets are the Interventional Cardiology, Interventional Radiology and Interventional Neuroradiology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1300" w:right="20" w:hanging="644"/>
        <w:spacing w:after="0" w:line="182"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Times New Roman" w:cs="Times New Roman" w:eastAsia="Times New Roman" w:hAnsi="Times New Roman"/>
          <w:sz w:val="36"/>
          <w:szCs w:val="36"/>
          <w:color w:val="auto"/>
          <w:vertAlign w:val="superscript"/>
        </w:rPr>
      </w:pPr>
    </w:p>
    <w:p>
      <w:pPr>
        <w:ind w:left="1300" w:hanging="644"/>
        <w:spacing w:after="0" w:line="25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1300" w:hanging="644"/>
        <w:spacing w:after="0"/>
        <w:tabs>
          <w:tab w:leader="none" w:pos="1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 LIBERTY’s intuitive remote controls aims to simplify advanced procedures while shortening the physician’s learning curve.</w:t>
      </w:r>
    </w:p>
    <w:p>
      <w:pPr>
        <w:spacing w:after="0" w:line="2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Technologies and Platforms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2022 and our Quarterly Reports on Form 10-Q for the three months ended March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and September 30, 2023,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this prospectus.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29, 2023, we had outstanding: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350,878 shares of our common stock issuable upon the exercise of outstanding series C preferred investment options expiring in December 2028, at an exercise price per share of $2.075;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312,309 shares of our common stock issuable upon the exercise of outstanding series D preferred investment options expiring in December 2028, at an exercise price per share of $3.19;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w:t>
      </w:r>
      <w:r>
        <w:rPr>
          <w:rFonts w:ascii="Times New Roman" w:cs="Times New Roman" w:eastAsia="Times New Roman" w:hAnsi="Times New Roman"/>
          <w:sz w:val="18"/>
          <w:szCs w:val="18"/>
          <w:i w:val="1"/>
          <w:iCs w:val="1"/>
          <w:color w:val="auto"/>
        </w:rPr>
        <w:t>Description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will apply to each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and to any common stock, preferred stock, debt security, warrant or right included in each unit,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38">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39">
        <w:r>
          <w:rPr>
            <w:rFonts w:ascii="Times New Roman" w:cs="Times New Roman" w:eastAsia="Times New Roman" w:hAnsi="Times New Roman"/>
            <w:sz w:val="18"/>
            <w:szCs w:val="18"/>
            <w:u w:val="single" w:color="auto"/>
            <w:color w:val="0000EE"/>
          </w:rPr>
          <w:t>May 17, 2023</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
        <w:r>
          <w:rPr>
            <w:rFonts w:ascii="Times New Roman" w:cs="Times New Roman" w:eastAsia="Times New Roman" w:hAnsi="Times New Roman"/>
            <w:sz w:val="18"/>
            <w:szCs w:val="18"/>
            <w:u w:val="single" w:color="auto"/>
            <w:color w:val="0000EE"/>
          </w:rPr>
          <w:t>May 31,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4">
        <w:r>
          <w:rPr>
            <w:rFonts w:ascii="Times New Roman" w:cs="Times New Roman" w:eastAsia="Times New Roman" w:hAnsi="Times New Roman"/>
            <w:sz w:val="18"/>
            <w:szCs w:val="18"/>
            <w:u w:val="single" w:color="auto"/>
            <w:color w:val="0000EE"/>
          </w:rPr>
          <w:t>June 2,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5">
        <w:r>
          <w:rPr>
            <w:rFonts w:ascii="Times New Roman" w:cs="Times New Roman" w:eastAsia="Times New Roman" w:hAnsi="Times New Roman"/>
            <w:sz w:val="18"/>
            <w:szCs w:val="18"/>
            <w:u w:val="single" w:color="auto"/>
            <w:color w:val="0000EE"/>
          </w:rPr>
          <w:t>June 6,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6">
        <w:r>
          <w:rPr>
            <w:rFonts w:ascii="Times New Roman" w:cs="Times New Roman" w:eastAsia="Times New Roman" w:hAnsi="Times New Roman"/>
            <w:sz w:val="18"/>
            <w:szCs w:val="18"/>
            <w:u w:val="single" w:color="auto"/>
            <w:color w:val="0000EE"/>
          </w:rPr>
          <w:t>June 16,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7">
        <w:r>
          <w:rPr>
            <w:rFonts w:ascii="Times New Roman" w:cs="Times New Roman" w:eastAsia="Times New Roman" w:hAnsi="Times New Roman"/>
            <w:sz w:val="18"/>
            <w:szCs w:val="18"/>
            <w:u w:val="single" w:color="auto"/>
            <w:color w:val="0000EE"/>
          </w:rPr>
          <w:t>June 22,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8">
        <w:r>
          <w:rPr>
            <w:rFonts w:ascii="Times New Roman" w:cs="Times New Roman" w:eastAsia="Times New Roman" w:hAnsi="Times New Roman"/>
            <w:sz w:val="18"/>
            <w:szCs w:val="18"/>
            <w:u w:val="single" w:color="auto"/>
            <w:color w:val="0000EE"/>
          </w:rPr>
          <w:t>June 29,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September 5, 2023</w:t>
        </w:r>
      </w:hyperlink>
      <w:hyperlink r:id="rId4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October 17, 2023</w:t>
        </w:r>
      </w:hyperlink>
      <w:hyperlink r:id="rId4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October 19,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 xml:space="preserve">November 8, 2023, </w:t>
        </w:r>
      </w:hyperlink>
      <w:hyperlink r:id="rId56">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 xml:space="preserve">November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 than filed);</w:t>
      </w:r>
    </w:p>
    <w:p>
      <w:pPr>
        <w:spacing w:after="0" w:line="179"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September 19, 2023 (but only with respect to information required by Part III of our Annual Report on </w:t>
      </w:r>
      <w:hyperlink r:id="rId3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which information shall update and supersede information included in Part III of our Annual Report on Form 10-K for the fiscal year ended December 31, 2022);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various expenses in connection with the sale and distribution of the securities being registered, all of which are being borne by 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11,070.00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9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9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fees and expenses</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9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137160</wp:posOffset>
            </wp:positionV>
            <wp:extent cx="1783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1200" w:hanging="328"/>
        <w:spacing w:after="0"/>
        <w:tabs>
          <w:tab w:leader="none" w:pos="12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cannot be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Exhibit Index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740" w:firstLine="402"/>
        <w:spacing w:after="0" w:line="255" w:lineRule="auto"/>
        <w:tabs>
          <w:tab w:leader="none" w:pos="142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740" w:firstLine="402"/>
        <w:spacing w:after="0" w:line="256" w:lineRule="auto"/>
        <w:tabs>
          <w:tab w:leader="none" w:pos="145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firstLine="316"/>
        <w:spacing w:after="0" w:line="282" w:lineRule="auto"/>
        <w:tabs>
          <w:tab w:leader="none" w:pos="9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740" w:firstLine="402"/>
        <w:spacing w:after="0" w:line="282" w:lineRule="auto"/>
        <w:tabs>
          <w:tab w:leader="none" w:pos="136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left="408" w:firstLine="402"/>
        <w:spacing w:after="0" w:line="253" w:lineRule="auto"/>
        <w:tabs>
          <w:tab w:leader="none" w:pos="108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left="8" w:firstLine="316"/>
        <w:spacing w:after="0" w:line="261" w:lineRule="auto"/>
        <w:tabs>
          <w:tab w:leader="none" w:pos="5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9" w:lineRule="exact"/>
        <w:rPr>
          <w:rFonts w:ascii="Times New Roman" w:cs="Times New Roman" w:eastAsia="Times New Roman" w:hAnsi="Times New Roman"/>
          <w:sz w:val="18"/>
          <w:szCs w:val="18"/>
          <w:color w:val="auto"/>
        </w:rPr>
      </w:pPr>
    </w:p>
    <w:p>
      <w:pPr>
        <w:ind w:left="1008" w:hanging="198"/>
        <w:spacing w:after="0"/>
        <w:tabs>
          <w:tab w:leader="none" w:pos="100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408" w:right="20" w:firstLine="402"/>
        <w:spacing w:after="0" w:line="282" w:lineRule="auto"/>
        <w:tabs>
          <w:tab w:leader="none" w:pos="107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408" w:firstLine="402"/>
        <w:spacing w:after="0" w:line="282" w:lineRule="auto"/>
        <w:tabs>
          <w:tab w:leader="none" w:pos="1163"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108" w:hanging="298"/>
        <w:spacing w:after="0"/>
        <w:tabs>
          <w:tab w:leader="none" w:pos="110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w:t>
      </w:r>
    </w:p>
    <w:p>
      <w:pPr>
        <w:spacing w:after="0" w:line="225" w:lineRule="exact"/>
        <w:rPr>
          <w:rFonts w:ascii="Times New Roman" w:cs="Times New Roman" w:eastAsia="Times New Roman" w:hAnsi="Times New Roman"/>
          <w:sz w:val="18"/>
          <w:szCs w:val="18"/>
          <w:color w:val="auto"/>
        </w:rPr>
      </w:pPr>
    </w:p>
    <w:p>
      <w:pPr>
        <w:jc w:val="both"/>
        <w:ind w:left="408" w:firstLine="402"/>
        <w:spacing w:after="0" w:line="266" w:lineRule="auto"/>
        <w:tabs>
          <w:tab w:leader="none" w:pos="1031"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75" w:lineRule="exact"/>
        <w:rPr>
          <w:rFonts w:ascii="Times New Roman" w:cs="Times New Roman" w:eastAsia="Times New Roman" w:hAnsi="Times New Roman"/>
          <w:sz w:val="18"/>
          <w:szCs w:val="18"/>
          <w:color w:val="auto"/>
        </w:rPr>
      </w:pPr>
    </w:p>
    <w:p>
      <w:pPr>
        <w:ind w:left="408" w:firstLine="402"/>
        <w:spacing w:after="0" w:line="282" w:lineRule="auto"/>
        <w:tabs>
          <w:tab w:leader="none" w:pos="109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61"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5" w:lineRule="auto"/>
        <w:tabs>
          <w:tab w:leader="none" w:pos="2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Braintree, State of Massachusetts,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2023.</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55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55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17"/>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220" w:type="dxa"/>
            <w:vAlign w:val="bottom"/>
          </w:tcPr>
          <w:p>
            <w:pPr>
              <w:spacing w:after="0"/>
              <w:rPr>
                <w:sz w:val="24"/>
                <w:szCs w:val="24"/>
                <w:color w:val="auto"/>
              </w:rPr>
            </w:pPr>
          </w:p>
        </w:tc>
        <w:tc>
          <w:tcPr>
            <w:tcW w:w="5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5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2023</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/s/ Harel Gadot</w:t>
            </w: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Harel Gadot, Attorney-in-Fact</w:t>
            </w:r>
          </w:p>
        </w:tc>
        <w:tc>
          <w:tcPr>
            <w:tcW w:w="2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3"/>
          </w:tcPr>
          <w:p>
            <w:pPr>
              <w:ind w:left="1980"/>
              <w:spacing w:after="0"/>
              <w:rPr>
                <w:sz w:val="20"/>
                <w:szCs w:val="20"/>
                <w:color w:val="auto"/>
              </w:rPr>
            </w:pPr>
            <w:r>
              <w:rPr>
                <w:rFonts w:ascii="Times New Roman" w:cs="Times New Roman" w:eastAsia="Times New Roman" w:hAnsi="Times New Roman"/>
                <w:sz w:val="18"/>
                <w:szCs w:val="18"/>
                <w:color w:val="auto"/>
              </w:rPr>
              <w:t>II-4</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Form of underwriting agreement</w:t>
      </w:r>
    </w:p>
    <w:p>
      <w:pPr>
        <w:spacing w:after="0" w:line="225" w:lineRule="exact"/>
        <w:rPr>
          <w:sz w:val="20"/>
          <w:szCs w:val="20"/>
          <w:color w:val="auto"/>
        </w:rPr>
      </w:pPr>
    </w:p>
    <w:p>
      <w:pPr>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67">
        <w:r>
          <w:rPr>
            <w:rFonts w:ascii="Times New Roman" w:cs="Times New Roman" w:eastAsia="Times New Roman" w:hAnsi="Times New Roman"/>
            <w:sz w:val="18"/>
            <w:szCs w:val="18"/>
            <w:u w:val="single" w:color="auto"/>
            <w:color w:val="0000EE"/>
          </w:rPr>
          <w:t>Restated Certificate of Incorporation of the Registrant (incorporated by reference to Exhibit 3.1 of the Registrant’s Annual Report on Form 10-K,</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filed on March 15, 2007)</w:t>
        </w:r>
      </w:hyperlink>
    </w:p>
    <w:p>
      <w:pPr>
        <w:spacing w:after="0" w:line="162" w:lineRule="exact"/>
        <w:rPr>
          <w:sz w:val="20"/>
          <w:szCs w:val="20"/>
          <w:color w:val="auto"/>
        </w:rPr>
      </w:pPr>
    </w:p>
    <w:p>
      <w:pPr>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68">
        <w:r>
          <w:rPr>
            <w:rFonts w:ascii="Times New Roman" w:cs="Times New Roman" w:eastAsia="Times New Roman" w:hAnsi="Times New Roman"/>
            <w:sz w:val="18"/>
            <w:szCs w:val="18"/>
            <w:u w:val="single" w:color="auto"/>
            <w:color w:val="0000EE"/>
          </w:rPr>
          <w:t>Certificate of Amendment to the Restated Certificate of Incorporation of the Registrant (incorporated by reference to Exhibit 3.1 of Current</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Report on Form 8-K, filed on November 29, 2016)</w:t>
        </w:r>
      </w:hyperlink>
    </w:p>
    <w:p>
      <w:pPr>
        <w:spacing w:after="0" w:line="162" w:lineRule="exact"/>
        <w:rPr>
          <w:sz w:val="20"/>
          <w:szCs w:val="20"/>
          <w:color w:val="auto"/>
        </w:rPr>
      </w:pPr>
    </w:p>
    <w:p>
      <w:pPr>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69">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filed on September 4, 2018).</w:t>
        </w:r>
      </w:hyperlink>
    </w:p>
    <w:p>
      <w:pPr>
        <w:spacing w:after="0" w:line="162" w:lineRule="exact"/>
        <w:rPr>
          <w:sz w:val="20"/>
          <w:szCs w:val="20"/>
          <w:color w:val="auto"/>
        </w:rPr>
      </w:pPr>
    </w:p>
    <w:p>
      <w:pPr>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70">
        <w:r>
          <w:rPr>
            <w:rFonts w:ascii="Times New Roman" w:cs="Times New Roman" w:eastAsia="Times New Roman" w:hAnsi="Times New Roman"/>
            <w:sz w:val="18"/>
            <w:szCs w:val="18"/>
            <w:u w:val="single" w:color="auto"/>
            <w:color w:val="0000EE"/>
          </w:rPr>
          <w:t>Certificate of Amendment to the Restated Certificate of Incorporation (incorporated by reference to the Company’s Current Report on Form 8-K</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filed on September 11, 2019).</w:t>
        </w:r>
      </w:hyperlink>
    </w:p>
    <w:p>
      <w:pPr>
        <w:spacing w:after="0" w:line="162"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71">
        <w:r>
          <w:rPr>
            <w:rFonts w:ascii="Times New Roman" w:cs="Times New Roman" w:eastAsia="Times New Roman" w:hAnsi="Times New Roman"/>
            <w:sz w:val="18"/>
            <w:szCs w:val="18"/>
            <w:u w:val="single" w:color="auto"/>
            <w:color w:val="0000EE"/>
          </w:rPr>
          <w:t>Amended and Restated By-Laws of the Company (incorporated by reference to the Company’s Current Report on Form 8-K filed on May 3,</w:t>
        </w:r>
      </w:hyperlink>
    </w:p>
    <w:p>
      <w:pPr>
        <w:spacing w:after="0" w:line="27"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2016).</w:t>
        </w:r>
      </w:hyperlink>
    </w:p>
    <w:p>
      <w:pPr>
        <w:spacing w:after="0" w:line="207" w:lineRule="exact"/>
        <w:rPr>
          <w:sz w:val="20"/>
          <w:szCs w:val="20"/>
          <w:color w:val="auto"/>
        </w:rPr>
      </w:pPr>
    </w:p>
    <w:p>
      <w:pPr>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72">
        <w:r>
          <w:rPr>
            <w:rFonts w:ascii="Times New Roman" w:cs="Times New Roman" w:eastAsia="Times New Roman" w:hAnsi="Times New Roman"/>
            <w:sz w:val="18"/>
            <w:szCs w:val="18"/>
            <w:u w:val="single" w:color="auto"/>
            <w:color w:val="0000EE"/>
          </w:rPr>
          <w:t>Amendment to Section 5 of the Amended and Restated By-Laws of the Company (incorporated by reference to the Company’s Current Report</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on Form 8-K filed on May 3, 2021).</w:t>
        </w:r>
      </w:hyperlink>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Form of Common Stock Warrant Agreement and Warrant Certificate</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Form of Preferred Stock Warrant Agreement and Warrant Certificate</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Form of Debt Securities Warrant Agreement and Warrant Certificate</w:t>
      </w:r>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73">
        <w:r>
          <w:rPr>
            <w:rFonts w:ascii="Times New Roman" w:cs="Times New Roman" w:eastAsia="Times New Roman" w:hAnsi="Times New Roman"/>
            <w:sz w:val="18"/>
            <w:szCs w:val="18"/>
            <w:u w:val="single" w:color="auto"/>
            <w:color w:val="0000EE"/>
          </w:rPr>
          <w:t>Form of Senior Indenture</w:t>
        </w:r>
      </w:hyperlink>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74">
        <w:r>
          <w:rPr>
            <w:rFonts w:ascii="Times New Roman" w:cs="Times New Roman" w:eastAsia="Times New Roman" w:hAnsi="Times New Roman"/>
            <w:sz w:val="17"/>
            <w:szCs w:val="17"/>
            <w:u w:val="single" w:color="auto"/>
            <w:color w:val="0000EE"/>
          </w:rPr>
          <w:t>Form of Subordinated Indenture</w:t>
        </w:r>
      </w:hyperlink>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Rights Agreement and Right Certificate</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Form of Unit Agreement and Unit</w:t>
      </w:r>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75">
        <w:r>
          <w:rPr>
            <w:rFonts w:ascii="Times New Roman" w:cs="Times New Roman" w:eastAsia="Times New Roman" w:hAnsi="Times New Roman"/>
            <w:sz w:val="17"/>
            <w:szCs w:val="17"/>
            <w:u w:val="single" w:color="auto"/>
            <w:color w:val="0000EE"/>
          </w:rPr>
          <w:t>Opinion of Ruskin Moscou Faltischek, P.C.</w:t>
        </w:r>
      </w:hyperlink>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r:id="rId75">
        <w:r>
          <w:rPr>
            <w:rFonts w:ascii="Times New Roman" w:cs="Times New Roman" w:eastAsia="Times New Roman" w:hAnsi="Times New Roman"/>
            <w:sz w:val="17"/>
            <w:szCs w:val="17"/>
            <w:u w:val="single" w:color="auto"/>
            <w:color w:val="0000EE"/>
          </w:rPr>
          <w:t>Consent of Ruskin Moscou Faltischek, P.C. (contained in Exhibit 5.1)</w:t>
        </w:r>
      </w:hyperlink>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Brightman Almagor Zohar &amp; Co., a firm in the Deloitte Global Network</w:t>
      </w:r>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76">
        <w:r>
          <w:rPr>
            <w:rFonts w:ascii="Times New Roman" w:cs="Times New Roman" w:eastAsia="Times New Roman" w:hAnsi="Times New Roman"/>
            <w:sz w:val="18"/>
            <w:szCs w:val="18"/>
            <w:u w:val="single" w:color="auto"/>
            <w:color w:val="0000EE"/>
          </w:rPr>
          <w:t>Power of Attorney (included on the signature page hereto)</w:t>
        </w:r>
      </w:hyperlink>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Statement of Eligibility of Trustee Under Debt Indenture</w:t>
      </w:r>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77">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line="261"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right="4620" w:firstLine="8"/>
        <w:spacing w:after="0" w:line="260"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separately pursuant to Section 305(b)(2) of the Trust Indenture Act of 1939. + Previously filed.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Registration Statement on Form S-3 of our report dated March 31, 2023 relating to the financial statements of Microbot Medical Inc. appearing in the Annual Report on Form 10-K of Microbot Medical Inc. for the year ended December 31, 2022.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6">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7">
    <w:nsid w:val="8138641"/>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8">
    <w:nsid w:val="1E7FF52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38" Type="http://schemas.openxmlformats.org/officeDocument/2006/relationships/hyperlink" Target="https://www.sec.gov/Archives/edgar/data/883975/000149315223010223/form10-k.htm" TargetMode="External"/><Relationship Id="rId39" Type="http://schemas.openxmlformats.org/officeDocument/2006/relationships/hyperlink" Target="https://www.sec.gov/Archives/edgar/data/883975/000149315223017966/form10-q.htm" TargetMode="External"/><Relationship Id="rId40" Type="http://schemas.openxmlformats.org/officeDocument/2006/relationships/hyperlink" Target="https://www.sec.gov/Archives/edgar/data/883975/000149315223028081/form10-q.htm" TargetMode="External"/><Relationship Id="rId41" Type="http://schemas.openxmlformats.org/officeDocument/2006/relationships/hyperlink" Target="https://www.sec.gov/ix?doc=/Archives/edgar/data/883975/000149315223041069/form10-q.htm" TargetMode="External"/><Relationship Id="rId42" Type="http://schemas.openxmlformats.org/officeDocument/2006/relationships/hyperlink" Target="https://www.sec.gov/ix?doc=/Archives/edgar/data/883975/000149315223019000/form8-k.htm" TargetMode="External"/><Relationship Id="rId43" Type="http://schemas.openxmlformats.org/officeDocument/2006/relationships/hyperlink" Target="https://www.sec.gov/ix?doc=/Archives/edgar/data/883975/000149315223019537/form8-k.htm" TargetMode="External"/><Relationship Id="rId44" Type="http://schemas.openxmlformats.org/officeDocument/2006/relationships/hyperlink" Target="https://www.sec.gov/ix?doc=/Archives/edgar/data/883975/000149315223019871/form8-k.htm" TargetMode="External"/><Relationship Id="rId45" Type="http://schemas.openxmlformats.org/officeDocument/2006/relationships/hyperlink" Target="https://www.sec.gov/ix?doc=/Archives/edgar/data/883975/000149315223020309/form8-k.htm" TargetMode="External"/><Relationship Id="rId46" Type="http://schemas.openxmlformats.org/officeDocument/2006/relationships/hyperlink" Target="https://www.sec.gov/ix?doc=/Archives/edgar/data/883975/000149315223021553/form8-k.htm" TargetMode="External"/><Relationship Id="rId47" Type="http://schemas.openxmlformats.org/officeDocument/2006/relationships/hyperlink" Target="https://www.sec.gov/ix?doc=/Archives/edgar/data/883975/000149315223022078/form8-k.htm" TargetMode="External"/><Relationship Id="rId48" Type="http://schemas.openxmlformats.org/officeDocument/2006/relationships/hyperlink" Target="https://www.sec.gov/ix?doc=/Archives/edgar/data/883975/000149315223022844/form8-k.htm" TargetMode="External"/><Relationship Id="rId49" Type="http://schemas.openxmlformats.org/officeDocument/2006/relationships/hyperlink" Target="https://www.sec.gov/ix?doc=/Archives/edgar/data/883975/000149315223031689/form8-k.htm" TargetMode="External"/><Relationship Id="rId50" Type="http://schemas.openxmlformats.org/officeDocument/2006/relationships/hyperlink" Target="https://www.sec.gov/ix?doc=/Archives/edgar/data/883975/000149315223037454/form8-k.htm" TargetMode="External"/><Relationship Id="rId51" Type="http://schemas.openxmlformats.org/officeDocument/2006/relationships/hyperlink" Target="https://www.sec.gov/ix?doc=/Archives/edgar/data/883975/000149315223037676/form8-k.htm" TargetMode="External"/><Relationship Id="rId52" Type="http://schemas.openxmlformats.org/officeDocument/2006/relationships/hyperlink" Target="https://www.sec.gov/ix?doc=/Archives/edgar/data/883975/000149315223038050/form8-k.htm" TargetMode="External"/><Relationship Id="rId53" Type="http://schemas.openxmlformats.org/officeDocument/2006/relationships/hyperlink" Target="https://www.sec.gov/ix?doc=/Archives/edgar/data/883975/000149315223038792/form8-k.htm" TargetMode="External"/><Relationship Id="rId54" Type="http://schemas.openxmlformats.org/officeDocument/2006/relationships/hyperlink" Target="https://www.sec.gov/ix?doc=/Archives/edgar/data/883975/000149315223039509/form8-k.htm" TargetMode="External"/><Relationship Id="rId55" Type="http://schemas.openxmlformats.org/officeDocument/2006/relationships/hyperlink" Target="https://www.sec.gov/ix?doc=/Archives/edgar/data/883975/000149315223039834/form8-k.htm" TargetMode="External"/><Relationship Id="rId56" Type="http://schemas.openxmlformats.org/officeDocument/2006/relationships/hyperlink" Target="https://www.sec.gov/ix?doc=/Archives/edgar/data/883975/000149315223040331/form8-k.htm" TargetMode="External"/><Relationship Id="rId57" Type="http://schemas.openxmlformats.org/officeDocument/2006/relationships/hyperlink" Target="https://www.sec.gov/ix?doc=/Archives/edgar/data/883975/000149315223041009/form8-k.htm" TargetMode="External"/><Relationship Id="rId58" Type="http://schemas.openxmlformats.org/officeDocument/2006/relationships/hyperlink" Target="https://www.sec.gov/Archives/edgar/data/883975/000149315223042204/form8-k.htm" TargetMode="External"/><Relationship Id="rId59" Type="http://schemas.openxmlformats.org/officeDocument/2006/relationships/hyperlink" Target="https://www.sec.gov/Archives/edgar/data/883975/000149315223033004/formdef14a.htm" TargetMode="External"/><Relationship Id="rId67" Type="http://schemas.openxmlformats.org/officeDocument/2006/relationships/hyperlink" Target="https://www.sec.gov/Archives/edgar/data/883975/000095013407005808/f27726exv3w1.htm" TargetMode="External"/><Relationship Id="rId68" Type="http://schemas.openxmlformats.org/officeDocument/2006/relationships/hyperlink" Target="https://www.sec.gov/Archives/edgar/data/883975/000119312516779729/d296933dex31.htm" TargetMode="External"/><Relationship Id="rId69" Type="http://schemas.openxmlformats.org/officeDocument/2006/relationships/hyperlink" Target="https://www.sec.gov/Archives/edgar/data/883975/000149315218012872/ex3-1.htm" TargetMode="External"/><Relationship Id="rId70" Type="http://schemas.openxmlformats.org/officeDocument/2006/relationships/hyperlink" Target="https://www.sec.gov/Archives/edgar/data/883975/000149315219013998/ex3-1.htm" TargetMode="External"/><Relationship Id="rId71" Type="http://schemas.openxmlformats.org/officeDocument/2006/relationships/hyperlink" Target="https://www.sec.gov/Archives/edgar/data/883975/000129993316002374/exhibit1.htm" TargetMode="External"/><Relationship Id="rId72" Type="http://schemas.openxmlformats.org/officeDocument/2006/relationships/hyperlink" Target="https://www.sec.gov/Archives/edgar/data/883975/000149315221010347/ex3-1.htm" TargetMode="External"/><Relationship Id="rId73" Type="http://schemas.openxmlformats.org/officeDocument/2006/relationships/hyperlink" Target="https://www.sec.gov/Archives/edgar/data/883975/000149315223041897/ex4-4.htm" TargetMode="External"/><Relationship Id="rId74" Type="http://schemas.openxmlformats.org/officeDocument/2006/relationships/hyperlink" Target="https://www.sec.gov/Archives/edgar/data/883975/000149315223041897/ex4-5.htm" TargetMode="External"/><Relationship Id="rId75" Type="http://schemas.openxmlformats.org/officeDocument/2006/relationships/hyperlink" Target="https://www.sec.gov/Archives/edgar/data/883975/000149315223041897/ex5-1.htm" TargetMode="External"/><Relationship Id="rId76" Type="http://schemas.openxmlformats.org/officeDocument/2006/relationships/hyperlink" Target="https://www.sec.gov/Archives/edgar/data/883975/000149315223041897/forms-3.htm#S_001" TargetMode="External"/><Relationship Id="rId77" Type="http://schemas.openxmlformats.org/officeDocument/2006/relationships/hyperlink" Target="https://www.sec.gov/Archives/edgar/data/883975/000149315223041897/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2023-11-30T15:36:57Z</dcterms:created>
  <dcterms:modified xsi:type="dcterms:W3CDTF">2023-11-30T15:36:57Z</dcterms:modified>
</cp:coreProperties>
</file>