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333-217076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142875</wp:posOffset>
            </wp:positionV>
            <wp:extent cx="2573020"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3020" cy="943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MICROBOT MEDICAL INC.</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250,000 Shares of Common Stock</w:t>
      </w:r>
    </w:p>
    <w:p>
      <w:pPr>
        <w:spacing w:after="0" w:line="22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offering 250,000 shares of our common stock at a price of $9.875 per share to certain institutional and accredited investors pursuant to this prospectus supplement and the accompanying base prospectus. In a concurrent private placement, or the private placement, we are also selling to the purchasers of our common stock in this offering common stock purchase warrants, or warrants, to purchase an aggregate of up to 250,000 shares of our common stock, at a purchase price of $0.125 per warrant. Each purchaser in this offering will receive in the private placement warrants to purchase up to 100% of the number of shares of common stock purchased by such purchaser in this offering. The warrants and the shares of common stock issuable upon the exercise of the warrants are not being registered under the Securities Act of 1933, as amended, or the Securities Act, and are being offered pursuant to the exemption provided in Section 4(a)(2) under the Securities Act and Rule 506(b) promulgated thereunder, and they are not being offered pursuant to this prospectus supplement and the accompanying base prospectus. There is no established public trading market for the warrants and we do not expect a market to develop. In addition, we do not intend to list the warrants on the Nasdaq Capital Market, any other national securities exchange or any other nationally recognized trading system.</w:t>
      </w:r>
    </w:p>
    <w:p>
      <w:pPr>
        <w:spacing w:after="0" w:line="18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trades on The Nasdaq Capital Market under the symbol “MBOT.” The last reported sale price of our common stock on The Nasdaq Capital Market on January 22, 2019 was $7.20 per share.</w:t>
      </w:r>
    </w:p>
    <w:p>
      <w:pPr>
        <w:spacing w:after="0" w:line="162"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January 23, 2019, the aggregate market value of our outstanding common stock held by non-affiliates, computed by reference to the price at which our common stock was last sold on the Nasdaq Capital Market on January 16, 2019, which was $9.89 per share, was approximately $35.4 million, based on 4,057,666 shares of our outstanding common stock as of the date of this prospectus supplement, of which 3,582,125 shares were held by non-affiliates. Pursuant to General Instruction I.B.6 of Form S-3, in no event will we sell securities in a public primary offering with a value exceeding more than one-third of our public float in any 12-month period so long as our public float remains below $75.0 million. During the 12 calendar months prior to and including the date of this prospectus supplement (excluding this offering), we have sold approximately $9.28 million worth of securities pursuant to General Instruction I.B.6 of Form S-3.</w:t>
      </w:r>
    </w:p>
    <w:p>
      <w:pPr>
        <w:spacing w:after="0" w:line="189"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engaged H.C. Wainwright &amp; Co., LLC, or Wainwright or the placement agent, to act as our exclusive placement agent for this offering. The placement agent has agreed to use its “reasonable best efforts” to arrange for the sale of our common stock offered by this prospectus supplement and the accompanying base prospectus, but the placement agent has no obligation to purchase or sell any of such shares or to arrange for the purchase or sale of any specific number or dollar amount of such shares. There is no required minimum number of shares of our common stock that must be sold as a condition to completion of this offering. Because there is no minimum offering amount required as a condition to closing this offering, the actual offering amount, placement agent fees, and proceeds to us, if any, are not presently determinable and may be substantially less than the total maximum offering amounts set forth below. We have not arranged to place the funds from investors in an escrow, trust or similar account. We have agreed to pay the placement agent the fees set forth in the table below in connection with this offering, which assumes that we sell all of the shares of common stock we are offering hereby.</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8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 (1)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0.69125</w:t>
            </w:r>
          </w:p>
        </w:tc>
        <w:tc>
          <w:tcPr>
            <w:tcW w:w="6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172,812.50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9.18375</w:t>
            </w:r>
          </w:p>
        </w:tc>
        <w:tc>
          <w:tcPr>
            <w:tcW w:w="6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2,295,937.50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18" w:lineRule="exact"/>
        <w:rPr>
          <w:sz w:val="24"/>
          <w:szCs w:val="24"/>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have agreed to reimburse the placement agent for certain of its expenses and to issue warrants to purchase shares of common stock to the placement agent. Neither the placement agent warrants nor the shares of our common stock issuable upon exercise of the placement agent warrants are being registered hereby. See “Plan of Distribution” beginning on page S-19 of this prospectus supplement for more information.</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proceeds from the exercise of the warrants to be issued in the private placement or to be issued to the placement agent in cash, if any.</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Delivery of the shares of common stock offered hereby is expected to be made on or about January 25, 2019, subject to customary closing conditions.</w:t>
      </w:r>
    </w:p>
    <w:p>
      <w:pPr>
        <w:spacing w:after="0" w:line="158"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S-10 of this prospectus supplement and the risk factors incorporated by reference into this prospectus supplement and the accompanying base prospectus.</w:t>
      </w:r>
    </w:p>
    <w:p>
      <w:pPr>
        <w:spacing w:after="0" w:line="181"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applied to list the shares offered hereby on The Nasdaq Capital Market.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ectPr>
          <w:pgSz w:w="11900" w:h="16879" w:orient="portrait"/>
          <w:cols w:equalWidth="0" w:num="1">
            <w:col w:w="11420"/>
          </w:cols>
          <w:pgMar w:left="240" w:top="441" w:right="239" w:bottom="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color w:val="auto"/>
        </w:rPr>
        <w:t>The date of this prospectus supplement is January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4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54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b w:val="1"/>
                <w:bCs w:val="1"/>
                <w:color w:val="0000EE"/>
                <w:w w:val="99"/>
              </w:rPr>
            </w:pPr>
            <w:hyperlink w:anchor="page4">
              <w:r>
                <w:rPr>
                  <w:rFonts w:ascii="Times New Roman" w:cs="Times New Roman" w:eastAsia="Times New Roman" w:hAnsi="Times New Roman"/>
                  <w:sz w:val="18"/>
                  <w:szCs w:val="18"/>
                  <w:b w:val="1"/>
                  <w:bCs w:val="1"/>
                  <w:color w:val="0000EE"/>
                  <w:w w:val="99"/>
                </w:rPr>
                <w:t>ABOUT THIS PROSPECTUS SUPPLEMENT</w:t>
              </w:r>
            </w:hyperlink>
          </w:p>
        </w:tc>
        <w:tc>
          <w:tcPr>
            <w:tcW w:w="71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5"/>
          </w:tcPr>
          <w:p>
            <w:pPr>
              <w:spacing w:after="0" w:line="176" w:lineRule="exact"/>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PROSPECTUS SUPPLEMENT SUMMARY</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5"/>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0">
              <w:r>
                <w:rPr>
                  <w:rFonts w:ascii="Times New Roman" w:cs="Times New Roman" w:eastAsia="Times New Roman" w:hAnsi="Times New Roman"/>
                  <w:sz w:val="18"/>
                  <w:szCs w:val="18"/>
                  <w:b w:val="1"/>
                  <w:bCs w:val="1"/>
                  <w:color w:val="0000EE"/>
                </w:rPr>
                <w:t>THE OFFERING</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0000EE"/>
            </w:tcBorders>
            <w:gridSpan w:val="4"/>
          </w:tcPr>
          <w:p>
            <w:pPr>
              <w:spacing w:after="0" w:line="176" w:lineRule="exact"/>
              <w:rPr>
                <w:rFonts w:ascii="Times New Roman" w:cs="Times New Roman" w:eastAsia="Times New Roman" w:hAnsi="Times New Roman"/>
                <w:sz w:val="18"/>
                <w:szCs w:val="18"/>
                <w:b w:val="1"/>
                <w:bCs w:val="1"/>
                <w:color w:val="0000EE"/>
                <w:w w:val="99"/>
              </w:rPr>
            </w:pPr>
            <w:hyperlink w:anchor="page12">
              <w:r>
                <w:rPr>
                  <w:rFonts w:ascii="Times New Roman" w:cs="Times New Roman" w:eastAsia="Times New Roman" w:hAnsi="Times New Roman"/>
                  <w:sz w:val="18"/>
                  <w:szCs w:val="18"/>
                  <w:b w:val="1"/>
                  <w:bCs w:val="1"/>
                  <w:color w:val="0000EE"/>
                  <w:w w:val="99"/>
                </w:rPr>
                <w:t>RISK FACTORS</w:t>
              </w:r>
            </w:hyperlink>
          </w:p>
        </w:tc>
        <w:tc>
          <w:tcPr>
            <w:tcW w:w="9400" w:type="dxa"/>
            <w:vAlign w:val="bottom"/>
            <w:tcBorders>
              <w:top w:val="single" w:sz="8" w:color="CCEEFF"/>
            </w:tcBorders>
            <w:gridSpan w:val="2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5"/>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6">
              <w:r>
                <w:rPr>
                  <w:rFonts w:ascii="Times New Roman" w:cs="Times New Roman" w:eastAsia="Times New Roman" w:hAnsi="Times New Roman"/>
                  <w:sz w:val="18"/>
                  <w:szCs w:val="18"/>
                  <w:b w:val="1"/>
                  <w:bCs w:val="1"/>
                  <w:color w:val="0000EE"/>
                </w:rPr>
                <w:t>FORWARD-LOOKING INFORMATION</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Borders>
              <w:top w:val="single" w:sz="8" w:color="0000EE"/>
            </w:tcBorders>
            <w:gridSpan w:val="14"/>
          </w:tcPr>
          <w:p>
            <w:pPr>
              <w:spacing w:after="0" w:line="176" w:lineRule="exact"/>
              <w:rPr>
                <w:rFonts w:ascii="Times New Roman" w:cs="Times New Roman" w:eastAsia="Times New Roman" w:hAnsi="Times New Roman"/>
                <w:sz w:val="18"/>
                <w:szCs w:val="18"/>
                <w:b w:val="1"/>
                <w:bCs w:val="1"/>
                <w:color w:val="0000EE"/>
              </w:rPr>
            </w:pPr>
            <w:hyperlink w:anchor="page18">
              <w:r>
                <w:rPr>
                  <w:rFonts w:ascii="Times New Roman" w:cs="Times New Roman" w:eastAsia="Times New Roman" w:hAnsi="Times New Roman"/>
                  <w:sz w:val="18"/>
                  <w:szCs w:val="18"/>
                  <w:b w:val="1"/>
                  <w:bCs w:val="1"/>
                  <w:color w:val="0000EE"/>
                </w:rPr>
                <w:t>USE OF PROCEEDS</w:t>
              </w:r>
            </w:hyperlink>
          </w:p>
        </w:tc>
        <w:tc>
          <w:tcPr>
            <w:tcW w:w="75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b w:val="1"/>
                <w:bCs w:val="1"/>
                <w:color w:val="0000EE"/>
                <w:w w:val="96"/>
              </w:rPr>
            </w:pPr>
            <w:hyperlink w:anchor="page19">
              <w:r>
                <w:rPr>
                  <w:rFonts w:ascii="Times New Roman" w:cs="Times New Roman" w:eastAsia="Times New Roman" w:hAnsi="Times New Roman"/>
                  <w:sz w:val="18"/>
                  <w:szCs w:val="18"/>
                  <w:b w:val="1"/>
                  <w:bCs w:val="1"/>
                  <w:color w:val="0000EE"/>
                  <w:w w:val="96"/>
                </w:rPr>
                <w:t>DILUTION</w:t>
              </w:r>
            </w:hyperlink>
          </w:p>
        </w:tc>
        <w:tc>
          <w:tcPr>
            <w:tcW w:w="9860" w:type="dxa"/>
            <w:vAlign w:val="bottom"/>
            <w:tcBorders>
              <w:bottom w:val="single" w:sz="8" w:color="CCEEFF"/>
            </w:tcBorders>
            <w:gridSpan w:val="2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5"/>
          </w:tcPr>
          <w:p>
            <w:pPr>
              <w:spacing w:after="0" w:line="176" w:lineRule="exact"/>
              <w:rPr>
                <w:rFonts w:ascii="Times New Roman" w:cs="Times New Roman" w:eastAsia="Times New Roman" w:hAnsi="Times New Roman"/>
                <w:sz w:val="18"/>
                <w:szCs w:val="18"/>
                <w:b w:val="1"/>
                <w:bCs w:val="1"/>
                <w:color w:val="0000EE"/>
              </w:rPr>
            </w:pPr>
            <w:hyperlink w:anchor="page21">
              <w:r>
                <w:rPr>
                  <w:rFonts w:ascii="Times New Roman" w:cs="Times New Roman" w:eastAsia="Times New Roman" w:hAnsi="Times New Roman"/>
                  <w:sz w:val="18"/>
                  <w:szCs w:val="18"/>
                  <w:b w:val="1"/>
                  <w:bCs w:val="1"/>
                  <w:color w:val="0000EE"/>
                </w:rPr>
                <w:t>PRIVATE PLACEMENT OF WARRANTS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5"/>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PLAN OF DISTRIBUTION</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40" w:type="dxa"/>
            <w:vAlign w:val="bottom"/>
            <w:tcBorders>
              <w:top w:val="single" w:sz="8" w:color="0000EE"/>
            </w:tcBorders>
            <w:gridSpan w:val="8"/>
          </w:tcPr>
          <w:p>
            <w:pPr>
              <w:spacing w:after="0" w:line="176" w:lineRule="exact"/>
              <w:rPr>
                <w:rFonts w:ascii="Times New Roman" w:cs="Times New Roman" w:eastAsia="Times New Roman" w:hAnsi="Times New Roman"/>
                <w:sz w:val="18"/>
                <w:szCs w:val="18"/>
                <w:b w:val="1"/>
                <w:bCs w:val="1"/>
                <w:color w:val="0000EE"/>
              </w:rPr>
            </w:pPr>
            <w:hyperlink w:anchor="page24">
              <w:r>
                <w:rPr>
                  <w:rFonts w:ascii="Times New Roman" w:cs="Times New Roman" w:eastAsia="Times New Roman" w:hAnsi="Times New Roman"/>
                  <w:sz w:val="18"/>
                  <w:szCs w:val="18"/>
                  <w:b w:val="1"/>
                  <w:bCs w:val="1"/>
                  <w:color w:val="0000EE"/>
                </w:rPr>
                <w:t>LEGAL MATTERS</w:t>
              </w:r>
            </w:hyperlink>
          </w:p>
        </w:tc>
        <w:tc>
          <w:tcPr>
            <w:tcW w:w="8620" w:type="dxa"/>
            <w:vAlign w:val="bottom"/>
            <w:tcBorders>
              <w:top w:val="single" w:sz="8" w:color="CCEEFF"/>
            </w:tcBorders>
            <w:gridSpan w:val="1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b w:val="1"/>
                <w:bCs w:val="1"/>
                <w:color w:val="0000EE"/>
                <w:w w:val="96"/>
              </w:rPr>
            </w:pPr>
            <w:hyperlink w:anchor="page24">
              <w:r>
                <w:rPr>
                  <w:rFonts w:ascii="Times New Roman" w:cs="Times New Roman" w:eastAsia="Times New Roman" w:hAnsi="Times New Roman"/>
                  <w:sz w:val="18"/>
                  <w:szCs w:val="18"/>
                  <w:b w:val="1"/>
                  <w:bCs w:val="1"/>
                  <w:color w:val="0000EE"/>
                  <w:w w:val="96"/>
                </w:rPr>
                <w:t>EXPERTS</w:t>
              </w:r>
            </w:hyperlink>
          </w:p>
        </w:tc>
        <w:tc>
          <w:tcPr>
            <w:tcW w:w="994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5"/>
          </w:tcPr>
          <w:p>
            <w:pPr>
              <w:spacing w:after="0" w:line="176" w:lineRule="exact"/>
              <w:rPr>
                <w:rFonts w:ascii="Times New Roman" w:cs="Times New Roman" w:eastAsia="Times New Roman" w:hAnsi="Times New Roman"/>
                <w:sz w:val="18"/>
                <w:szCs w:val="18"/>
                <w:b w:val="1"/>
                <w:bCs w:val="1"/>
                <w:color w:val="0000EE"/>
              </w:rPr>
            </w:pPr>
            <w:hyperlink w:anchor="page24">
              <w:r>
                <w:rPr>
                  <w:rFonts w:ascii="Times New Roman" w:cs="Times New Roman" w:eastAsia="Times New Roman" w:hAnsi="Times New Roman"/>
                  <w:sz w:val="18"/>
                  <w:szCs w:val="18"/>
                  <w:b w:val="1"/>
                  <w:bCs w:val="1"/>
                  <w:color w:val="0000EE"/>
                </w:rPr>
                <w:t>WHERE YOU CAN FIND MORE INFORMATION</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5"/>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25">
              <w:r>
                <w:rPr>
                  <w:rFonts w:ascii="Times New Roman" w:cs="Times New Roman" w:eastAsia="Times New Roman" w:hAnsi="Times New Roman"/>
                  <w:sz w:val="18"/>
                  <w:szCs w:val="18"/>
                  <w:b w:val="1"/>
                  <w:bCs w:val="1"/>
                  <w:color w:val="0000EE"/>
                </w:rPr>
                <w:t>INCORPORATION OF CERTAIN DOCUMENTS BY REFERENCE</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b w:val="1"/>
                <w:bCs w:val="1"/>
                <w:color w:val="0000EE"/>
                <w:w w:val="98"/>
              </w:rPr>
            </w:pPr>
            <w:hyperlink w:anchor="page28">
              <w:r>
                <w:rPr>
                  <w:rFonts w:ascii="Times New Roman" w:cs="Times New Roman" w:eastAsia="Times New Roman" w:hAnsi="Times New Roman"/>
                  <w:sz w:val="18"/>
                  <w:szCs w:val="18"/>
                  <w:b w:val="1"/>
                  <w:bCs w:val="1"/>
                  <w:color w:val="0000EE"/>
                  <w:w w:val="98"/>
                </w:rPr>
                <w:t>PROSPECTUS SUMMARY</w:t>
              </w:r>
            </w:hyperlink>
          </w:p>
        </w:tc>
        <w:tc>
          <w:tcPr>
            <w:tcW w:w="858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5"/>
          </w:tcPr>
          <w:p>
            <w:pPr>
              <w:spacing w:after="0" w:line="176" w:lineRule="exact"/>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5"/>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tcBorders>
              <w:top w:val="single" w:sz="8" w:color="0000EE"/>
            </w:tcBorders>
            <w:gridSpan w:val="22"/>
          </w:tcPr>
          <w:p>
            <w:pPr>
              <w:spacing w:after="0" w:line="176" w:lineRule="exact"/>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USE OF PROCEEDS</w:t>
              </w:r>
            </w:hyperlink>
          </w:p>
        </w:tc>
        <w:tc>
          <w:tcPr>
            <w:tcW w:w="594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5"/>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color w:val="0000EE"/>
                </w:rPr>
                <w:t>DESCRIPTION OF COMMON STOCK</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5"/>
          </w:tcPr>
          <w:p>
            <w:pPr>
              <w:spacing w:after="0" w:line="176" w:lineRule="exact"/>
              <w:rPr>
                <w:rFonts w:ascii="Times New Roman" w:cs="Times New Roman" w:eastAsia="Times New Roman" w:hAnsi="Times New Roman"/>
                <w:sz w:val="18"/>
                <w:szCs w:val="18"/>
                <w:b w:val="1"/>
                <w:bCs w:val="1"/>
                <w:color w:val="0000EE"/>
              </w:rPr>
            </w:pPr>
            <w:hyperlink w:anchor="page35">
              <w:r>
                <w:rPr>
                  <w:rFonts w:ascii="Times New Roman" w:cs="Times New Roman" w:eastAsia="Times New Roman" w:hAnsi="Times New Roman"/>
                  <w:sz w:val="18"/>
                  <w:szCs w:val="18"/>
                  <w:b w:val="1"/>
                  <w:bCs w:val="1"/>
                  <w:color w:val="0000EE"/>
                </w:rPr>
                <w:t>DESCRIPTION OF PREFERRED STOCK</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5"/>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DESCRIPTION OF WARRANTS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5"/>
          </w:tcPr>
          <w:p>
            <w:pPr>
              <w:spacing w:after="0" w:line="176" w:lineRule="exact"/>
              <w:rPr>
                <w:rFonts w:ascii="Times New Roman" w:cs="Times New Roman" w:eastAsia="Times New Roman" w:hAnsi="Times New Roman"/>
                <w:sz w:val="18"/>
                <w:szCs w:val="18"/>
                <w:b w:val="1"/>
                <w:bCs w:val="1"/>
                <w:color w:val="0000EE"/>
              </w:rPr>
            </w:pPr>
            <w:hyperlink w:anchor="page39">
              <w:r>
                <w:rPr>
                  <w:rFonts w:ascii="Times New Roman" w:cs="Times New Roman" w:eastAsia="Times New Roman" w:hAnsi="Times New Roman"/>
                  <w:sz w:val="18"/>
                  <w:szCs w:val="18"/>
                  <w:b w:val="1"/>
                  <w:bCs w:val="1"/>
                  <w:color w:val="0000EE"/>
                </w:rPr>
                <w:t>DESCRIPTION OF DEBT SECURITIES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b w:val="1"/>
                <w:bCs w:val="1"/>
                <w:color w:val="0000EE"/>
                <w:w w:val="98"/>
              </w:rPr>
            </w:pPr>
            <w:hyperlink w:anchor="page44">
              <w:r>
                <w:rPr>
                  <w:rFonts w:ascii="Times New Roman" w:cs="Times New Roman" w:eastAsia="Times New Roman" w:hAnsi="Times New Roman"/>
                  <w:sz w:val="18"/>
                  <w:szCs w:val="18"/>
                  <w:b w:val="1"/>
                  <w:bCs w:val="1"/>
                  <w:color w:val="0000EE"/>
                  <w:w w:val="98"/>
                </w:rPr>
                <w:t>DESCRIPTION OF RIGHTS</w:t>
              </w:r>
            </w:hyperlink>
          </w:p>
        </w:tc>
        <w:tc>
          <w:tcPr>
            <w:tcW w:w="848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5"/>
          </w:tcPr>
          <w:p>
            <w:pPr>
              <w:spacing w:after="0" w:line="176"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DESCRIPTION OF PURCHASE CONTRACTS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5"/>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6">
              <w:r>
                <w:rPr>
                  <w:rFonts w:ascii="Times New Roman" w:cs="Times New Roman" w:eastAsia="Times New Roman" w:hAnsi="Times New Roman"/>
                  <w:sz w:val="18"/>
                  <w:szCs w:val="18"/>
                  <w:b w:val="1"/>
                  <w:bCs w:val="1"/>
                  <w:color w:val="0000EE"/>
                </w:rPr>
                <w:t>DESCRIPTION OF UNITS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tcBorders>
              <w:top w:val="single" w:sz="8" w:color="0000EE"/>
            </w:tcBorders>
            <w:gridSpan w:val="7"/>
          </w:tcPr>
          <w:p>
            <w:pPr>
              <w:spacing w:after="0" w:line="176" w:lineRule="exact"/>
              <w:rPr>
                <w:rFonts w:ascii="Times New Roman" w:cs="Times New Roman" w:eastAsia="Times New Roman" w:hAnsi="Times New Roman"/>
                <w:sz w:val="18"/>
                <w:szCs w:val="18"/>
                <w:b w:val="1"/>
                <w:bCs w:val="1"/>
                <w:color w:val="0000EE"/>
              </w:rPr>
            </w:pPr>
            <w:hyperlink w:anchor="page49">
              <w:r>
                <w:rPr>
                  <w:rFonts w:ascii="Times New Roman" w:cs="Times New Roman" w:eastAsia="Times New Roman" w:hAnsi="Times New Roman"/>
                  <w:sz w:val="18"/>
                  <w:szCs w:val="18"/>
                  <w:b w:val="1"/>
                  <w:bCs w:val="1"/>
                  <w:color w:val="0000EE"/>
                </w:rPr>
                <w:t>LEGAL MATTERS</w:t>
              </w:r>
            </w:hyperlink>
          </w:p>
        </w:tc>
        <w:tc>
          <w:tcPr>
            <w:tcW w:w="86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b w:val="1"/>
                <w:bCs w:val="1"/>
                <w:color w:val="0000EE"/>
                <w:w w:val="96"/>
              </w:rPr>
            </w:pPr>
            <w:hyperlink w:anchor="page49">
              <w:r>
                <w:rPr>
                  <w:rFonts w:ascii="Times New Roman" w:cs="Times New Roman" w:eastAsia="Times New Roman" w:hAnsi="Times New Roman"/>
                  <w:sz w:val="18"/>
                  <w:szCs w:val="18"/>
                  <w:b w:val="1"/>
                  <w:bCs w:val="1"/>
                  <w:color w:val="0000EE"/>
                  <w:w w:val="96"/>
                </w:rPr>
                <w:t>EXPERTS</w:t>
              </w:r>
            </w:hyperlink>
          </w:p>
        </w:tc>
        <w:tc>
          <w:tcPr>
            <w:tcW w:w="994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5"/>
          </w:tcPr>
          <w:p>
            <w:pPr>
              <w:spacing w:after="0" w:line="176" w:lineRule="exact"/>
              <w:rPr>
                <w:rFonts w:ascii="Times New Roman" w:cs="Times New Roman" w:eastAsia="Times New Roman" w:hAnsi="Times New Roman"/>
                <w:sz w:val="18"/>
                <w:szCs w:val="18"/>
                <w:b w:val="1"/>
                <w:bCs w:val="1"/>
                <w:color w:val="0000EE"/>
              </w:rPr>
            </w:pPr>
            <w:hyperlink w:anchor="page49">
              <w:r>
                <w:rPr>
                  <w:rFonts w:ascii="Times New Roman" w:cs="Times New Roman" w:eastAsia="Times New Roman" w:hAnsi="Times New Roman"/>
                  <w:sz w:val="18"/>
                  <w:szCs w:val="18"/>
                  <w:b w:val="1"/>
                  <w:bCs w:val="1"/>
                  <w:color w:val="0000EE"/>
                </w:rPr>
                <w:t>WHERE YOU CAN FIND MORE INFORMATION</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5"/>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9">
              <w:r>
                <w:rPr>
                  <w:rFonts w:ascii="Times New Roman" w:cs="Times New Roman" w:eastAsia="Times New Roman" w:hAnsi="Times New Roman"/>
                  <w:sz w:val="18"/>
                  <w:szCs w:val="18"/>
                  <w:b w:val="1"/>
                  <w:bCs w:val="1"/>
                  <w:color w:val="0000EE"/>
                </w:rPr>
                <w:t>INCORPORATION OF CERTAIN DOCUMENTS BY REFERENCE</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registration statement on Form S-3 (File No. 333-217076) utilizing a shelf registration process relating to the securities described in this prospectus supplement was initially filed with the Securities and Exchange Commission, or the SEC, on March 31, 2017 and was declared effective on April 14, 2017.</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86"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other parts of this prospectus or information incorporated by reference into this prospectus from our filings with the Securities and Exchange Commission, or SEC, listed in the section of the prospectus entitled “Incorporation of Certain Information by Reference.” Because it is only a summary, it does not contain all of the information that you should consider before purchasing our securities in this offering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herein in their entirety, including the “Risk Factors” and our financial statements and the related notes incorporated by reference into this prospectus, before purchasing our securities in this offering.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0" w:lineRule="exact"/>
        <w:rPr>
          <w:sz w:val="20"/>
          <w:szCs w:val="20"/>
          <w:color w:val="auto"/>
        </w:rPr>
      </w:pPr>
    </w:p>
    <w:p>
      <w:pPr>
        <w:jc w:val="both"/>
        <w:ind w:firstLine="324"/>
        <w:spacing w:after="0" w:line="208" w:lineRule="auto"/>
        <w:rPr>
          <w:sz w:val="20"/>
          <w:szCs w:val="20"/>
          <w:color w:val="auto"/>
        </w:rPr>
      </w:pPr>
      <w:r>
        <w:rPr>
          <w:rFonts w:ascii="Times New Roman" w:cs="Times New Roman" w:eastAsia="Times New Roman" w:hAnsi="Times New Roman"/>
          <w:sz w:val="18"/>
          <w:szCs w:val="18"/>
          <w:color w:val="auto"/>
        </w:rPr>
        <w:t>Microbot’s current technological platforms, ViRob</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and 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are comprised of proprietary innovative technologies. Using the ViRob platform, Microbot is currently developing its first product candidate: the Self Cleaning Shunt, or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Microbot has a patent portfolio of 30 issued/allowed patents and 18 patent applications pending worldwide.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ViRob</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CardioSert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25, 2018, Microbot acquired a patent-protected technology from CardioSert Ltd., a privately-held medical device company based in Israel.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CardioSert was part of a technological incubator supported by the Israel Innovation Authorities (formerly known as the Office of the Chief Scientist, or OCS), and a device based on the technology has successfully completed pre-clinical testing.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TipCAT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CSF Management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Symptoms of hydrocephalus vary with age, disease progression and individual tolerance to the condition, but they can include convulsion, tunnel vision, mental disability or dementia-like symptoms and even death.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treatment of hydrocephalus with existing shunt systems often includes complications. For example, approximately 50% of shunts used in the pediatric population fail within two years of placement and repeated neurosurgical operations are often required. Ventricular catheter blockage, or occlusion,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alternative, short-term solution to hydrocephalus is the implantation of an External Ventricular Drainage, or EVD, an implanted device used in neurosurgery for the short-term treatment and monitoring of elevated intracranial pressure when the normal flow of CSF inside the brain is obstructed. If after using an EVD, the underlying hydrocephalus does not eventually resolve, the EVD may then be converted to a cerebral shunt, a fully internalized, long-term treatment for hydrocephalus.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EVDs are also used in other instances when the normal flow of CSF inside the brain is obstructed, such as a result of head trauma, intracerebral hemorrhage, brain tumors and infection. The EVD serves to divert excess fluids from the brain and allows for the monitoring of intracranial pressure. An EVD must be placed in a center with full neurosurgical capabilities because immediate neurosurgical intervention may be needed if a complication of EVD placement, such as bleeding, is encountered. EVD is one of the most commonly used and most important life-saving procedures in the neurologic ICU, with more than 200,000 neuro-intensive patients requiring EVD insertions annually.</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Similar to shunts, EVDs are also prone to occlusion, mostly due to cellular debris, such as blood clots and/or tissue fragments. Studies have shown that approximately 1-7% of EVDs require replacement secondary to occlusion. Current solutions for EVD occlusion include irrigation and replacement, which we believe may be ineffective (in the case of irrigation) or costly (in the case of replacement) and in either case, put the patient at risk of unintended side effects. Microbot believes that with its portfolio of technologies, and its initial pre-clinical results, it is well-positioned to explore and expand its offerings as an alternative solution for EVD occlusion.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Minimally Invasive Endovascular Neurosurgery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market is expected to exceed $50 billion by 2019, with a CAGR of over 20% through 2023. MIS involves three major category of devices: surgical, monitoring and visualization, and endoscopy. The market for surgical devices, including ablation, electrosurgery and medical robotic systems, accounts for the largest share of revenue and is also expected to show the highest rate of growth.</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subset of MIS, endovascular neurosurgery refers to surgeries performed by using devices that pass through the blood vessels to diagnose and treat neurological diseases and conditions such as stroke, arteriovenous malformations, aneurysms and atherosclerosis, rather than using open surgery.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global neurovascular device market was valued at $1.62 billion in 2015 and is expected to reach a value of $2.92 billion by 2024, growing at a CAGR of 6.5%. Increases in the geriatric population and a rise in the number of patients suffering from neurovascular disorders, implementation of advanced technological platforms, and favorable reimbursement policies across established markets are expected to drive this market’s growth. On the other hand, the high cost of the endovascular devices and scarcity of neurovascular surgeons may impede such growth.</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Stroke is a devastating condition, affecting 33 million people worldwide every year. In the United States alone, there are nearly 800,000 instances of stroke yearly, with about three in four being first-time strokes. This number is expected to increase to one million annually in 2021. Stroke is the fifth leading cause of death in the United States and is a leading cause of long-term disability, with related care costs estimated at $70 billion annually.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Mechanical thrombectomy has only been approved as a first-line treatment for ischemic stroke since 2016. Prior to such approval, chemical thrombolysis using tissue plasminogen activators was the only first-line treatment available, limiting the therapeutic window for ischemic stroke patients to as little as 3-4 hours from the onset of symptoms. With mechanical thrombectomy, treatment can be started within 6-24 hours of the time the patient was last known to be well. The US mechanical thrombectomy market is projected to grow at a CAGR of 23.9% between 2014-2020, to reach a value over $350 million.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According to the Brain Aneurysm Foundation, an estimated 6 million people in the United States have an unruptured brain aneurysm, or 1 in 50 people. The annual rate of rupture is approximately 8 – 10 per 100,000 people, or about 30,000 people in the United States annually. Embolic coiling is the established gold-standard treatment for aneurysms, and the most established product line in the neurovascular market – it is a strong but relatively stagnant market, projected to grow at a CAGR of 1.7% between 2014-2020, to reach a value of over $800 million. New devices that improve treatment of complex aneurysms, such as embolization-enabling stents, bifurcations stents, flow-diversion stents, liquid embolics and intrasaccular devices, are expected to boost market growth.</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major companies in the field of neurovascular devices include Stryker Corporation, Medtronic Plc., Cerenovus (Johnson &amp; Johnson), Terumo Corporation and Penumbra, Inc. Neurovascular access devices are the means for delivering neurovascular treatment tools and devices from an opening in the femoral or radial arteries into the brain vasculature. Such access devices include sheaths, guidewires and microcatheters. Wires and catheters account for 18.6% of the overall neurovascular market.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7" w:name="page8"/>
    <w:bookmarkEnd w:id="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Microbot believes that with its portfolio of technologies specifically CardioSert and TipCAT, it is well-positioned to explore and develop such technologies as neurovascular access devices, with a focus on improving the ease and access and enhancing the safety of endovascular neurosurgery.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Self-Cleaning Shunt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SCS device is designed to act as the ventricular catheter portion of a CSF shunt system that is used to relieve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 standard ventricular shunt in the treatment of hydrocephalus and NPH.</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spacing w:after="0" w:line="1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Microbot has completed the development of an SCS prototype and is currently completing the safety testing, general proof of concept testing and performance testing for the device, which Microbot began in mid-2013. In May 2018, Microbot announced the results of two pre-clinical studies assessing the SCS, an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study and a small animal study. The in-vitro study, which was performed at Wayne State University by Dr. Carolyn Harris, supports the SCS’s potential as a viable technology for preventing occlusion in shunts used to treat hydrocephalus. The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Since the completion of these initial studies, Microbot has commenced a follow-up study to further evaluate the safety and to investigate the efficacy of the SCS. The follow-up study is also being conducted by leading hydrocephalus experts at Washington University and Wayne State University. The study will include a larger sample size compared to the initial studies and the primary and secondary endpoints will seek to validate the safety and efficacy of the SCS that will be activated in both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(lab) and </w:t>
      </w:r>
      <w:r>
        <w:rPr>
          <w:rFonts w:ascii="Times New Roman" w:cs="Times New Roman" w:eastAsia="Times New Roman" w:hAnsi="Times New Roman"/>
          <w:sz w:val="18"/>
          <w:szCs w:val="18"/>
          <w:i w:val="1"/>
          <w:iCs w:val="1"/>
          <w:color w:val="auto"/>
        </w:rPr>
        <w:t>in-vivo</w:t>
      </w:r>
      <w:r>
        <w:rPr>
          <w:rFonts w:ascii="Times New Roman" w:cs="Times New Roman" w:eastAsia="Times New Roman" w:hAnsi="Times New Roman"/>
          <w:sz w:val="18"/>
          <w:szCs w:val="18"/>
          <w:color w:val="auto"/>
        </w:rPr>
        <w:t xml:space="preserve"> (animal) models. Microbot plans to use the findings for initial regulatory submissions in the United States, Europe and other jurisdictions, although upon the completion of animal studies, Microbot may conduct clinical trials if they are requested by the FDA or if Microbot decides that the data from such trials would improve the marketability of the product candidate.</w:t>
      </w:r>
    </w:p>
    <w:p>
      <w:pPr>
        <w:spacing w:after="0" w:line="19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conjunction with initiating this follow-up study, Microbot also contracted with Envigo CRS Israel, a leading provider of non-clinical contract research services, to conduct an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study designed to evaluate the operational performance of the SCS. The Envigo study used human brain glioblastoma cells in order to assess the performance of the SCS in a test system with accelerated cell growth, accumulation, and obstruction rates. The performance of a constantly activated (always-on) SCS to prevent shunt occlusion in the laboratory study was compared with a non-operating SCS after 30 days, and the results were captured with photographs shared by Microbot in a press release issued on January 14, 2019. While significant cell growth and accumulation was seen in the cell cultures with a non-operating SCS, the shunt openings within the cells seeded with a constantly operating SCS remained clear, with little to no cell attachment on the robotic brush (ViRob) and on the opening where the robotic brush (ViRob) operates after 30 days of cell culturing and growth. We believe this experiment validates the operational effectiveness of the SCS to prevent shunt occlusion and provides additional data to support the device’s proof of concept. We believe the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laboratory study further confirms that the SCS has the ability to operate after cells have accumulated on the catheter holes and the robotic brush (ViRob) and to potentially disintegrate existing occlusions formed on the robotic brush (ViRob) and on the opening where the robotic brush (ViRob) operates, based on the results from a third test group in which cells were allowed to grow for 4 weeks and then exposed to an activated SCS device. The images captured by Envigo and Microbot demonstrate that the cleaning mechanism of the SCS is powerful enough to clear accumulated cells at blocked pores, as significant improvements were observed in the degree of shunt obstruction after only a short period of time following activation of the SCS.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Microbot believes that the animal study results of its first generation SCS device should be available during the second half of 2019 and we expect to submit that data to the FDA as part of a pre-submission meeting request. The proposed indication for use of the SCS device would be for the treatment of hydrocephalus as a component of a shunt system when draining or shunting of CSF is indicated. It continues to be possible that the FDA could require us to conduct a human clinical study to support the safety and efficacy of the SCS and that such clinical data would need to be part of the future regulatory submission to authorize marketing of the medical device in the U.S.</w:t>
      </w:r>
    </w:p>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Microbot may also conduct clinical trials for the SCS in other countries where such trials are necessary for Microbot to sell its SCS device in such country’s market, although it has no current plans to do 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TipCAT</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Microbot is no longer pursuing the development of the TipCAT as a colonoscopy tool but is currently exploring the use of the TipCAT for minimally invasive endovascular neurosurgical applications.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252"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 and this Offering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and our ability to implement our business strategy are subject to numerous risks, as more fully described in the section of this prospectus entitled “Risk Factors” and under similarly titled headings of the documents incorporated herein by reference. You should read these risks before you invest in our securities. We may be unable, for many reasons, including those that are beyond our control, to implement our business strategy. In particular, risks associated with our business include:</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significant additional capital to support our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anticipate that we will continue to incur significant losses for the foreseeable future, and our future profitability is uncertain.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must undergo rigorous clinical testing, such clinical testing may fail to demonstrate safety and efficacy and any of our product candidates could cause undesirable side effects, which would substantially delay or prevent regulatory approval or commercialization.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and proprietary technology. If we fail to adequately protect this intellectual property or if we otherwise do not have exclusivity for the marketing of our products, our ability to commercialize products could suffer.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are able to develop and market products that are more effective, safer or more affordable than ours, or obtain marketing approval before we do, our commercial opportunities may be limited.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purchase our securities in this offering, you will incur immediate and substantial dilution.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in the use of the net proceeds from this offering and may not use them effectively.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93"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In May 2016, we effected a 1-for-12 reverse split of our common stock, and in November 2016, we effected a 1-for-9 reverse split of our common stock in connection with the Merger. In September 2018, we effected a 1-for-15 reverse split of our common stock. The share and per share information described in this prospectus that occurred prior to these reverse splits have been adjusted to give retrospective effect to the reverse splits.</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25 Recreation Park Drive, Unit 108, Hingham, MA 02043. The telephone number at our principal executive office is (781) 875-3605. Our website address is </w:t>
      </w:r>
      <w:r>
        <w:rPr>
          <w:rFonts w:ascii="Times New Roman" w:cs="Times New Roman" w:eastAsia="Times New Roman" w:hAnsi="Times New Roman"/>
          <w:sz w:val="18"/>
          <w:szCs w:val="18"/>
          <w:i w:val="1"/>
          <w:iCs w:val="1"/>
          <w:color w:val="auto"/>
        </w:rPr>
        <w:t>www.microbotmedical.com</w:t>
      </w:r>
      <w:r>
        <w:rPr>
          <w:rFonts w:ascii="Times New Roman" w:cs="Times New Roman" w:eastAsia="Times New Roman" w:hAnsi="Times New Roman"/>
          <w:sz w:val="18"/>
          <w:szCs w:val="18"/>
          <w:color w:val="auto"/>
        </w:rPr>
        <w:t>.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 in this offering.</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This prospectus contains references to our trademarks and to trademarks and trade names belonging to other entities. Solely for convenience, trademarks and trade names referred to in this prospectus, including logos, artwork and other visual displays,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or the Exchange Act, and have elected to take advantage of certain of the scaled disclosures available to smaller reporting companies, including certain of the reduced disclosure obligations in the registration statement of which this prospectus is a part. As a result, the information that we provide to our stockholders may be different than you might receive from other public reporting companies in which you hold equity interests.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 w:name="page10"/>
    <w:bookmarkEnd w:id="9"/>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Offered in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Before This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to be Outstanding After This Offering</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Placement of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250,000 shares of our common stock, par value $0.01 per share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$9.875 per share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4,057,666 shares</w:t>
      </w:r>
      <w:r>
        <w:rPr>
          <w:rFonts w:ascii="Times New Roman" w:cs="Times New Roman" w:eastAsia="Times New Roman" w:hAnsi="Times New Roman"/>
          <w:sz w:val="30"/>
          <w:szCs w:val="30"/>
          <w:color w:val="auto"/>
          <w:vertAlign w:val="superscript"/>
        </w:rPr>
        <w:t>(1)</w:t>
      </w:r>
    </w:p>
    <w:p>
      <w:pPr>
        <w:spacing w:after="0" w:line="1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4,307,666 shares</w:t>
      </w:r>
      <w:r>
        <w:rPr>
          <w:rFonts w:ascii="Times New Roman" w:cs="Times New Roman" w:eastAsia="Times New Roman" w:hAnsi="Times New Roman"/>
          <w:sz w:val="30"/>
          <w:szCs w:val="30"/>
          <w:color w:val="auto"/>
          <w:vertAlign w:val="superscript"/>
        </w:rPr>
        <w:t>(1)</w:t>
      </w:r>
    </w:p>
    <w:p>
      <w:pPr>
        <w:spacing w:after="0" w:line="124" w:lineRule="exact"/>
        <w:rPr>
          <w:sz w:val="20"/>
          <w:szCs w:val="20"/>
          <w:color w:val="auto"/>
        </w:rPr>
      </w:pPr>
    </w:p>
    <w:p>
      <w:pPr>
        <w:jc w:val="both"/>
        <w:ind w:left="700"/>
        <w:spacing w:after="0" w:line="252" w:lineRule="auto"/>
        <w:rPr>
          <w:sz w:val="20"/>
          <w:szCs w:val="20"/>
          <w:color w:val="auto"/>
        </w:rPr>
      </w:pPr>
      <w:r>
        <w:rPr>
          <w:rFonts w:ascii="Times New Roman" w:cs="Times New Roman" w:eastAsia="Times New Roman" w:hAnsi="Times New Roman"/>
          <w:sz w:val="18"/>
          <w:szCs w:val="18"/>
          <w:color w:val="auto"/>
        </w:rPr>
        <w:t>In the private placement, we are selling to purchasers of our common stock in this offering warrants to purchase an aggregate of up to 250,000 shares of our common stock at a purchase price of $0.125 per warrant. Each purchaser in this offering will receive in the private placement warrants to purchase up to 100% of the number of shares of common stock purchased by such purchaser in this offering. The warrants will be immediately exercisable on their date of issuance at an exercise price of $10.00 per share and will remain exercisable until the one year anniversary of their date of issuance. We expect the private placement will close concurrently with the closing of this offering. The warrants and the shares of common stock issuable upon the exercise of the warrants are not being registered under the Securities Act and are being offered pursuant to the exemption provided in Section 4(a)(2) under the Securities Act and Rule 506(b) promulgated thereunder, and they are not being offered pursuant to this prospectus supplement and the accompanying base prospectus. There is no established public trading market for the warrants and we do not expect a market to develop. In addition, we do not intend to list the warrants on the Nasdaq Capital Market, any other national securities exchange or any other nationally recognized trading system. See “Private Placement of Warrants.”</w:t>
      </w:r>
    </w:p>
    <w:p>
      <w:pPr>
        <w:spacing w:after="0" w:line="192" w:lineRule="exact"/>
        <w:rPr>
          <w:sz w:val="20"/>
          <w:szCs w:val="20"/>
          <w:color w:val="auto"/>
        </w:rPr>
      </w:pPr>
    </w:p>
    <w:p>
      <w:pPr>
        <w:sectPr>
          <w:pgSz w:w="11900" w:h="16839" w:orient="portrait"/>
          <w:cols w:equalWidth="0" w:num="2">
            <w:col w:w="4300" w:space="720"/>
            <w:col w:w="6400"/>
          </w:cols>
          <w:pgMar w:left="240" w:top="684" w:right="239" w:bottom="0" w:gutter="0" w:footer="0" w:header="0"/>
        </w:sect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currently intend to use the net proceeds from this offering for the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continuous development of our SCS device for the treatment of hydrocephalus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and NPH; to expand and develop additional applications deriving from our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existing IP portfolio, including the potential addition of complementary assets</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to the CardioSert portfolio either through internal development, in-license or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acquisition; and for working capital and other general corporate purposes. As a</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result, our management will retain broad discretion in the allocation and use of</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net proceeds of this offering, and investors will be relying on the judgment</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of our management with regard to the use of these net proceeds. Pending</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application of the net proceeds for the purposes as described above, we expect</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to invest the net proceeds in short-term, interest-bearing securities, investment</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grade securities, certificates of deposit or direct or guaranteed obligations of</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the U.S. government. See “Use of Proceeds” on page S-16.</w:t>
      </w:r>
    </w:p>
    <w:p>
      <w:pPr>
        <w:spacing w:after="0" w:line="20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Investing in our securities involves a high degree of risk. Before you decide to</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invest in our common stock, you should carefully read this prospectus</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supplement in its entirety and carefully consider the risks and uncertainties</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described in “Risk Factors” beginning on page S-10 of this prospectus</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supplement, beginning on page 3 of the accompanying base prospectus and in</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our Annual Report on Form 10-K for the fiscal year ended December 31,</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2017, as such risk factors may be amended, updated or modified periodically</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in our reports filed with the SEC, and the financial data and related notes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the reports incorporated by reference herein and therein.</w:t>
      </w:r>
    </w:p>
    <w:p>
      <w:pPr>
        <w:spacing w:after="0" w:line="20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Nasdaq Capital Market Symbol</w:t>
      </w:r>
      <w:r>
        <w:rPr>
          <w:sz w:val="20"/>
          <w:szCs w:val="20"/>
          <w:color w:val="auto"/>
        </w:rPr>
        <w:tab/>
      </w:r>
      <w:r>
        <w:rPr>
          <w:rFonts w:ascii="Times New Roman" w:cs="Times New Roman" w:eastAsia="Times New Roman" w:hAnsi="Times New Roman"/>
          <w:sz w:val="17"/>
          <w:szCs w:val="17"/>
          <w:color w:val="auto"/>
        </w:rPr>
        <w:t>MBOT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097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to be outstanding after this offering is based on 4,057,666 shares of common stock outstanding as of January 22, 2019, and excludes, as of January 22, 2019:</w:t>
      </w:r>
    </w:p>
    <w:p>
      <w:pPr>
        <w:spacing w:after="0" w:line="162"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434,108 shares of our common stock issuable upon the exercise of outstanding stock options, with exercise prices ranging from $0 to $19.35 and having a weighted-average exercise price of $11.60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199,609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22,767 shares of common stock issuable upon exercise of the warrants issued to the placement agent in connection with the registered direct offering consummated on January 15, 2019 with an exercise price of $8.125;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29,500 shares of common stock issuable upon exercise of the warrants issued to the placement agent in connection with the registered direct offering consummated on January 17, 2019 with an exercise price of $12.50;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7,531 shares of our common stock issuable upon the exercise of other outstanding warrants, with exercise prices ranging from approximately $40.00 to $2,885 per share and having a weighted-average exercise price of $1,697 per share.</w:t>
      </w:r>
    </w:p>
    <w:p>
      <w:pPr>
        <w:sectPr>
          <w:pgSz w:w="11900" w:h="16839" w:orient="portrait"/>
          <w:cols w:equalWidth="0" w:num="1">
            <w:col w:w="11420"/>
          </w:cols>
          <w:pgMar w:left="240" w:top="684" w:right="239" w:bottom="0" w:gutter="0" w:footer="0" w:header="0"/>
          <w:type w:val="continuous"/>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Our shares of common stock outstanding as of January 22, 2019 also exclude the following warrants that will be issued in the private placement and to the placement agent in connection with this offering:</w:t>
      </w:r>
    </w:p>
    <w:p>
      <w:pPr>
        <w:spacing w:after="0" w:line="162"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250,000 shares of common stock issuable upon exercise, at an exercise price of $10.00 per share, of the warrants to be issued in the private placement, as described under “Private Placement of Warrants;”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12,500 shares of common stock issuable upon exercise, at an exercise price of $12.50, of the warrants to be issued to the placement agent as compensation in connection with this offering as described under “Plan of Distribution.”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consider carefully the additional risks described below, together with all of the other information included or incorporated by reference in this prospectus, including the risks and uncertainties discussed under “Risk Factors” in our Annual Report on Form 10-K for the fiscal year ended December 31, 2017 and in our Quarterly Report on Form 10-Q for the fiscal quarter ended September 30, 2018, before deciding whether to purchase our securities in this offering. All of these risk factors are incorporated herein in their entirety. The risks described below and incorporated by reference are material risks currently known, expected or reasonably foreseeable by us. However, the risks described below or that we incorporate by reference are not the only ones that we face. Additional risks not presently known to us or that we currently deem immaterial may also affect our business, operating results, prospects or financial condition. If any of these risks actually materialize, our business, prospects, financial condition, and results of operations could be seriously harmed. This could cause the trading price of our common stock and the value of the warrants to decline, resulting in a loss of all or part of your investment.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lead product candidate, the SCS. If Microbot is unable to commercialize the SCS or experiences significant delays in doing so, Microbot’s business will be materially harmed.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27, 2017, Microbot entered into a research agreement with Washington University in St. Louis to develop the protocol for and to execute the necessary animal study to determine the effectiveness of the Microbot’s SCS prototype. The initial research was completed in 2017 with a comprehensive study expected to be completed in 2019. Upon the completion of animal studies, Microbot may conduct clinical trials if they are requested by the FDA or if Microbot decides that the data from such trials would improve the marketability of the product candidate. After all necessary clinical and performance data supporting the safety and effectiveness of SCS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in the treatment of hydrocephalus. The success of commercializing SCS will depend on a number of factors, including the following:</w:t>
      </w:r>
    </w:p>
    <w:p>
      <w:pPr>
        <w:spacing w:after="0" w:line="18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if necessary,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of SCS,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SCS,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shunt and endoscope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SCS following clearance or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If Microbot does not achieve one or more of these factors in a timely manner or at all, it could experience significant delays or an inability to successfully commercialize SCS, which would materially harm its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ability to expand our technology platforms for other uses, including endovascular neurosurgery other than for the treatment of hydrocephalus, may be limited.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After spending time working with experts in the field, Microbot has recently decided to no longer pursue the use of TipCAT in colonoscopy and has instead committed to focus on expanding all of its technology platforms for use in segments of the endovascular neurosurgery market, including traumatic brain injury, to capitalize on its existing competencies in hydrocephalus and the market’s needs. Microbot’s ability to expand its technology platforms for use in the endovascular neurosurgery market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8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competitors that have developed or are developing endoluminal robotics surgical systems include Corindus Vascular Robotics, Inc., Hansen Medical, Inc. Auris Health, Inc., Stereotaxis, Inc., Medrobotics Corporation and others. 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SCS and products that it is seeking to develop or commercialize with respect to its other product candidates in the future.</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SCS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Microbot anticipates that its lead product candidate, the SCS, will be classified by the FDA as Class II and thus be eligible for marketing pursuant to a cleared 510(k) notification. However, there is no guarantee that the FDA will agree with the Company’s determination or that the FDA would accept the predicate device that Microbot intends to submit in its 510(k) notification in order to establish that its new device product is substantially equivalent to one or more predicate devices. The FDA also may request additional data in response to a 510(k) notification, or require Microbot to conduct further testing or compile more data in support of its 510(k) submission. Such additional data could include clinical data that must be derived from human clinical studies that are designed appropriately to address the potential questions from the FDA regarding a proposed product’s safety or effectiveness. It is unclear at this time whether and how various activities recently initiated or announced by the FDA to modernize the U.S. medical device regulatory system could affect the marketing pathway or timeline for our product candidate, given the timing and the undeveloped nature of some of the FDA’s new medical device safety and innovation initiatives. One of the recent initiatives was announced in April 2018, when the FDA Commissioner issued a statement with the release of a Medical Device Safety Action Plan. Among other key areas of the Medical Device Safety Action Plan, the Commissioner stated that the FDA is “exploring what further actions we can take to spur innovation towards technologies that can make devices and their use safer. For instance, our Breakthrough Device Program that helps address unmet medical needs can be used to facilitate patient access to innovative new devices that have important improvements to patient safety. We’re considering developing a similar program to support the development of safer devices that do not otherwise meet the Breakthrough Program criteria, but are clearly intended to be safer than currently available technologies.” This type of program may negatively affect our existing development plan for the SCS product candidate or it may benefit Microbot, but at this time those potential impacts from recent FDA medical device initiatives are unknown and uncertain. Similarly, the FDA Commissioner announced various agency goals under a Medical Innovation Access Plan in 2017.</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FDA does require clinical data to be submitted as part of the SCS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SCS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SCS, depending on their nature, scope and applicability. Microbot and its business, financial condition and operating results could be materially and adversely affected as a result of any such costs, delays or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sold in this offering, you will incur immediate dilution.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you purchase shares of our common stock in this offering, you will experience immediate dilution in the as adjusted net tangible book value per share after giving effect to this offering, based on the offering price of $9.875 and a net tangible book value of $2.2066 as of September 30, 2018, because the price that you pay will be greater than the $3.7797 as adjusted net tangible book value per share of the common stock that you acquire. You may experience additional dilution upon exercise of the outstanding stock options and other equity awards that may be granted under our equity incentive plans, and when we otherwise issue additional shares of our common stock. For more information, see “Dilution.”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lawsuit that could adversely affect our business and our use of proceeds from this offering.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named as the defendant in a lawsuit, which we refer to as the Matter, captioned Sabby Healthcare Master Fund Ltd. and Sabby Volatility Warrant Master Fund Ltd., Plaintiffs, against Microbot Medical Inc., Defendant, pending in the Supreme Court of the State of New York, County of New York (the “Court”) (Index No. 654581/2017). The complaint alleges, among other things, that we breached multiple representations and warranties contained in the Securities Purchase Agreement (the “SPA”) related to our June 8, 2017 equity financing, or the Financing, of which the Plaintiffs participated. The complaint seeks rescission of the SPA and return of the Plaintiffs’ $3,375,000 purchase price with respect to the Financing, and damages in an amount to be determined at trial, but alleged to exceed $1 million. On August 3, 2018, both Plaintiffs and Defendant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our motion for summary judgment regarding Plaintiffs’ claim for monetary damages and denying our motion for summary judgment on Plaintiffs’ claim for rescission, finding that there were material questions of fact that would need to be resolved at trial. A trial date has been set for February 11, 2019. On January 8, 2019, the plaintiffs filed a motion seeking to amend the complaint to also pursue rescission on a material misrepresentation theory.</w:t>
      </w:r>
    </w:p>
    <w:p>
      <w:pPr>
        <w:spacing w:after="0" w:line="19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the claims are without merit and have been and intend to continue to defend the action vigorously. However, management is unable to assess the likelihood of the claim and the amount of potential damages, if any, to be awarded. Accordingly, no assurance can be given that any adverse outcome would not be material to our consolidated financial position. Additionally, in the event the court holds for the Plaintiffs in the Matter and we lose our appeals, we will likely be required to use the proceeds from this offering or available cash towards payment of damages to the Plaintiffs and the Other Investors,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sales of our securities or other dilution of our equity, which may adversely affect the market price of our common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generally not restricted from issuing additional common stock, including any securities that are convertible into or exchangeable for, or that represent the right to receive, common stock.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need to raise additional capital in the future to continue operations, which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As of September 30, 2018, we had cash and cash equivalents of approximately $6.7 million. We estimate that we will receive net proceeds of approximately $2,126,250 from the sale of the securities offered by us in this offering, after deducting the placement agent fees and estimated offering expenses payable by us and excluding any proceeds we may receive upon exercise of the warrants being offered in the concurrent private placement and being issued to the placement agent. We cannot provide assurances that our plans will not change or that changed circumstances will not result in the depletion of our capital resources more rapidly than we currently anticipate.</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The forward-looking statements are contained principally in the sections entitled “Prospectus Summary,” “Risk Factors,” “Management’s Discussion and Analysis of Financial Condition and Results of Operations” and “Business” in this prospectus or the documents incorporated herein by reference.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8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anticipated operating losses, capital requirements and needs for additional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when needed and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or otherwise secure the manufacture of, sufficient amounts of our product candidates for our preclinical studies and clinical trials;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 develop applications for our technologies for other neurosurgical conditions besides hydrocephalus;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development and other research and development plans and expectations;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regulatory pathways for our product candidates;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preclinical and clinical development of, and obtain regulatory approval of our product candidates and commercialize any approved products on our expected timeframes or at all;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and timing of submissions to and decisions made by the U.S. Food and Drug Administration and other regulatory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the experience of our management team;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keep management and other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capacities and performance of our suppliers, manufacturers and other third parties over whom we have limited control;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6" w:name="page17"/>
    <w:bookmarkEnd w:id="16"/>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and success of competing products that are or may become available;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future growth and investments in our infrastructure, and our ability to effectively manage any such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potential growth of the markets for any of our product candidates, and our ability to capture share in or impact the size of those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litigation in which we or any of our officers or directors may be involved, including with respect to the Matter;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 regulation and regulatory developments, and our ability and the ability of the third parties with whom we engage to comply with applicable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revenues, capital requirements and need for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planned expenditures;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effective internal control over financial reporting in accordance with Section 404 of the Sarbanes-Oxley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successfully enforce adequate patent and other intellectual property protection of any of our products and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the net proceeds from this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of others.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some cases, you can identify these statements by terms such as “anticipate,” “believe,” “could,” “estimate,” “expect,” “intend,” “may,” “plan,” “potential,” “predict,” “project,” “should,” “will,” “would” or the negative of those terms, and similar expressions that convey uncertainty of future events or outcomes. These forward-looking statements reflect our management’s beliefs and views with respect to future events and are based on estimates and assumptions as of the date of this prospectus and are subject to risks and uncertainties. We discuss many of these risks in greater detail in the documents incorporated by reference herein, usually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Given these uncertainties, you should not place undue reliance on these forward-looking statements.</w:t>
      </w:r>
    </w:p>
    <w:p>
      <w:pPr>
        <w:spacing w:after="0" w:line="19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read this prospectus, the documents that we incorporate by reference into this prospectus and the documents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the net proceeds to us from the sale of our common stock in this offering, if any, will be approximately $2,126,250 after deducting the placement agent fees and estimated offering expenses payable by us and excluding any proceeds we may receive upon exercise of the warrants being offered in the concurrent private placement and being issued to the placement agent.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the continuous development of our SCS device for the treatment of hydrocephalus and NPH; to expand and develop additional applications deriving from our existing IP portfolio, including the potential addition of complementary assets to the CardioSert portfolio either through internal development, in-license or acquisition;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8" w:name="page19"/>
    <w:bookmarkEnd w:id="18"/>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invest in our securities, you will experience immediate and substantial dilution to the extent of the difference between the amount per share paid in this offering and the adjusted net tangible book value per share of our common stock immediately after the offering.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2018 was approximately $6,566,000, or $2.2066 per share, based on 2,975,676 shares of our common stock outstanding at September 30, 2018.</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as adjusted net tangible book value as of September 30, 2018, was approximately $14,016,832, or approximately $3.4859 per share, on an adjusted basis to give effect to (i) the registered direct offering of 455,323 shares of common stock (or common stock equivalent) at the offering price of $6.50 per share that closed on January 15, 2019, after deducting the estimated placement agent’s fees and estimated offering expenses payable by us and assuming the exercise of the 125,323 Pre-Funded Warrants sold in such offering and (ii) the registered direct offering of 590,000 shares of common stock at the offering price of $10.00 per share that closed on January 17, 2019, after deducting the estimated placement agent’s fees and estimated offering expenses payable by us.</w:t>
      </w:r>
    </w:p>
    <w:p>
      <w:pPr>
        <w:spacing w:after="0" w:line="18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After giving effect to the issuance and sale in this offering of 250,000 shares of common stock at the offering price of $9.875 per share, after deducting the estimated placement agent’s fees and estimated offering expenses payable by us, our pro forma as adjusted net tangible book value on September 30, 2018, would have been approximately $16,143,082, or $3.7797 per share. This represents an immediate increase in the as adjusted net tangible book value of $0.2938 per share attributable to this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illustrates the immediate dilution to new investors:</w:t>
            </w: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12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on September 30, 2018</w:t>
            </w:r>
          </w:p>
        </w:tc>
        <w:tc>
          <w:tcPr>
            <w:tcW w:w="12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on September 30, 2018</w:t>
            </w:r>
          </w:p>
        </w:tc>
        <w:tc>
          <w:tcPr>
            <w:tcW w:w="12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as adjusted net tangible book value per share attributable to this offering</w:t>
            </w:r>
          </w:p>
        </w:tc>
        <w:tc>
          <w:tcPr>
            <w:tcW w:w="12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0.2938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as of September 30, 2018, after giving effect to this offering</w:t>
            </w:r>
          </w:p>
        </w:tc>
        <w:tc>
          <w:tcPr>
            <w:tcW w:w="12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the investor in this offering</w:t>
            </w:r>
          </w:p>
        </w:tc>
        <w:tc>
          <w:tcPr>
            <w:tcW w:w="12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6.0953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above discussion and table are based on 2,975,676, 4,020,999 and 4,270,999 actual, as adjusted and pro forma as adjusted shares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2018, respectively, and exclude, as of that date:</w:t>
      </w:r>
    </w:p>
    <w:p>
      <w:pPr>
        <w:spacing w:after="0" w:line="207"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434,108 shares of our common stock issuable upon the exercise of outstanding stock options, with exercise prices ranging from $0 to $19.35 and having a weighted-average exercise price of $11.60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199,609 shares of our common stock reserved for future grant under our 2017 Equity Incentive Plan;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7,531 shares of our common stock issuable upon the exercise of outstanding warrants, with exercise prices ranging from approximately $40.00 to $2,885 per share and having a weighted-average exercise price of $1,967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approximately 36,667 shares of our common stock issuable upon the conversion of 550 shares of our Series A Convertible Preferred Stock, all of which were converted subsequent to September 30, 2018;</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22,767 shares of common stock issuable upon exercise of the warrants issued to the placement agent in connection with the registered direct offering consummated on January 15, 2019 with an exercise price of $8.125;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29,500 shares of common stock issuable upon exercise of the warrants issued to the placement agent in connection with the registered direct offering consummated on January 17, 2019 with an exercise price of $12.50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250,000 shares of common stock issuable upon exercise, at an exercise price of $10.00 per share, of the warrants to be issued in the private placement, as described under “Private Placement of Warrants”;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12,500 shares of common stock issuable upon exercise of the warrants to be issued to the placement agent in connection with this offering with an exercise price of $12.50 per share.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above illustration of dilution per share to investors participating in this offering also assumes no exercise of (i) the warrants to purchase up to 250,000 shares of common stock, at an exercise price of $10.00, to be issued in the private placement to the purchasers in this offering (see “Private Placement of Warrants” for more information), (ii) the warrants to purchase up to 12,500 shares of common stock, at an exercise price of $12.50, to be issued to the placement agent as compensation in connection with this offering (see “Plan of Distribution” for more information) and (iii) options or other warrants to purchase shares of our common stock. The exercise of any such securities may increase dilution to purchasers in this offering. In addition, depending on market conditions, our capital requirements and strategic considerations, it is likely that we will need to pursue additional equity or convertible debt financings in the near term. Also, we may issue equity or convertible debt securities for other purposes, including, among others, stock splits, acquiring other businesses or assets or in connection with strategic alliances, attracting and retaining employees with equity compensation, anti-takeover purposes or other transactions. To the extent we raise additional capital or pursue any of these other purposes through the sale of equity or convertible debt securities, the issuance of these securities could result in further dilution to our stockholders.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p>
    <w:p>
      <w:pPr>
        <w:sectPr>
          <w:pgSz w:w="11900" w:h="16870" w:orient="portrait"/>
          <w:cols w:equalWidth="0" w:num="1">
            <w:col w:w="11420"/>
          </w:cols>
          <w:pgMar w:left="240" w:top="684" w:right="239" w:bottom="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PRIVATE PLACEMENT OF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private placement, we are selling to purchasers of shares of our common stock in this offering warrants to purchase an aggregate of up to 250,000 shares of our common stock, at a purchase price of $0.125 per share. We expect the private placement will close concurrently with the closing of this offering.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warrants and the shares of common stock issuable upon the exercise of the warrants are not being registered under the Securities Act and are being offered pursuant to the exemption provided in Section 4(a)(2) under the Securities Act and Rule 506(b) promulgated thereunder, and they are not being offered pursuant to this prospectus supplement and the accompanying base prospectus. Accordingly, holders of the warrants may only sell any shares of common stock issued upon exercise of the warrants pursuant to an effective registration statement under the Securities Act covering the resale of those shares, an exemption under Rule 144 promulgated under the Securities Act or another applicable exemption under the Securities Act, and in compliance with all applicable state securities laws.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purchaser in this offering will receive in the private placement warrants to purchase up to 100% of the number of shares of common stock purchased by such purchaser in this offering. The warrants will be immediately exercisable on their date of issuance and will remain exercisable until the one year anniversary of their date of issuance, but not thereafter. The warrants will be exercisable at an exercise price of $10.00 per share, which, along with the number of shares of common stock issuable upon the exercise of the warrants, will be subject to adjustment for stock splits, reverse splits, and similar capital transactions as described in the warrants. A holder of warrants will have the right to exercise the warrants on a “cashless” basis in certain circumstances as described in the warrants. A holder of warrants will not have the right to exercise any portion of its warrants if the holder, together with its affiliates, would beneficially own in excess of either 4.99% or 9.99%, depending on the warrant agreement, of the number of our shares of our common stock outstanding immediately after giving effect to such exercise; provided, however, that upon at least 61 days prior notice to us, a holder may increase or decrease such limitation up to a maximum of 9.99% of the number of shares of common stock outstanding.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1" w:name="page22"/>
    <w:bookmarkEnd w:id="21"/>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engaged H.C. Wainwright &amp; Co., LLC, or Wainwright or the placement agent, to act as our exclusive placement agent to solicit offers to purchase the shares of our common stock offered by this prospectus supplement and the accompanying base prospectus. Wainwright is not purchasing or selling any such shares, nor is it required to arrange for the purchase and sale of any specific number or dollar amount of such shares, other than to use its “reasonable best efforts” to arrange for the sale of such shares by us. Therefore, we may not sell all of the shares of our common stock being offered. The terms of this offering were subject to market conditions and negotiations between us, Wainwright and prospective investors. Wainwright will have no authority to bind us by virtue of the engagement letter. We have entered into securities purchase agreements directly with certain institutional and accredited investors who have agreed to purchase shares of our common stock in this offering. We will only sell to investors who have entered into securities purchase agreements.</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Delivery of the shares of common stock offered hereby is expected to take place on or about January 25, 2019, subject to satisfaction of certain conditions.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agreed to pay the placement agent a total cash fee equal to 7.0% of the aggregate gross proceeds of this offering, and we have also agreed to pay the placement agent a management fee equal to 1.0% of the aggregate gross proceeds of this offering, a non-accountable expense allowance of $70,000, and up to $10,000 for the clearing expenses of the placement agent in connection with this offering and certain other reimbursement amounts payable. In addition, we have agreed to issue to the placement agent, at the closing of this offering, warrants to purchase 5% of the number of shares of our common stock sold in this offering (warrants to purchase up to 12,500 shares of our common stock). Such warrants will have substantially the same terms as the warrants being sold and issued in the private placement, except that the placement agent’s warrants will have an exercise price equal to 125% of the combined offering price per share and private placement warrant ($12.50 per share). Neither the placement agent’s warrants nor the shares of our common stock issuable upon exercise thereof are being registered hereby. Pursuant to Rule 5110(g) of the Financial Industry Regulatory Authority, or FINRA, the placement agent’s warrants and any shares issued upon exercise thereof will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in this offering, except: (i) the transfer of any security by operation of law or by reason of our reorganization; (ii) the transfer of any security to any FINRA member firm participating in the offering and the officers or partners thereof, if all securities so transferred remain subject to the lock-up restriction set forth above for the remainder of the time period; (iii) the transfer of any security if the aggregate amount of our securities held by the placement agent or related persons do not exceed 1% of the securities being offered; (iv) the transfer of any security that is beneficially owned on a pro-rata basis by all equity owners of an investment fund, provided that no participating member manages or otherwise directs investments by the fund and the participating members in the aggregate do not own more than 10% of the equity in the fund; or (v) the exercise or conversion of any security, if all securities remain subject to the lock-up restriction set forth above for the remainder of the time period.</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also granted the placement agent a right of first refusal for a period of twelve months following the closing of this offering to act as sole book-running manager, sole underwriter or sole placement agent for each and every future public offering or private placement of equity or debt securities by us or any of our subsidiaries.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also agreed to pay the placement agent a tail fee equal to the cash and warrant compensation in this offering if any investor which the placement agent contacted or introduced us to during the term of the placement agent’s engagement (other than investors who have a pre-existing relationship with us) provides us with further capital in a public or private offering or capital raising transaction and such offering or transaction is consummated during the six-month period following termination or expiration of that certain engagement letter, dated October 12, 2018, as amended, entered into between us and the placement agent, which has a four-month term.</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estimate the total expenses of this offering paid or payable by us will be approximately $342,500. After deducting the fees due to the placement agent and our estimated expenses in connection with this offering, we expect the net proceeds from this offering will be approximately $2,126,250 million.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sale of our shares of common stock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liabilities under the Securities Act and liabilities arising from breaches of representations and warranties contained in our engagement letter with the placement agent. We have also agreed to contribute to payments the placement agent may be required to make in respect of such liabilities.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will indemnify the purchaser of shares of our common stock in this offering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Wainwright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Wainwright for any further services.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placement agent acted as our placement agent in connection with (i) our registered direct offering that was consummated on January 15, 2019, for which it received compensation, including a cash fee equal to 7.0% of the gross proceeds received by the Company from the sale of securities in such offering, a management fee equal to 1.0% of such gross proceeds, a non-accountable expense allowance of $25,000 for such offering, $75,000 for fees and expenses of legal counsel for such offering and warrants to purchase up to 22,767 shares of our common stock with an exercise price of $8.125 per share; (ii)</w:t>
      </w:r>
    </w:p>
    <w:p>
      <w:pPr>
        <w:sectPr>
          <w:pgSz w:w="11900" w:h="16915" w:orient="portrait"/>
          <w:cols w:equalWidth="0" w:num="1">
            <w:col w:w="11420"/>
          </w:cols>
          <w:pgMar w:left="240" w:top="684" w:right="239" w:bottom="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our registered direct offering that was consummated on January 17, 2019, for which it received compensation, including a cash fee equal to 7.0% of the gross proceeds received by the Company from the sale of securities in such offering, a management fee equal to 1.0% of such gross proceeds, a non-accountable expense allowance of $20,000 for such offering, $50,000 for fees and expenses of legal counsel for such offering and warrants to purchase up to 29,500 shares of our common stock with an exercise price of $12.50 per share; and (iii) the private placement, for which it will receive compensation, including a cash fee equal to 7.0% of the gross proceeds received by the Company from the sale of securities in such offering and a management fee equal to 1.0% of such gross proceeds.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supplement by us will be passed upon for us by Mintz, Levin, Cohn, Ferris, Glovsky and Popeo, P.C., Boston, Massachusetts. Lowenstein Sandler, LLP, New York, New York is acting as counsel for the placement agent in connection with this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2017, and for the year then ended, incorporated by reference in this prospectus supplement and the registration statement of which this prospectus forms a part have been audited by Brightman Almagor Zohar &amp; Co., a Member of Deloitte Touche Tohmatsu Limited, independent registered public accounting firm, as set forth in its report thereon incorporated by reference herein, and are included in reliance upon such reports given on the authority of such firms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maintain a website at www.microbotmedical.com, through which you can access our SEC filings. The information set forth on our website is not part of this prospectus supplement or the accompanying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7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2017 filed with the SEC on April 2, 2018;</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March 31, 2018, June 30, 2018 and September 30, 2018, filed with the SEC on May 15, 2018, August 14, 2018, and November 14, 2018 respectively;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Definitive Proxy Statement on Schedule 14A, filed with the SEC on July 27, 2018;</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and any amendments thereto on Form 8-K/A, filed with the SEC on January 8, 2018, January 31, 2018, March 28, 2018, April 5, 2018, April 16, 2018, September 4, 2018, October 1, 2018, November 19, 2018, November 30, 2018, December 12, 2018, January 14, 2019, January 16, 2019 and January 17, 2019 (in each case, except for information contained therein which is furnished rather than filed); and</w:t>
      </w:r>
    </w:p>
    <w:p>
      <w:pPr>
        <w:spacing w:after="0" w:line="1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owners, to whom a prospectus is delivered, a copy of any or all of the reports or documents that have been incorporated by reference in the prospectus contained in the registration statement but not delivered with the prospectus. We will provide these reports or documents upon written or oral request at no cost to the requester. You should direct any written requests for documents to Microbot Medical Inc. Attn: Chief Financial Officer, 25 Recreation Park Drive, Unit 108, Hingham, Massachusetts 02043. You may also telephone us at (781) 875-3605.</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157480</wp:posOffset>
            </wp:positionV>
            <wp:extent cx="3601720" cy="1431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172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rights or performance of purchase contracts; or any combination of these securities upon the performance of purchase contracts.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March 30, 2017, the last reported sale price of our common stock on The NASDAQ Capital Market was $5.87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deciding whether to invest in our securities, you should consider carefully the risks that we have described on page 3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April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1840" w:type="dxa"/>
            <w:vAlign w:val="bottom"/>
            <w:tcBorders>
              <w:top w:val="single" w:sz="8" w:color="auto"/>
              <w:bottom w:val="single" w:sz="8" w:color="CCEEFF"/>
            </w:tcBorders>
          </w:tcPr>
          <w:p>
            <w:pPr>
              <w:spacing w:after="0"/>
              <w:rPr>
                <w:sz w:val="24"/>
                <w:szCs w:val="24"/>
                <w:color w:val="auto"/>
              </w:rPr>
            </w:pPr>
          </w:p>
        </w:tc>
        <w:tc>
          <w:tcPr>
            <w:tcW w:w="36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tcBorders>
              <w:bottom w:val="single" w:sz="8" w:color="0000EE"/>
            </w:tcBorders>
            <w:gridSpan w:val="7"/>
            <w:shd w:val="clear" w:color="auto" w:fill="CCEEFF"/>
          </w:tcPr>
          <w:p>
            <w:pPr>
              <w:spacing w:after="0" w:line="142" w:lineRule="exact"/>
              <w:rPr>
                <w:rFonts w:ascii="Times New Roman" w:cs="Times New Roman" w:eastAsia="Times New Roman" w:hAnsi="Times New Roman"/>
                <w:sz w:val="16"/>
                <w:szCs w:val="16"/>
                <w:b w:val="1"/>
                <w:bCs w:val="1"/>
                <w:color w:val="0000EE"/>
              </w:rPr>
            </w:pPr>
            <w:hyperlink w:anchor="page28">
              <w:r>
                <w:rPr>
                  <w:rFonts w:ascii="Times New Roman" w:cs="Times New Roman" w:eastAsia="Times New Roman" w:hAnsi="Times New Roman"/>
                  <w:sz w:val="16"/>
                  <w:szCs w:val="16"/>
                  <w:b w:val="1"/>
                  <w:bCs w:val="1"/>
                  <w:color w:val="0000EE"/>
                </w:rPr>
                <w:t>PROSPECTUS SUMMARY</w:t>
              </w:r>
            </w:hyperlink>
          </w:p>
        </w:tc>
        <w:tc>
          <w:tcPr>
            <w:tcW w:w="8080" w:type="dxa"/>
            <w:vAlign w:val="bottom"/>
            <w:tcBorders>
              <w:bottom w:val="single" w:sz="8" w:color="CCEEFF"/>
            </w:tcBorders>
            <w:gridSpan w:val="1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9"/>
          </w:tcPr>
          <w:p>
            <w:pPr>
              <w:spacing w:after="0" w:line="176" w:lineRule="exact"/>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RISK FACTORS</w:t>
              </w:r>
            </w:hyperlink>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9"/>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NOTE REGARDING FORWARD-LOOKING STATEMENTS</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tcBorders>
              <w:top w:val="single" w:sz="8" w:color="0000EE"/>
            </w:tcBorders>
            <w:gridSpan w:val="17"/>
          </w:tcPr>
          <w:p>
            <w:pPr>
              <w:spacing w:after="0" w:line="176" w:lineRule="exact"/>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USE OF PROCEEDS</w:t>
              </w:r>
            </w:hyperlink>
          </w:p>
        </w:tc>
        <w:tc>
          <w:tcPr>
            <w:tcW w:w="5440" w:type="dxa"/>
            <w:vAlign w:val="bottom"/>
            <w:tcBorders>
              <w:top w:val="single" w:sz="8" w:color="CCEEFF"/>
            </w:tcBorders>
            <w:gridSpan w:val="2"/>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19"/>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2">
              <w:r>
                <w:rPr>
                  <w:rFonts w:ascii="Times New Roman" w:cs="Times New Roman" w:eastAsia="Times New Roman" w:hAnsi="Times New Roman"/>
                  <w:sz w:val="18"/>
                  <w:szCs w:val="18"/>
                  <w:b w:val="1"/>
                  <w:bCs w:val="1"/>
                  <w:color w:val="0000EE"/>
                </w:rPr>
                <w:t>PLAN OF DISTRIBUTION</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19"/>
          </w:tcPr>
          <w:p>
            <w:pPr>
              <w:spacing w:after="0" w:line="176" w:lineRule="exact"/>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color w:val="0000EE"/>
                </w:rPr>
                <w:t>DESCRIPTION OF COMMON STOCK</w:t>
              </w:r>
            </w:hyperlink>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9"/>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5">
              <w:r>
                <w:rPr>
                  <w:rFonts w:ascii="Times New Roman" w:cs="Times New Roman" w:eastAsia="Times New Roman" w:hAnsi="Times New Roman"/>
                  <w:sz w:val="18"/>
                  <w:szCs w:val="18"/>
                  <w:b w:val="1"/>
                  <w:bCs w:val="1"/>
                  <w:color w:val="0000EE"/>
                </w:rPr>
                <w:t>DESCRIPTION OF PREFERRED STOCK</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DESCRIPTION OF WARRANTS</w:t>
              </w:r>
            </w:hyperlink>
          </w:p>
        </w:tc>
        <w:tc>
          <w:tcPr>
            <w:tcW w:w="6920" w:type="dxa"/>
            <w:vAlign w:val="bottom"/>
            <w:tcBorders>
              <w:top w:val="single" w:sz="8" w:color="CCEEFF"/>
            </w:tcBorders>
            <w:gridSpan w:val="7"/>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9"/>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9">
              <w:r>
                <w:rPr>
                  <w:rFonts w:ascii="Times New Roman" w:cs="Times New Roman" w:eastAsia="Times New Roman" w:hAnsi="Times New Roman"/>
                  <w:sz w:val="18"/>
                  <w:szCs w:val="18"/>
                  <w:b w:val="1"/>
                  <w:bCs w:val="1"/>
                  <w:color w:val="0000EE"/>
                </w:rPr>
                <w:t>DESCRIPTION OF DEBT SECURITIES</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tcBorders>
              <w:top w:val="single" w:sz="8" w:color="0000EE"/>
            </w:tcBorders>
            <w:gridSpan w:val="11"/>
          </w:tcPr>
          <w:p>
            <w:pPr>
              <w:spacing w:after="0" w:line="176" w:lineRule="exact"/>
              <w:rPr>
                <w:rFonts w:ascii="Times New Roman" w:cs="Times New Roman" w:eastAsia="Times New Roman" w:hAnsi="Times New Roman"/>
                <w:sz w:val="18"/>
                <w:szCs w:val="18"/>
                <w:b w:val="1"/>
                <w:bCs w:val="1"/>
                <w:color w:val="0000EE"/>
              </w:rPr>
            </w:pPr>
            <w:hyperlink w:anchor="page44">
              <w:r>
                <w:rPr>
                  <w:rFonts w:ascii="Times New Roman" w:cs="Times New Roman" w:eastAsia="Times New Roman" w:hAnsi="Times New Roman"/>
                  <w:sz w:val="18"/>
                  <w:szCs w:val="18"/>
                  <w:b w:val="1"/>
                  <w:bCs w:val="1"/>
                  <w:color w:val="0000EE"/>
                </w:rPr>
                <w:t>DESCRIPTION OF RIGHTS</w:t>
              </w:r>
            </w:hyperlink>
          </w:p>
        </w:tc>
        <w:tc>
          <w:tcPr>
            <w:tcW w:w="7060" w:type="dxa"/>
            <w:vAlign w:val="bottom"/>
            <w:tcBorders>
              <w:top w:val="single" w:sz="8" w:color="CCEEFF"/>
            </w:tcBorders>
            <w:gridSpan w:val="8"/>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9"/>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DESCRIPTION OF PURCHASE CONTRACTS</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tcBorders>
              <w:top w:val="single" w:sz="8" w:color="0000EE"/>
            </w:tcBorders>
            <w:gridSpan w:val="13"/>
          </w:tcPr>
          <w:p>
            <w:pPr>
              <w:spacing w:after="0" w:line="176" w:lineRule="exact"/>
              <w:rPr>
                <w:rFonts w:ascii="Times New Roman" w:cs="Times New Roman" w:eastAsia="Times New Roman" w:hAnsi="Times New Roman"/>
                <w:sz w:val="18"/>
                <w:szCs w:val="18"/>
                <w:b w:val="1"/>
                <w:bCs w:val="1"/>
                <w:color w:val="0000EE"/>
              </w:rPr>
            </w:pPr>
            <w:hyperlink w:anchor="page46">
              <w:r>
                <w:rPr>
                  <w:rFonts w:ascii="Times New Roman" w:cs="Times New Roman" w:eastAsia="Times New Roman" w:hAnsi="Times New Roman"/>
                  <w:sz w:val="18"/>
                  <w:szCs w:val="18"/>
                  <w:b w:val="1"/>
                  <w:bCs w:val="1"/>
                  <w:color w:val="0000EE"/>
                </w:rPr>
                <w:t>DESCRIPTION OF UNITS</w:t>
              </w:r>
            </w:hyperlink>
          </w:p>
        </w:tc>
        <w:tc>
          <w:tcPr>
            <w:tcW w:w="6520" w:type="dxa"/>
            <w:vAlign w:val="bottom"/>
            <w:tcBorders>
              <w:top w:val="single" w:sz="8" w:color="CCEEFF"/>
            </w:tcBorders>
            <w:gridSpan w:val="6"/>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b w:val="1"/>
                <w:bCs w:val="1"/>
                <w:color w:val="0000EE"/>
                <w:w w:val="97"/>
              </w:rPr>
            </w:pPr>
            <w:hyperlink w:anchor="page49">
              <w:r>
                <w:rPr>
                  <w:rFonts w:ascii="Times New Roman" w:cs="Times New Roman" w:eastAsia="Times New Roman" w:hAnsi="Times New Roman"/>
                  <w:sz w:val="18"/>
                  <w:szCs w:val="18"/>
                  <w:b w:val="1"/>
                  <w:bCs w:val="1"/>
                  <w:color w:val="0000EE"/>
                  <w:w w:val="97"/>
                </w:rPr>
                <w:t>LEGAL MATTERS</w:t>
              </w:r>
            </w:hyperlink>
          </w:p>
        </w:tc>
        <w:tc>
          <w:tcPr>
            <w:tcW w:w="8720" w:type="dxa"/>
            <w:vAlign w:val="bottom"/>
            <w:tcBorders>
              <w:bottom w:val="single" w:sz="8" w:color="CCEEFF"/>
            </w:tcBorders>
            <w:gridSpan w:val="1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9"/>
          </w:tcPr>
          <w:p>
            <w:pPr>
              <w:spacing w:after="0" w:line="176" w:lineRule="exact"/>
              <w:rPr>
                <w:rFonts w:ascii="Times New Roman" w:cs="Times New Roman" w:eastAsia="Times New Roman" w:hAnsi="Times New Roman"/>
                <w:sz w:val="18"/>
                <w:szCs w:val="18"/>
                <w:b w:val="1"/>
                <w:bCs w:val="1"/>
                <w:color w:val="0000EE"/>
              </w:rPr>
            </w:pPr>
            <w:hyperlink w:anchor="page49">
              <w:r>
                <w:rPr>
                  <w:rFonts w:ascii="Times New Roman" w:cs="Times New Roman" w:eastAsia="Times New Roman" w:hAnsi="Times New Roman"/>
                  <w:sz w:val="18"/>
                  <w:szCs w:val="18"/>
                  <w:b w:val="1"/>
                  <w:bCs w:val="1"/>
                  <w:color w:val="0000EE"/>
                </w:rPr>
                <w:t>EXPERTS</w:t>
              </w:r>
            </w:hyperlink>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b w:val="1"/>
                <w:bCs w:val="1"/>
                <w:color w:val="0000EE"/>
                <w:w w:val="98"/>
              </w:rPr>
            </w:pPr>
            <w:hyperlink w:anchor="page49">
              <w:r>
                <w:rPr>
                  <w:rFonts w:ascii="Times New Roman" w:cs="Times New Roman" w:eastAsia="Times New Roman" w:hAnsi="Times New Roman"/>
                  <w:sz w:val="18"/>
                  <w:szCs w:val="18"/>
                  <w:b w:val="1"/>
                  <w:bCs w:val="1"/>
                  <w:color w:val="0000EE"/>
                  <w:w w:val="98"/>
                </w:rPr>
                <w:t>WHERE YOU CAN FIND MORE INFORMATION</w:t>
              </w:r>
            </w:hyperlink>
          </w:p>
        </w:tc>
        <w:tc>
          <w:tcPr>
            <w:tcW w:w="6240" w:type="dxa"/>
            <w:vAlign w:val="bottom"/>
            <w:tcBorders>
              <w:bottom w:val="single" w:sz="8" w:color="CCEEFF"/>
            </w:tcBorders>
            <w:gridSpan w:val="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9"/>
          </w:tcPr>
          <w:p>
            <w:pPr>
              <w:spacing w:after="0" w:line="176" w:lineRule="exact"/>
              <w:rPr>
                <w:rFonts w:ascii="Times New Roman" w:cs="Times New Roman" w:eastAsia="Times New Roman" w:hAnsi="Times New Roman"/>
                <w:sz w:val="18"/>
                <w:szCs w:val="18"/>
                <w:b w:val="1"/>
                <w:bCs w:val="1"/>
                <w:color w:val="0000EE"/>
              </w:rPr>
            </w:pPr>
            <w:hyperlink w:anchor="page49">
              <w:r>
                <w:rPr>
                  <w:rFonts w:ascii="Times New Roman" w:cs="Times New Roman" w:eastAsia="Times New Roman" w:hAnsi="Times New Roman"/>
                  <w:sz w:val="18"/>
                  <w:szCs w:val="18"/>
                  <w:b w:val="1"/>
                  <w:bCs w:val="1"/>
                  <w:color w:val="0000EE"/>
                </w:rPr>
                <w:t>INCORPORATION OF DOCUMENTS BY REFERENCE</w:t>
              </w:r>
            </w:hyperlink>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utilizing a “shelf” registration process. Under this shelf process, we may sell different types of securities described in this prospectus, either individually or in units, in one or more offerings, up to a total value of $75,000,000. This prospectus provides you with a general description of the securities we may offer. Each time we offer securities, we will provide a prospectus supplement that will contain specific information about the terms of that offering.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both this prospectus and any prospectus supplement, including all documents incorporated herein by reference, together with additional information described under the headings “Where You Can Find More Information” and “Incorporation of Documents by Reference.”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does not contain all of the information that is in the registration statement. We omitted certain parts of the registration statement from this prospectus as permitted by the SEC. We refer you to the registration statement and its exhibits for additional information about us and the securities that may be sold under this prospectus.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is not permitted. The information contained in this prospectus is accurate only as of the date of this prospectus, regardless of the time of delivery of this prospectus or the time of any sale of our securities. Our business, financial condition, results of operations, and prospects may have changed since such date.</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allocated risk among the parties to such agreements, and should not be deemed to be a representation, warranty or covenant to you. Moreoever, such representations, warranties or covenants were accurate only as of the date when made. Accordingly, such representations, warranties and covenants should not be relied on as accurately representing the current state of our affairs.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3,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conditions, as well as adversely affect the value of an investment in our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currently developing our first two product candidates: the Self Cleaning Shunt, or SCS, for the treatment of hydrocephalus and Normal Pressure Hydrocephalus, or NPH; and TipCAT, a self-propelling, semi-disposable endoscope that is being developed initially for use in colonoscopy procedures. Our product candidates are being designed to bring greater functionality to conventional medical devices and to reduce the known risks associated with such devices. We are currently planning to complete pre-clinical studies required for regulatory submission for both product candidates within the next 24 months.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Microbot currently holds an intellectual property portfolio that comprises nine patent families, which include nine patents granted in the United States, twelve patents granted outside the United States, and 15 patent applications pending worldwide. We have an exclusive license to key components of our technology.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 Annual Report on Form 10-K for the year ended December 31, 2016 as described under the caption “Incorporation of Documents by Reference” on page 22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8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Our principal executive offices are located at 25 Recreation Park Drive, Unit 108, Hingham, Massachusetts 02043. Microbot also has a principal executive office at 5 Hamada Street,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Floor, Yokneam, Israel. Our telephone number is (908) 938-5561.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shares of our common stock and preferred stock, various series of debt securities and/or warrants,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conversion terms,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debt securities and/or preference equity securities under this prospectus, then we will, if required at that time, provide a ratio of earnings to fixed charges and/or ratio of combined fixed charges and preference dividends to earnings, respectively, in the applicable prospectus supplement for such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or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and other general corporate purposes, which may include, but are not limited to, working capital, intellectual property protection and enforcement, capital expenditures, repayment of indebtedness, investments, acquisitions and collaborations.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 Additional information on the use of proceeds from the sale of securities offered by this prospectus may be set forth in the prospectus supplement relating to that offering.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sell securities in any of the ways described below, including any combination thereof:</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agents;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 to a single purchaser.</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 and the proceeds to us and any discounts, commissions or concessions allowed or reallowed or paid to dealers;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 may be changed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Only the underwriters, dealers or agents named in the prospectus supplement are underwriters, dealers or agents in connection with the securities being offered.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be subject only to those conditions set forth in the prospectus supplement, and the prospectus supplement will set forth any commissions we pay for solicitation of these contracts.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Agents, underwriters and other third parties described above may be entitled to indemnification by us against certain civil liabilities, including liabilities under the Securities Act,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the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The prospectus supplement will identify any remarketing firm and describe the terms of its agreement, if any, with us and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of the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Shares of our common stock sold pursuant to the registration statement of which the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The securities may be new issues of securities and may have no established trading market. The securities may or may not be listed on a national securities exchange. Underwriters may make a market in these securities, but will not be obligated to do so and may discontinue any market making at any time without notice. We can make no assurance as to the liquidity of, or the existence, development or maintenance of trading markets for, any of the securities.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persons participating in this offering may engage in transactions that stabilize, maintain or otherwise affect the price of the securities. This may include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authorized to issue 220,000,000 shares of common stock, par value $0.01 per share. As of March 31, 2017 we had 27,251,333 shares of common stock issued and outstanding and approximately 245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“MBOT.”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authority to issue 1,000,000 shares of preferred stock, par value $0.01 per share. As of March 31, 2017 we had 9,736 shares of Series A Convertible Preferred Stock issued and outstanding. As of the date of this prospectus, no other shares of our preferred stock were outstanding or designated.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 the liquidation preference per share and 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such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the affairs of the Company;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5" w:name="page36"/>
    <w:bookmarkEnd w:id="3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preferred stock offered by this prospectus will, when issued, be fully paid and nonassessable and will not have, or be subject to, any preemptive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16, 2016, we filed the Certificate of Designation of Preferences, Rights and Limitations of Series A Convertible Preferred Stock, or the Series A Certificate of Designation, with the Secretary of State of the State of Delaware, establishing and designating the series A preferred stock. Each share of series A preferred stock is convertible, at any time at the option of the holder thereof, into 1,000 shares of common stock, subject to certain adjustments and subject to the ownership limitation described below. The series A preferred stock has no sinking provisions, dividend rights, liquidation preference or other preferences over Common Stock and has no voting rights except as provided in the Series A Certificate of Designation or as otherwise required by law.</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series A preferred stock contains limitations that prevent the holder from acquiring shares upon conversion of shares of series A preferred stock that would result in the number of shares beneficially owned by the holder and its affiliates exceeding 4.99% of the total number of shares of our common stock then issued and outstanding, which limitation may be increased to 9.99% at the option of the holder. In addition, upon certain changes in control of Microbot, holders of shares of series A preferred stock can elect to receive, subject to certain limitations and assumptions, securities in a successor entity equal to the value of the holders’ series A preferred stock, or if holders of common stock are given a choice of cash or property, then cash or property equal to the value of the holder’s outstanding series A preferred stock.</w:t>
      </w:r>
    </w:p>
    <w:p>
      <w:pPr>
        <w:spacing w:after="0" w:line="18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2017 we had 9,736 shares of Series A Convertible Preferred Stock issued and outstanding and no shares of series A preferred stock are available for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series or class of preferred stock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and a description of that series of our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2017, we had outstanding:</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9,279 shares of our common stock at an exercise price of $2.70 per share, which are exercisable through March 14, 2018;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41,116 shares of our common stock at an exercise price of $2.70 per share, which are exercisable through March 14,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10,139 shares of our common stock at an exercise price of $91.80 per share, which are exercisable through April 30, 2020;</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57,814 shares of our common stock at an exercise price of $194.40 per share, which are exercisable through October 7, 2018;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2,718 shares of our common stock at an exercise price of $183.60 per share, which are exercisable through April 9,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on any material or special U.S. federal income tax considerations applicable to a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90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0" w:name="page41"/>
    <w:bookmarkEnd w:id="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preferred stock or other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stockholders are entitled to oversubscription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purchase contracts in respect of which this prospectus is being delivered, including, to the extent applicable,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one or more debt securities, warrants, rights or purchase contracts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AND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proposals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stockholder vote required for certain 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Delaware General Corporation Law against all expense, liability and loss (including attorneys’ fees, judgments, fines, ERISA excise taxes or penalties and amounts paid in settlement) reasonably incurred or suffered by such.</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Delaware General Corporation Law,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8" w:name="page49"/>
    <w:bookmarkEnd w:id="4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by us will be passed upon for us by Mintz, Levin, Cohn, Ferris, Glovsky and Popeo, P.C., Boston, Massachusetts.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appearing it its Annual Report on Form 10-K for the year ended December 31, 2016, have been audited by Brightman Almagor Zohar &amp; Co., a Member of Deloitte Touche Tohmatsu Limited, independent registered public accounting firm, as set forth in their report thereon, including therein, and incorporated herein by reference. Such consolidated financial statements are incorporated herein by reference in reliance upon such report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2016 filed with the SEC on March 21, 2017;</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and Form 8-K/A, filed with the SEC (except for the information furnished under Items 2.02 or 7.01 and the exhibits furnished thereto) on: January 4, 2017; January 4, 2017; January 5, 2017; January 6, 2017; January 30, 2017; February 2, 2017; February 6, 2017; February 7, 2017; February 24, 2017; and March 15, 2017;</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1855470</wp:posOffset>
            </wp:positionH>
            <wp:positionV relativeFrom="page">
              <wp:posOffset>448945</wp:posOffset>
            </wp:positionV>
            <wp:extent cx="3858895" cy="1431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3858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MICROBOT MEDICAL INC.</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157480</wp:posOffset>
            </wp:positionV>
            <wp:extent cx="18097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457200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2019-12-05T00:20:57Z</dcterms:created>
  <dcterms:modified xsi:type="dcterms:W3CDTF">2019-12-05T00:20:57Z</dcterms:modified>
</cp:coreProperties>
</file>