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30,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19"/>
                <w:szCs w:val="19"/>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33"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On June 30, 2025, Microbot Medical Inc. issued a press release announcing that it was added as a member of the Russell Microcap</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Index, effective on June 30, 2025 when the U.S. equity markets open.</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1014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Added to the Russell Microcap</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Index</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Automatic inclusion in the appropriate growth and value style indexes</w:t>
      </w:r>
    </w:p>
    <w:p>
      <w:pPr>
        <w:spacing w:after="0" w:line="231"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18"/>
          <w:szCs w:val="18"/>
          <w:b w:val="1"/>
          <w:bCs w:val="1"/>
          <w:color w:val="auto"/>
        </w:rPr>
        <w:t xml:space="preserve">HINGHAM, Mass., June 30, 2025 </w:t>
      </w:r>
      <w:r>
        <w:rPr>
          <w:rFonts w:ascii="Times New Roman" w:cs="Times New Roman" w:eastAsia="Times New Roman" w:hAnsi="Times New Roman"/>
          <w:sz w:val="18"/>
          <w:szCs w:val="18"/>
          <w:color w:val="auto"/>
        </w:rPr>
        <w:t>— Microbot Medical Inc. (Nasdaq: MBOT), developer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 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it was added as a member of the Russell Microcap</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Index. Microbot Medical’s addition will be effective today when the U.S. equity markets open.</w:t>
      </w:r>
    </w:p>
    <w:p>
      <w:pPr>
        <w:spacing w:after="0" w:line="20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“Inclusion in the Russell Microcap</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Index marks another important milestone for Microbot Medical. It reflects the strong execution of our team and the momentum we have built, including our ongoing interaction with the FDA on our 510(k) submission for LIBERTY,” commented Harel Gadot, Chairman, CEO and President. “As we continue to prepare for our anticipated Q3 launch, we are focused on strengthening our operational and commercial infrastructure to ensure success. Being in the index, and the appropriate growth and value style indexes, enhances our visibility at a pivotal time, and we look forward to continued progress in the months ahead.”</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annual Russell US Indexes reconstitution captures the 4,000 largest US stocks as of Wednesday, April 30th, ranking them by total market capitalization. Membership in the Russell Microcap</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Index, which remains in place for one year, means automatic inclusion in the appropriate growth and value style indexes. FTSE Russell determines membership for its Russell indexes primarily by objective, market-capitalization rankings and style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Russell indexes are widely used by investment managers and institutional investors for index funds and as benchmarks for active investment strategies. Russell’s US indexes serve as the benchmark for about $10.6 trillion in assets as of the close of June 2024. Russell indexes are part of FTSE Russell, the global index provider.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LIBERTY is an investigational device pending FDA 510(k) clearance, and is currently not available for sale in the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pre-commercial stage medical technology company with a vision to redefine endovascular robotics and improve the quality of care for millions of patients and providers globally. The Company has developed the world’s first single-use, fully disposable endovascular robotic system, which aims to eliminate traditional barriers to accessing advanced robotic systems.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about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 without limitation, the Company’s need for and ability to obtain additional working capital to continue its transition to a commercially focused company, market conditions, risks inherent in the development and/or commercialization of the LIBERTY Endovascular Robotic System, uncertainty in the results of regulatory pathways and regulatory approvals, including whether the FDA will timely grant 510(k) clearance to commercially market the LIBERTY Endovascular Robotic System in the United States if at all,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 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w:t>
      </w:r>
    </w:p>
    <w:p>
      <w:pPr>
        <w:spacing w:after="0" w:line="10"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 xml:space="preserve">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2025-06-30T07:32:59Z</dcterms:created>
  <dcterms:modified xsi:type="dcterms:W3CDTF">2025-06-30T07:32:59Z</dcterms:modified>
</cp:coreProperties>
</file>