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980" w:hanging="611"/>
        <w:spacing w:after="0"/>
        <w:tabs>
          <w:tab w:leader="none" w:pos="9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ind w:left="980" w:right="1060" w:hanging="591"/>
        <w:spacing w:after="0" w:line="500" w:lineRule="auto"/>
        <w:tabs>
          <w:tab w:leader="none" w:pos="-239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Arial" w:cs="Arial" w:eastAsia="Arial" w:hAnsi="Arial"/>
          <w:sz w:val="18"/>
          <w:szCs w:val="18"/>
          <w:b w:val="1"/>
          <w:bCs w:val="1"/>
          <w:color w:val="auto"/>
        </w:rPr>
      </w:pPr>
    </w:p>
    <w:p>
      <w:pPr>
        <w:ind w:left="4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ind w:left="200"/>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53"/>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91"/>
              </w:rPr>
              <w:t>Title of Each Class</w:t>
            </w:r>
          </w:p>
        </w:tc>
        <w:tc>
          <w:tcPr>
            <w:tcW w:w="2840" w:type="dxa"/>
            <w:vAlign w:val="bottom"/>
            <w:gridSpan w:val="2"/>
          </w:tcPr>
          <w:p>
            <w:pPr>
              <w:jc w:val="center"/>
              <w:ind w:right="980"/>
              <w:spacing w:after="0"/>
              <w:rPr>
                <w:sz w:val="20"/>
                <w:szCs w:val="20"/>
                <w:color w:val="auto"/>
              </w:rPr>
            </w:pPr>
            <w:r>
              <w:rPr>
                <w:rFonts w:ascii="Arial" w:cs="Arial" w:eastAsia="Arial" w:hAnsi="Arial"/>
                <w:sz w:val="18"/>
                <w:szCs w:val="18"/>
                <w:color w:val="auto"/>
                <w:w w:val="91"/>
              </w:rPr>
              <w:t>Trading Symbol(s)</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8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3460" w:space="720"/>
            <w:col w:w="7060"/>
          </w:cols>
          <w:pgMar w:left="320" w:top="746" w:right="339" w:bottom="1440" w:gutter="0" w:footer="0" w:header="0"/>
          <w:type w:val="continuous"/>
        </w:sectPr>
      </w:pPr>
    </w:p>
    <w:p>
      <w:pPr>
        <w:spacing w:after="0" w:line="3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3460" w:space="720"/>
            <w:col w:w="2880" w:space="720"/>
            <w:col w:w="3460"/>
          </w:cols>
          <w:pgMar w:left="320" w:top="746" w:right="339" w:bottom="1440" w:gutter="0" w:footer="0" w:header="0"/>
          <w:type w:val="continuous"/>
        </w:sectPr>
      </w:pPr>
    </w:p>
    <w:p>
      <w:pPr>
        <w:spacing w:after="0" w:line="37"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7,103,260 shares of Common Stock, $0.01 par value at May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0" w:type="dxa"/>
            <w:vAlign w:val="bottom"/>
          </w:tcPr>
          <w:p>
            <w:pPr>
              <w:ind w:left="3580"/>
              <w:spacing w:after="0"/>
              <w:rPr>
                <w:sz w:val="20"/>
                <w:szCs w:val="20"/>
                <w:color w:val="auto"/>
              </w:rPr>
            </w:pPr>
            <w:r>
              <w:rPr>
                <w:rFonts w:ascii="Arial" w:cs="Arial" w:eastAsia="Arial" w:hAnsi="Arial"/>
                <w:sz w:val="18"/>
                <w:szCs w:val="18"/>
                <w:b w:val="1"/>
                <w:bCs w:val="1"/>
                <w:color w:val="auto"/>
              </w:rPr>
              <w:t>MICROBOT MEDICAL INC. AND SUBSIDIARIES</w:t>
            </w:r>
          </w:p>
        </w:tc>
        <w:tc>
          <w:tcPr>
            <w:tcW w:w="1240" w:type="dxa"/>
            <w:vAlign w:val="bottom"/>
          </w:tcPr>
          <w:p>
            <w:pPr>
              <w:spacing w:after="0"/>
              <w:rPr>
                <w:sz w:val="20"/>
                <w:szCs w:val="20"/>
                <w:color w:val="auto"/>
              </w:rPr>
            </w:pPr>
          </w:p>
        </w:tc>
      </w:tr>
      <w:tr>
        <w:trPr>
          <w:trHeight w:val="432"/>
        </w:trPr>
        <w:tc>
          <w:tcPr>
            <w:tcW w:w="10000" w:type="dxa"/>
            <w:vAlign w:val="bottom"/>
          </w:tcPr>
          <w:p>
            <w:pPr>
              <w:ind w:left="5420"/>
              <w:spacing w:after="0"/>
              <w:rPr>
                <w:sz w:val="20"/>
                <w:szCs w:val="20"/>
                <w:color w:val="auto"/>
              </w:rPr>
            </w:pPr>
            <w:r>
              <w:rPr>
                <w:rFonts w:ascii="Arial" w:cs="Arial" w:eastAsia="Arial" w:hAnsi="Arial"/>
                <w:sz w:val="18"/>
                <w:szCs w:val="18"/>
                <w:color w:val="auto"/>
              </w:rPr>
              <w:t>Index</w:t>
            </w:r>
          </w:p>
        </w:tc>
        <w:tc>
          <w:tcPr>
            <w:tcW w:w="1240" w:type="dxa"/>
            <w:vAlign w:val="bottom"/>
          </w:tcPr>
          <w:p>
            <w:pPr>
              <w:spacing w:after="0"/>
              <w:rPr>
                <w:sz w:val="24"/>
                <w:szCs w:val="24"/>
                <w:color w:val="auto"/>
              </w:rPr>
            </w:pPr>
          </w:p>
        </w:tc>
      </w:tr>
      <w:tr>
        <w:trPr>
          <w:trHeight w:val="216"/>
        </w:trPr>
        <w:tc>
          <w:tcPr>
            <w:tcW w:w="10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24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Item 1 - Financial Statements</w:t>
            </w:r>
          </w:p>
        </w:tc>
        <w:tc>
          <w:tcPr>
            <w:tcW w:w="1240" w:type="dxa"/>
            <w:vAlign w:val="bottom"/>
          </w:tcPr>
          <w:p>
            <w:pPr>
              <w:spacing w:after="0"/>
              <w:rPr>
                <w:sz w:val="18"/>
                <w:szCs w:val="18"/>
                <w:color w:val="auto"/>
              </w:rPr>
            </w:pPr>
          </w:p>
        </w:tc>
      </w:tr>
      <w:tr>
        <w:trPr>
          <w:trHeight w:val="216"/>
        </w:trPr>
        <w:tc>
          <w:tcPr>
            <w:tcW w:w="1000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Balance Sheets as of March 31, 2020 (unaudited) and December 31, 2019 (audited)</w:t>
              </w:r>
            </w:hyperlink>
          </w:p>
        </w:tc>
        <w:tc>
          <w:tcPr>
            <w:tcW w:w="12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1</w:t>
            </w:r>
          </w:p>
        </w:tc>
      </w:tr>
      <w:tr>
        <w:trPr>
          <w:trHeight w:val="216"/>
        </w:trPr>
        <w:tc>
          <w:tcPr>
            <w:tcW w:w="1000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Interim Consolidated Statements of Operations for the Three Months Ended March 31, 2020 and 2019 (unaudited)</w:t>
              </w:r>
            </w:hyperlink>
          </w:p>
        </w:tc>
        <w:tc>
          <w:tcPr>
            <w:tcW w:w="1240" w:type="dxa"/>
            <w:vAlign w:val="bottom"/>
          </w:tcPr>
          <w:p>
            <w:pPr>
              <w:jc w:val="center"/>
              <w:ind w:left="510"/>
              <w:spacing w:after="0"/>
              <w:rPr>
                <w:sz w:val="20"/>
                <w:szCs w:val="20"/>
                <w:color w:val="auto"/>
              </w:rPr>
            </w:pPr>
            <w:r>
              <w:rPr>
                <w:rFonts w:ascii="Arial" w:cs="Arial" w:eastAsia="Arial" w:hAnsi="Arial"/>
                <w:sz w:val="18"/>
                <w:szCs w:val="18"/>
                <w:color w:val="auto"/>
                <w:w w:val="79"/>
              </w:rPr>
              <w:t>2</w:t>
            </w:r>
          </w:p>
        </w:tc>
      </w:tr>
      <w:tr>
        <w:trPr>
          <w:trHeight w:val="216"/>
        </w:trPr>
        <w:tc>
          <w:tcPr>
            <w:tcW w:w="1000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Interim Consolidated Statements of Comprehensive Loss for the Three Months Ended March 31, 2020 and 2019 (unaudited)</w:t>
              </w:r>
            </w:hyperlink>
          </w:p>
        </w:tc>
        <w:tc>
          <w:tcPr>
            <w:tcW w:w="12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3</w:t>
            </w:r>
          </w:p>
        </w:tc>
      </w:tr>
      <w:tr>
        <w:trPr>
          <w:trHeight w:val="216"/>
        </w:trPr>
        <w:tc>
          <w:tcPr>
            <w:tcW w:w="1000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Interim Consolidated Statements of Shareholders’ Equity as of March 31, 2020 (unaudited) and 2019 (unaudited)</w:t>
              </w:r>
            </w:hyperlink>
          </w:p>
        </w:tc>
        <w:tc>
          <w:tcPr>
            <w:tcW w:w="1240" w:type="dxa"/>
            <w:vAlign w:val="bottom"/>
          </w:tcPr>
          <w:p>
            <w:pPr>
              <w:jc w:val="center"/>
              <w:ind w:left="510"/>
              <w:spacing w:after="0"/>
              <w:rPr>
                <w:sz w:val="20"/>
                <w:szCs w:val="20"/>
                <w:color w:val="auto"/>
              </w:rPr>
            </w:pPr>
            <w:r>
              <w:rPr>
                <w:rFonts w:ascii="Arial" w:cs="Arial" w:eastAsia="Arial" w:hAnsi="Arial"/>
                <w:sz w:val="18"/>
                <w:szCs w:val="18"/>
                <w:color w:val="auto"/>
                <w:w w:val="79"/>
              </w:rPr>
              <w:t>4</w:t>
            </w:r>
          </w:p>
        </w:tc>
      </w:tr>
      <w:tr>
        <w:trPr>
          <w:trHeight w:val="216"/>
        </w:trPr>
        <w:tc>
          <w:tcPr>
            <w:tcW w:w="1000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Interim Consolidated Statements of Cash Flows for the Three Months Ended March 31, 2020 and 2019 (unaudited)</w:t>
              </w:r>
            </w:hyperlink>
          </w:p>
        </w:tc>
        <w:tc>
          <w:tcPr>
            <w:tcW w:w="12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79"/>
              </w:rPr>
              <w:t>5</w:t>
            </w:r>
          </w:p>
        </w:tc>
      </w:tr>
      <w:tr>
        <w:trPr>
          <w:trHeight w:val="216"/>
        </w:trPr>
        <w:tc>
          <w:tcPr>
            <w:tcW w:w="1000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Consolidated Financial Statements</w:t>
              </w:r>
            </w:hyperlink>
          </w:p>
        </w:tc>
        <w:tc>
          <w:tcPr>
            <w:tcW w:w="1240" w:type="dxa"/>
            <w:vAlign w:val="bottom"/>
          </w:tcPr>
          <w:p>
            <w:pPr>
              <w:jc w:val="center"/>
              <w:ind w:left="510"/>
              <w:spacing w:after="0"/>
              <w:rPr>
                <w:sz w:val="20"/>
                <w:szCs w:val="20"/>
                <w:color w:val="auto"/>
              </w:rPr>
            </w:pPr>
            <w:r>
              <w:rPr>
                <w:rFonts w:ascii="Arial" w:cs="Arial" w:eastAsia="Arial" w:hAnsi="Arial"/>
                <w:sz w:val="18"/>
                <w:szCs w:val="18"/>
                <w:color w:val="auto"/>
                <w:w w:val="79"/>
              </w:rPr>
              <w:t>6</w:t>
            </w:r>
          </w:p>
        </w:tc>
      </w:tr>
      <w:tr>
        <w:trPr>
          <w:trHeight w:val="216"/>
        </w:trPr>
        <w:tc>
          <w:tcPr>
            <w:tcW w:w="1000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 Management’s Discussion and Analysis of Financial Condition and Results of Operations</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19</w:t>
            </w:r>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3 - Quantitative and Qualitative Disclosures About Market Risk</w:t>
              </w:r>
            </w:hyperlink>
          </w:p>
        </w:tc>
        <w:tc>
          <w:tcPr>
            <w:tcW w:w="1240" w:type="dxa"/>
            <w:vAlign w:val="bottom"/>
          </w:tcPr>
          <w:p>
            <w:pPr>
              <w:jc w:val="center"/>
              <w:ind w:left="490"/>
              <w:spacing w:after="0"/>
              <w:rPr>
                <w:sz w:val="20"/>
                <w:szCs w:val="20"/>
                <w:color w:val="auto"/>
              </w:rPr>
            </w:pPr>
            <w:r>
              <w:rPr>
                <w:rFonts w:ascii="Arial" w:cs="Arial" w:eastAsia="Arial" w:hAnsi="Arial"/>
                <w:sz w:val="18"/>
                <w:szCs w:val="18"/>
                <w:color w:val="auto"/>
                <w:w w:val="89"/>
              </w:rPr>
              <w:t>24</w:t>
            </w:r>
          </w:p>
        </w:tc>
      </w:tr>
      <w:tr>
        <w:trPr>
          <w:trHeight w:val="216"/>
        </w:trPr>
        <w:tc>
          <w:tcPr>
            <w:tcW w:w="1000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4 - Controls and Procedures</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25</w:t>
            </w:r>
          </w:p>
        </w:tc>
      </w:tr>
      <w:tr>
        <w:trPr>
          <w:trHeight w:val="216"/>
        </w:trPr>
        <w:tc>
          <w:tcPr>
            <w:tcW w:w="1000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12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1 - Legal Proceedings</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25</w:t>
            </w:r>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 Unregistered Sales of Equity Securities and Use of Proceeds</w:t>
              </w:r>
            </w:hyperlink>
          </w:p>
        </w:tc>
        <w:tc>
          <w:tcPr>
            <w:tcW w:w="1240" w:type="dxa"/>
            <w:vAlign w:val="bottom"/>
          </w:tcPr>
          <w:p>
            <w:pPr>
              <w:jc w:val="center"/>
              <w:ind w:left="490"/>
              <w:spacing w:after="0"/>
              <w:rPr>
                <w:sz w:val="20"/>
                <w:szCs w:val="20"/>
                <w:color w:val="auto"/>
              </w:rPr>
            </w:pPr>
            <w:r>
              <w:rPr>
                <w:rFonts w:ascii="Arial" w:cs="Arial" w:eastAsia="Arial" w:hAnsi="Arial"/>
                <w:sz w:val="18"/>
                <w:szCs w:val="18"/>
                <w:color w:val="auto"/>
                <w:w w:val="89"/>
              </w:rPr>
              <w:t>26</w:t>
            </w:r>
          </w:p>
        </w:tc>
      </w:tr>
      <w:tr>
        <w:trPr>
          <w:trHeight w:val="216"/>
        </w:trPr>
        <w:tc>
          <w:tcPr>
            <w:tcW w:w="1000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 Defaults Upon Senior Securities</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27</w:t>
            </w:r>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4 - Mine Safety Disclosures</w:t>
              </w:r>
            </w:hyperlink>
          </w:p>
        </w:tc>
        <w:tc>
          <w:tcPr>
            <w:tcW w:w="1240" w:type="dxa"/>
            <w:vAlign w:val="bottom"/>
          </w:tcPr>
          <w:p>
            <w:pPr>
              <w:jc w:val="center"/>
              <w:ind w:left="490"/>
              <w:spacing w:after="0"/>
              <w:rPr>
                <w:sz w:val="20"/>
                <w:szCs w:val="20"/>
                <w:color w:val="auto"/>
              </w:rPr>
            </w:pPr>
            <w:r>
              <w:rPr>
                <w:rFonts w:ascii="Arial" w:cs="Arial" w:eastAsia="Arial" w:hAnsi="Arial"/>
                <w:sz w:val="18"/>
                <w:szCs w:val="18"/>
                <w:color w:val="auto"/>
                <w:w w:val="89"/>
              </w:rPr>
              <w:t>27</w:t>
            </w:r>
          </w:p>
        </w:tc>
      </w:tr>
      <w:tr>
        <w:trPr>
          <w:trHeight w:val="216"/>
        </w:trPr>
        <w:tc>
          <w:tcPr>
            <w:tcW w:w="1000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5 - Other Information</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27</w:t>
            </w:r>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 Exhibits</w:t>
              </w:r>
            </w:hyperlink>
          </w:p>
        </w:tc>
        <w:tc>
          <w:tcPr>
            <w:tcW w:w="1240" w:type="dxa"/>
            <w:vAlign w:val="bottom"/>
          </w:tcPr>
          <w:p>
            <w:pPr>
              <w:jc w:val="center"/>
              <w:ind w:left="490"/>
              <w:spacing w:after="0"/>
              <w:rPr>
                <w:sz w:val="20"/>
                <w:szCs w:val="20"/>
                <w:color w:val="auto"/>
              </w:rPr>
            </w:pPr>
            <w:r>
              <w:rPr>
                <w:rFonts w:ascii="Arial" w:cs="Arial" w:eastAsia="Arial" w:hAnsi="Arial"/>
                <w:sz w:val="18"/>
                <w:szCs w:val="18"/>
                <w:color w:val="auto"/>
                <w:w w:val="89"/>
              </w:rPr>
              <w:t>27</w:t>
            </w:r>
          </w:p>
        </w:tc>
      </w:tr>
      <w:tr>
        <w:trPr>
          <w:trHeight w:val="216"/>
        </w:trPr>
        <w:tc>
          <w:tcPr>
            <w:tcW w:w="1000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Signatures</w:t>
              </w:r>
            </w:hyperlink>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19"/>
                <w:szCs w:val="19"/>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As of</w:t>
            </w:r>
          </w:p>
        </w:tc>
      </w:tr>
      <w:tr>
        <w:trPr>
          <w:trHeight w:val="237"/>
        </w:trPr>
        <w:tc>
          <w:tcPr>
            <w:tcW w:w="6140" w:type="dxa"/>
            <w:vAlign w:val="bottom"/>
          </w:tcPr>
          <w:p>
            <w:pPr>
              <w:spacing w:after="0"/>
              <w:rPr>
                <w:sz w:val="20"/>
                <w:szCs w:val="20"/>
                <w:color w:val="auto"/>
              </w:rPr>
            </w:pPr>
          </w:p>
        </w:tc>
        <w:tc>
          <w:tcPr>
            <w:tcW w:w="1280" w:type="dxa"/>
            <w:vAlign w:val="bottom"/>
            <w:gridSpan w:val="2"/>
          </w:tcPr>
          <w:p>
            <w:pPr>
              <w:jc w:val="center"/>
              <w:ind w:right="187"/>
              <w:spacing w:after="0"/>
              <w:rPr>
                <w:sz w:val="20"/>
                <w:szCs w:val="20"/>
                <w:color w:val="auto"/>
              </w:rPr>
            </w:pPr>
            <w:r>
              <w:rPr>
                <w:rFonts w:ascii="Arial" w:cs="Arial" w:eastAsia="Arial" w:hAnsi="Arial"/>
                <w:sz w:val="18"/>
                <w:szCs w:val="18"/>
                <w:color w:val="auto"/>
                <w:w w:val="89"/>
              </w:rPr>
              <w:t>Notes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March 31, 2020</w:t>
            </w:r>
          </w:p>
        </w:tc>
        <w:tc>
          <w:tcPr>
            <w:tcW w:w="140" w:type="dxa"/>
            <w:vAlign w:val="bottom"/>
          </w:tcPr>
          <w:p>
            <w:pPr>
              <w:spacing w:after="0"/>
              <w:rPr>
                <w:sz w:val="20"/>
                <w:szCs w:val="20"/>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31, 2019</w:t>
            </w: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3"/>
              </w:rPr>
              <w:t>(Unaudited)</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(Audited)</w:t>
            </w:r>
          </w:p>
        </w:tc>
        <w:tc>
          <w:tcPr>
            <w:tcW w:w="100" w:type="dxa"/>
            <w:vAlign w:val="bottom"/>
            <w:gridSpan w:val="2"/>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28,771</w:t>
            </w: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Marketable security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CEEFF"/>
          </w:tcPr>
          <w:p>
            <w:pPr>
              <w:spacing w:after="0"/>
              <w:rPr>
                <w:sz w:val="18"/>
                <w:szCs w:val="18"/>
                <w:color w:val="auto"/>
              </w:rPr>
            </w:pP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r>
      <w:tr>
        <w:trPr>
          <w:trHeight w:val="216"/>
        </w:trPr>
        <w:tc>
          <w:tcPr>
            <w:tcW w:w="6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0"/>
                <w:szCs w:val="20"/>
                <w:color w:val="auto"/>
              </w:rPr>
            </w:pPr>
          </w:p>
        </w:tc>
      </w:tr>
      <w:tr>
        <w:trPr>
          <w:trHeight w:val="229"/>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Provision for extinguishment dispute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r>
      <w:tr>
        <w:trPr>
          <w:trHeight w:val="216"/>
        </w:trPr>
        <w:tc>
          <w:tcPr>
            <w:tcW w:w="6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 current liabilities: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r>
      <w:tr>
        <w:trPr>
          <w:trHeight w:val="223"/>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$001 par value; 60,000,000 shares authorized as of March 31,</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2020 and December 31, 2019 7,103,260 and 7,185,628 shares issued and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2020 and December 31, 2019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66,923</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69,954</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(37,316)</w:t>
            </w:r>
          </w:p>
        </w:tc>
        <w:tc>
          <w:tcPr>
            <w:tcW w:w="1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(35,111)</w:t>
            </w:r>
          </w:p>
        </w:tc>
      </w:tr>
      <w:tr>
        <w:trPr>
          <w:trHeight w:val="236"/>
        </w:trPr>
        <w:tc>
          <w:tcPr>
            <w:tcW w:w="6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6"/>
          </w:tcPr>
          <w:p>
            <w:pPr>
              <w:jc w:val="right"/>
              <w:ind w:right="940"/>
              <w:spacing w:after="0"/>
              <w:rPr>
                <w:sz w:val="20"/>
                <w:szCs w:val="20"/>
                <w:color w:val="auto"/>
              </w:rPr>
            </w:pPr>
            <w:r>
              <w:rPr>
                <w:rFonts w:ascii="Arial" w:cs="Arial" w:eastAsia="Arial" w:hAnsi="Arial"/>
                <w:sz w:val="18"/>
                <w:szCs w:val="18"/>
                <w:color w:val="auto"/>
              </w:rPr>
              <w:t>For the Three Months Ended</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color w:val="auto"/>
              </w:rPr>
              <w:t>March 31,</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jc w:val="right"/>
              <w:ind w:right="147"/>
              <w:spacing w:after="0"/>
              <w:rPr>
                <w:sz w:val="20"/>
                <w:szCs w:val="20"/>
                <w:color w:val="auto"/>
              </w:rPr>
            </w:pPr>
            <w:r>
              <w:rPr>
                <w:rFonts w:ascii="Arial" w:cs="Arial" w:eastAsia="Arial" w:hAnsi="Arial"/>
                <w:sz w:val="18"/>
                <w:szCs w:val="18"/>
                <w:color w:val="auto"/>
              </w:rPr>
              <w:t>Unaudited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691</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1,472</w:t>
            </w:r>
          </w:p>
        </w:tc>
        <w:tc>
          <w:tcPr>
            <w:tcW w:w="4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7,154,245</w:t>
            </w:r>
          </w:p>
        </w:tc>
        <w:tc>
          <w:tcPr>
            <w:tcW w:w="320" w:type="dxa"/>
            <w:vAlign w:val="bottom"/>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4,086,223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140" w:type="dxa"/>
            <w:vAlign w:val="bottom"/>
            <w:gridSpan w:val="4"/>
          </w:tcPr>
          <w:p>
            <w:pPr>
              <w:jc w:val="right"/>
              <w:ind w:right="201"/>
              <w:spacing w:after="0"/>
              <w:rPr>
                <w:sz w:val="20"/>
                <w:szCs w:val="20"/>
                <w:color w:val="auto"/>
              </w:rPr>
            </w:pPr>
            <w:r>
              <w:rPr>
                <w:rFonts w:ascii="Arial" w:cs="Arial" w:eastAsia="Arial" w:hAnsi="Arial"/>
                <w:sz w:val="18"/>
                <w:szCs w:val="18"/>
                <w:color w:val="auto"/>
              </w:rPr>
              <w:t>For the Three Months Ended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gridSpan w:val="3"/>
          </w:tcPr>
          <w:p>
            <w:pPr>
              <w:jc w:val="right"/>
              <w:ind w:right="841"/>
              <w:spacing w:after="0"/>
              <w:rPr>
                <w:sz w:val="20"/>
                <w:szCs w:val="20"/>
                <w:color w:val="auto"/>
              </w:rPr>
            </w:pPr>
            <w:r>
              <w:rPr>
                <w:rFonts w:ascii="Arial" w:cs="Arial" w:eastAsia="Arial" w:hAnsi="Arial"/>
                <w:sz w:val="18"/>
                <w:szCs w:val="18"/>
                <w:color w:val="auto"/>
              </w:rPr>
              <w:t>Unaudited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(2,205)</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loss on available for sale security</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top w:val="single" w:sz="8" w:color="auto"/>
            </w:tcBorders>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color w:val="auto"/>
              </w:rPr>
              <w:t>Additional</w:t>
            </w:r>
          </w:p>
        </w:tc>
        <w:tc>
          <w:tcPr>
            <w:tcW w:w="1040" w:type="dxa"/>
            <w:vAlign w:val="bottom"/>
            <w:gridSpan w:val="3"/>
          </w:tcPr>
          <w:p>
            <w:pPr>
              <w:spacing w:after="0"/>
              <w:rPr>
                <w:sz w:val="20"/>
                <w:szCs w:val="20"/>
                <w:color w:val="auto"/>
              </w:rPr>
            </w:pPr>
            <w:r>
              <w:rPr>
                <w:rFonts w:ascii="Arial" w:cs="Arial" w:eastAsia="Arial" w:hAnsi="Arial"/>
                <w:sz w:val="18"/>
                <w:szCs w:val="18"/>
                <w:color w:val="auto"/>
              </w:rPr>
              <w:t>Cancellation</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540" w:type="dxa"/>
            <w:vAlign w:val="bottom"/>
            <w:gridSpan w:val="3"/>
            <w:vMerge w:val="restart"/>
          </w:tcPr>
          <w:p>
            <w:pPr>
              <w:jc w:val="right"/>
              <w:ind w:right="4"/>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Paid-In</w:t>
            </w:r>
          </w:p>
        </w:tc>
        <w:tc>
          <w:tcPr>
            <w:tcW w:w="1040" w:type="dxa"/>
            <w:vAlign w:val="bottom"/>
            <w:gridSpan w:val="3"/>
          </w:tcPr>
          <w:p>
            <w:pPr>
              <w:jc w:val="center"/>
              <w:ind w:right="61"/>
              <w:spacing w:after="0"/>
              <w:rPr>
                <w:sz w:val="20"/>
                <w:szCs w:val="20"/>
                <w:color w:val="auto"/>
              </w:rPr>
            </w:pPr>
            <w:r>
              <w:rPr>
                <w:rFonts w:ascii="Arial" w:cs="Arial" w:eastAsia="Arial" w:hAnsi="Arial"/>
                <w:sz w:val="18"/>
                <w:szCs w:val="18"/>
                <w:color w:val="auto"/>
                <w:w w:val="91"/>
              </w:rPr>
              <w:t>of treasury</w:t>
            </w:r>
          </w:p>
        </w:tc>
        <w:tc>
          <w:tcPr>
            <w:tcW w:w="80" w:type="dxa"/>
            <w:vAlign w:val="bottom"/>
          </w:tcPr>
          <w:p>
            <w:pPr>
              <w:spacing w:after="0"/>
              <w:rPr>
                <w:sz w:val="18"/>
                <w:szCs w:val="18"/>
                <w:color w:val="auto"/>
              </w:rPr>
            </w:pPr>
          </w:p>
        </w:tc>
        <w:tc>
          <w:tcPr>
            <w:tcW w:w="860" w:type="dxa"/>
            <w:vAlign w:val="bottom"/>
          </w:tcPr>
          <w:p>
            <w:pPr>
              <w:jc w:val="center"/>
              <w:ind w:left="130"/>
              <w:spacing w:after="0"/>
              <w:rPr>
                <w:sz w:val="20"/>
                <w:szCs w:val="20"/>
                <w:color w:val="auto"/>
              </w:rPr>
            </w:pPr>
            <w:r>
              <w:rPr>
                <w:rFonts w:ascii="Arial" w:cs="Arial" w:eastAsia="Arial" w:hAnsi="Arial"/>
                <w:sz w:val="18"/>
                <w:szCs w:val="18"/>
                <w:color w:val="auto"/>
                <w:w w:val="87"/>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color w:val="auto"/>
              </w:rPr>
              <w:t>Accumulated</w:t>
            </w: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24"/>
        </w:trPr>
        <w:tc>
          <w:tcPr>
            <w:tcW w:w="3540" w:type="dxa"/>
            <w:vAlign w:val="bottom"/>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9"/>
                <w:szCs w:val="19"/>
                <w:color w:val="auto"/>
              </w:rPr>
            </w:pPr>
          </w:p>
        </w:tc>
        <w:tc>
          <w:tcPr>
            <w:tcW w:w="920" w:type="dxa"/>
            <w:vAlign w:val="bottom"/>
            <w:gridSpan w:val="2"/>
          </w:tcPr>
          <w:p>
            <w:pPr>
              <w:jc w:val="center"/>
              <w:ind w:right="161"/>
              <w:spacing w:after="0"/>
              <w:rPr>
                <w:sz w:val="20"/>
                <w:szCs w:val="20"/>
                <w:color w:val="auto"/>
              </w:rPr>
            </w:pPr>
            <w:r>
              <w:rPr>
                <w:rFonts w:ascii="Arial" w:cs="Arial" w:eastAsia="Arial" w:hAnsi="Arial"/>
                <w:sz w:val="18"/>
                <w:szCs w:val="18"/>
                <w:color w:val="auto"/>
                <w:w w:val="84"/>
              </w:rPr>
              <w:t>Shares</w:t>
            </w:r>
          </w:p>
        </w:tc>
        <w:tc>
          <w:tcPr>
            <w:tcW w:w="1280" w:type="dxa"/>
            <w:vAlign w:val="bottom"/>
            <w:gridSpan w:val="4"/>
          </w:tcPr>
          <w:p>
            <w:pPr>
              <w:ind w:left="80"/>
              <w:spacing w:after="0"/>
              <w:rPr>
                <w:sz w:val="20"/>
                <w:szCs w:val="20"/>
                <w:color w:val="auto"/>
              </w:rPr>
            </w:pPr>
            <w:r>
              <w:rPr>
                <w:rFonts w:ascii="Arial" w:cs="Arial" w:eastAsia="Arial" w:hAnsi="Arial"/>
                <w:sz w:val="18"/>
                <w:szCs w:val="18"/>
                <w:color w:val="auto"/>
                <w:w w:val="96"/>
              </w:rPr>
              <w:t>comprehensive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92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860" w:type="dxa"/>
            <w:vAlign w:val="bottom"/>
          </w:tcPr>
          <w:p>
            <w:pPr>
              <w:jc w:val="center"/>
              <w:ind w:left="130"/>
              <w:spacing w:after="0"/>
              <w:rPr>
                <w:sz w:val="20"/>
                <w:szCs w:val="20"/>
                <w:color w:val="auto"/>
              </w:rPr>
            </w:pPr>
            <w:r>
              <w:rPr>
                <w:rFonts w:ascii="Arial" w:cs="Arial" w:eastAsia="Arial" w:hAnsi="Arial"/>
                <w:sz w:val="18"/>
                <w:szCs w:val="18"/>
                <w:color w:val="auto"/>
                <w:w w:val="89"/>
              </w:rPr>
              <w:t>income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2019(Audited)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7,185,628</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(3,375)</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31,540</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 of treasury common stock</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(83,333)</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3,375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March 31, 2020(Unaudited)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7,103,260</w:t>
            </w:r>
          </w:p>
        </w:tc>
        <w:tc>
          <w:tcPr>
            <w:tcW w:w="2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66,923</w:t>
            </w: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29,678</w:t>
            </w:r>
          </w:p>
        </w:tc>
        <w:tc>
          <w:tcPr>
            <w:tcW w:w="100" w:type="dxa"/>
            <w:vAlign w:val="bottom"/>
            <w:tcBorders>
              <w:top w:val="single" w:sz="8" w:color="CCEEFF"/>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Balances, December 31, 2018(Audited)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3,012,343</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32,538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(3,375)</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(27,864)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Issuance of common stock and warrants net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issuance expenses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1,295,323</w:t>
            </w: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w w:val="95"/>
              </w:rPr>
              <w:t>Unrealized loss on marketable debt security</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March 31, 2019(Unaudited)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4,307,666</w:t>
            </w: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140" w:type="dxa"/>
            <w:vAlign w:val="bottom"/>
            <w:gridSpan w:val="4"/>
          </w:tcPr>
          <w:p>
            <w:pPr>
              <w:jc w:val="right"/>
              <w:ind w:right="203"/>
              <w:spacing w:after="0"/>
              <w:rPr>
                <w:sz w:val="20"/>
                <w:szCs w:val="20"/>
                <w:color w:val="auto"/>
              </w:rPr>
            </w:pPr>
            <w:r>
              <w:rPr>
                <w:rFonts w:ascii="Arial" w:cs="Arial" w:eastAsia="Arial" w:hAnsi="Arial"/>
                <w:sz w:val="18"/>
                <w:szCs w:val="18"/>
                <w:color w:val="auto"/>
              </w:rPr>
              <w:t>For the 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gridSpan w:val="3"/>
          </w:tcPr>
          <w:p>
            <w:pPr>
              <w:jc w:val="right"/>
              <w:ind w:right="843"/>
              <w:spacing w:after="0"/>
              <w:rPr>
                <w:sz w:val="20"/>
                <w:szCs w:val="20"/>
                <w:color w:val="auto"/>
              </w:rPr>
            </w:pPr>
            <w:r>
              <w:rPr>
                <w:rFonts w:ascii="Arial" w:cs="Arial" w:eastAsia="Arial" w:hAnsi="Arial"/>
                <w:sz w:val="18"/>
                <w:szCs w:val="18"/>
                <w:color w:val="auto"/>
              </w:rPr>
              <w:t>Unaudited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(2,205)</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17</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(premium) on marketable debt security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343</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(110)</w:t>
            </w:r>
          </w:p>
        </w:tc>
        <w:tc>
          <w:tcPr>
            <w:tcW w:w="1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(3,966)</w:t>
            </w:r>
          </w:p>
        </w:tc>
        <w:tc>
          <w:tcPr>
            <w:tcW w:w="1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(68)</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2,521</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marketable security</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Increase (decrease) in cash, cash equivalents and restricted cash</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(3,468)</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33,129</w:t>
            </w:r>
          </w:p>
        </w:tc>
        <w:tc>
          <w:tcPr>
            <w:tcW w:w="1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1120" w:type="dxa"/>
            <w:vAlign w:val="bottom"/>
            <w:tcBorders>
              <w:top w:val="single" w:sz="8" w:color="auto"/>
              <w:bottom w:val="single" w:sz="8" w:color="auto"/>
            </w:tcBorders>
          </w:tcPr>
          <w:p>
            <w:pPr>
              <w:jc w:val="right"/>
              <w:ind w:right="9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29,661</w:t>
            </w:r>
          </w:p>
        </w:tc>
        <w:tc>
          <w:tcPr>
            <w:tcW w:w="32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6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received from interest</w:t>
            </w:r>
          </w:p>
        </w:tc>
        <w:tc>
          <w:tcPr>
            <w:tcW w:w="1120" w:type="dxa"/>
            <w:vAlign w:val="bottom"/>
            <w:shd w:val="clear" w:color="auto" w:fill="CCEEFF"/>
          </w:tcPr>
          <w:p>
            <w:pPr>
              <w:jc w:val="right"/>
              <w:ind w:right="9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Less than 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(with its subsidiaries if the context so provides, the “Company,” “we”, “us” or “our”)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transaction, the Company changed its name from StemCells, Inc. to Microbot Medical Inc. On November 29, 2016, the Company’s common stock began trading on the Nasdaq Capital Market under the symbol “MBOT”.</w:t>
      </w:r>
    </w:p>
    <w:p>
      <w:pPr>
        <w:spacing w:after="0" w:line="16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three-month period ended March 31, 2020, are not necessarily indicative of the results that may be expected for the year ended December 31, 2020.</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March 31, 2020, the Company had unrestricted cash and cash equivalent balance of approximately $29,661,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nevertheless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An epidemic of the coronavirus disease (“COVID-19”) is ongoing throughout the world. As the outbreak is still evolving, much of its ultimate impact remains unknown. As of this filing, it is impossible to predict the effect and outcome of the global spread of COVID-19. COVID-19 may cause significant delays and disruptions to our clinical trials and our interactions with the FDA. If the patients involved with our clinical trials become infected with COVID-19, we may have more adverse events and deaths in our clinical trials as a result. We may also face difficulties enrolling patients in our clinical trials if the patient populations that are eligible for our clinical trials are impacted by COVID-19. Additionally, if our clinical trial patients are unable to travel to our clinical trial sites as a result of quarantines or other restrictions resulting from COVID-19, we may experience higher drop-out rates or delays in our clinical trials, and some patients may not be able to comply with clinical trial protocols if quarantines impede patient movement or interrupt healthcare services, which could impact the Company’s ability to determine the efficacy or safety of its devices. Site initiation and patient enrollment may also be delayed due to prioritization of hospital resources toward the COVID-19 outbreak.</w:t>
      </w:r>
    </w:p>
    <w:p>
      <w:pPr>
        <w:spacing w:after="0" w:line="185"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Additionally, travel restrictions have been implemented with respect to certain countries in an effort to contain COVID-19,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ectPr>
          <w:pgSz w:w="11900" w:h="16838" w:orient="portrait"/>
          <w:cols w:equalWidth="0" w:num="1">
            <w:col w:w="11240"/>
          </w:cols>
          <w:pgMar w:left="320" w:top="688" w:right="339" w:bottom="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The ultimate impact of the COVID-19 outbreak or a similar health epidemic is highly uncertain and subject to change, and the Company cannot presently predict the scope and severity of any potential business shutdowns or disruptions, but if the Company or any of the third parties with whom the Company’s engages, including the suppliers, clinical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 w:name="page11"/>
    <w:bookmarkEnd w:id="10"/>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the Company in the first quarter of 2020, with early adoption permitted. The Company does not expect that this standard will have a material effect on the Company’s consolidated financial statements.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Company does not expect that this standard will have a material effect on the Company’s consolidated financial statements.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ind w:right="20"/>
        <w:spacing w:after="0" w:line="260"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w:t>
      </w:r>
    </w:p>
    <w:p>
      <w:pPr>
        <w:spacing w:after="0" w:line="18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We determine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our consolidated balance sheet.</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Operating lease ROU assets and operating lease liabilities are recognized based on the present value of the remaining lease payments over the lease term at commencement date. Our leases do not provide an implicit interest rate. We calculate the incremental borrowing rate to reflect the interest rate that we would have to pay to borrow on a collateralized basis an amount equal to the lease payments in a similar economic environment over a similar term, and consider our historical borrowing activities and market data in this determination. The operating lease ROU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77" w:lineRule="exact"/>
        <w:rPr>
          <w:sz w:val="20"/>
          <w:szCs w:val="20"/>
          <w:color w:val="auto"/>
        </w:rPr>
      </w:pPr>
    </w:p>
    <w:p>
      <w:pPr>
        <w:jc w:val="both"/>
        <w:ind w:left="980"/>
        <w:spacing w:after="0" w:line="313" w:lineRule="auto"/>
        <w:rPr>
          <w:sz w:val="20"/>
          <w:szCs w:val="20"/>
          <w:color w:val="auto"/>
        </w:rPr>
      </w:pPr>
      <w:r>
        <w:rPr>
          <w:rFonts w:ascii="Arial" w:cs="Arial" w:eastAsia="Arial" w:hAnsi="Arial"/>
          <w:sz w:val="15"/>
          <w:szCs w:val="15"/>
          <w:color w:val="auto"/>
        </w:rPr>
        <w:t>We have lease agreements with lease and non-lease components, which we account for as a single lease component. Some of our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March 31, 2020, the Company’s ROU assets and lease liabilities for operating leases totaled $916 and $869, respectively.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5715</wp:posOffset>
            </wp:positionV>
            <wp:extent cx="10541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218" w:lineRule="exact"/>
        <w:rPr>
          <w:sz w:val="20"/>
          <w:szCs w:val="20"/>
          <w:color w:val="auto"/>
        </w:rPr>
      </w:pPr>
    </w:p>
    <w:p>
      <w:pPr>
        <w:ind w:left="980"/>
        <w:spacing w:after="0"/>
        <w:tabs>
          <w:tab w:leader="none" w:pos="7080" w:val="left"/>
          <w:tab w:leader="none" w:pos="856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49891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March 31, 2020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Operating Leases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(Remainder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182</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1260"/>
              <w:spacing w:after="0"/>
              <w:rPr>
                <w:sz w:val="20"/>
                <w:szCs w:val="20"/>
                <w:color w:val="auto"/>
              </w:rPr>
            </w:pPr>
            <w:r>
              <w:rPr>
                <w:rFonts w:ascii="Arial" w:cs="Arial" w:eastAsia="Arial" w:hAnsi="Arial"/>
                <w:sz w:val="18"/>
                <w:szCs w:val="18"/>
                <w:color w:val="auto"/>
              </w:rPr>
              <w:t>228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174</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1260"/>
              <w:spacing w:after="0"/>
              <w:rPr>
                <w:sz w:val="20"/>
                <w:szCs w:val="20"/>
                <w:color w:val="auto"/>
              </w:rPr>
            </w:pPr>
            <w:r>
              <w:rPr>
                <w:rFonts w:ascii="Arial" w:cs="Arial" w:eastAsia="Arial" w:hAnsi="Arial"/>
                <w:sz w:val="18"/>
                <w:szCs w:val="18"/>
                <w:color w:val="auto"/>
              </w:rPr>
              <w:t>168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170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1260"/>
              <w:spacing w:after="0"/>
              <w:rPr>
                <w:sz w:val="20"/>
                <w:szCs w:val="20"/>
                <w:color w:val="auto"/>
              </w:rPr>
            </w:pPr>
            <w:r>
              <w:rPr>
                <w:rFonts w:ascii="Arial" w:cs="Arial" w:eastAsia="Arial" w:hAnsi="Arial"/>
                <w:sz w:val="18"/>
                <w:szCs w:val="18"/>
                <w:color w:val="auto"/>
              </w:rPr>
              <w:t>150</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w w:val="84"/>
              </w:rPr>
              <w:t>1,072</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Arial" w:cs="Arial" w:eastAsia="Arial" w:hAnsi="Arial"/>
                <w:sz w:val="18"/>
                <w:szCs w:val="18"/>
                <w:color w:val="auto"/>
                <w:w w:val="79"/>
              </w:rPr>
              <w:t>869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Leases recorded on the balance sheet consist of the following:</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ind w:left="480"/>
              <w:spacing w:after="0"/>
              <w:rPr>
                <w:sz w:val="20"/>
                <w:szCs w:val="20"/>
                <w:color w:val="auto"/>
              </w:rPr>
            </w:pPr>
            <w:r>
              <w:rPr>
                <w:rFonts w:ascii="Arial" w:cs="Arial" w:eastAsia="Arial" w:hAnsi="Arial"/>
                <w:sz w:val="18"/>
                <w:szCs w:val="18"/>
                <w:color w:val="auto"/>
              </w:rPr>
              <w:t>As of</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color w:val="auto"/>
              </w:rPr>
              <w:t>March 31, 2020</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Operating lease right of use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260"/>
              <w:spacing w:after="0"/>
              <w:rPr>
                <w:sz w:val="20"/>
                <w:szCs w:val="20"/>
                <w:color w:val="auto"/>
              </w:rPr>
            </w:pPr>
            <w:r>
              <w:rPr>
                <w:rFonts w:ascii="Arial" w:cs="Arial" w:eastAsia="Arial" w:hAnsi="Arial"/>
                <w:sz w:val="18"/>
                <w:szCs w:val="18"/>
                <w:color w:val="auto"/>
              </w:rPr>
              <w:t>916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 current</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176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Operating lease - non-current</w:t>
            </w:r>
          </w:p>
        </w:tc>
        <w:tc>
          <w:tcPr>
            <w:tcW w:w="140" w:type="dxa"/>
            <w:vAlign w:val="bottom"/>
          </w:tcPr>
          <w:p>
            <w:pPr>
              <w:spacing w:after="0"/>
              <w:rPr>
                <w:sz w:val="20"/>
                <w:szCs w:val="20"/>
                <w:color w:val="auto"/>
              </w:rPr>
            </w:pPr>
          </w:p>
        </w:tc>
        <w:tc>
          <w:tcPr>
            <w:tcW w:w="1600" w:type="dxa"/>
            <w:vAlign w:val="bottom"/>
            <w:gridSpan w:val="3"/>
          </w:tcPr>
          <w:p>
            <w:pPr>
              <w:ind w:left="1260"/>
              <w:spacing w:after="0"/>
              <w:rPr>
                <w:sz w:val="20"/>
                <w:szCs w:val="20"/>
                <w:color w:val="auto"/>
              </w:rPr>
            </w:pPr>
            <w:r>
              <w:rPr>
                <w:rFonts w:ascii="Arial" w:cs="Arial" w:eastAsia="Arial" w:hAnsi="Arial"/>
                <w:sz w:val="18"/>
                <w:szCs w:val="18"/>
                <w:color w:val="auto"/>
              </w:rPr>
              <w:t>693</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Arial" w:cs="Arial" w:eastAsia="Arial" w:hAnsi="Arial"/>
                <w:sz w:val="18"/>
                <w:szCs w:val="18"/>
                <w:color w:val="auto"/>
                <w:w w:val="79"/>
              </w:rPr>
              <w:t>869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ind w:left="400"/>
              <w:spacing w:after="0"/>
              <w:rPr>
                <w:sz w:val="20"/>
                <w:szCs w:val="20"/>
                <w:color w:val="auto"/>
              </w:rPr>
            </w:pPr>
            <w:r>
              <w:rPr>
                <w:rFonts w:ascii="Arial" w:cs="Arial" w:eastAsia="Arial" w:hAnsi="Arial"/>
                <w:sz w:val="18"/>
                <w:szCs w:val="18"/>
                <w:color w:val="auto"/>
              </w:rPr>
              <w:t>As of</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rPr>
              <w:t>March 31, 2020</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Operating leases weighted average discount rate</w:t>
            </w:r>
          </w:p>
        </w:tc>
        <w:tc>
          <w:tcPr>
            <w:tcW w:w="1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March 31, 2020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84"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The study in Washington U. includes several phases. The first phase (initial research) was completed. An agreement on the second phase was entered in September 2018 with total expected costs of approximately $248. As of March 31, 2020, this study is still on going and will be extended to continue until March 15, 2021.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2020, 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(post-stock split)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Motion is pending before the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from purchases and sales of the Company’s securities within a period of less than six months, executed while Alliance reported beneficial ownership of more than 10% of the Company’s outstanding common stock and statutory “insider” status for purposes of the statute. The case is Microbot Medical Inc. v. Alliance Investment Management, Ltd., No. 19-cv-3782-GBD (SDNY). The amount of profits the Company is seeking to divest is estimated to be approximately $468.</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the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5" w:name="page16"/>
    <w:bookmarkEnd w:id="15"/>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7, 2019, U.S. Magistrate Judge Robert W. Lehrburger ordered Alliance to produce relevant trading records, to enable the Company to determine whether to proceed against Alliance and/or Mona. Following Alliance’s production of Mona’s Microbot trading records, the Company filed a Second Amended Complaint on November 18, 2019, seeking to compel Alliance and/or Mona to disgorge profits realized from the trades they each separately reported. The Company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Mona answered the 16(b) claim the Company asserted against him by claiming various equitable defenses, and filed a counterclaim against the Company under Section 10(b) of the Securities Exchange Act of 1934 and Rule 10b-5 promulgated thereunder. Mona admits to engaging in the reported short swing trading of the Company’s stock while a 10% beneficial owner and statutory 16(b) insider of the Company, but alleges that he was induced to buy the stock by various company misrepresentations. Mona claims a net loss on trading the Company’s stock of approximately $151.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the Company filed a motion for judgment on its 16(b) claim against Mona, together with a motion to dismiss Mona’s 10(b) counterclaim. Such motion was fully briefed as of April 26, 2020 and is pending. All parties are currently scheduled to appear in court on July 21,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US$11.50, based on an exchange rate of NIS3.47 to the dollar) covering up to 60 consulting hours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to Harel Gadot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25, 2020, the Company made the following changes to the compensation of Harel Gadot, the Company’s CEO, President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320" w:hanging="32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Gadot’s annual base salary was increased from $360 to $450, retroactive to January 1, 2020.</w:t>
      </w:r>
    </w:p>
    <w:p>
      <w:pPr>
        <w:spacing w:after="0" w:line="225"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Gadot’s annual bonus pursuant to his Employment Agreement with the Company was increased from 40% of his annual salary to 60% of his annual salary, based on achieving certain milestones, commencing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Mr. Gadot received a one-time special bonus equal to 60% of his newly-approved annual base salary. Mr. Gadot was also awarded non-qualified options to purchase 166,666 shares of Company common stock at an exercise price per share of $9.64, which vest in full on the one-year anniversary of the date of grant and expire on the ten-year anniversary (See note 5).</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March 31, 2020, the Company had 7,103,260 shares of common stock issued and outstanding.</w:t>
      </w:r>
    </w:p>
    <w:p>
      <w:pPr>
        <w:spacing w:after="0" w:line="225"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spacing w:after="0" w:line="195" w:lineRule="exact"/>
        <w:rPr>
          <w:sz w:val="20"/>
          <w:szCs w:val="20"/>
          <w:color w:val="auto"/>
        </w:rPr>
      </w:pPr>
    </w:p>
    <w:p>
      <w:pPr>
        <w:jc w:val="both"/>
        <w:ind w:left="980"/>
        <w:spacing w:after="0" w:line="296"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spacing w:after="0" w:line="161"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spacing w:after="0" w:line="166"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March 31, 2020 and 2019 in the total amount of $7 and $24,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2019, the board of directors approved a grant of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March 31, 2020 and 2019 in the total amount of $11 and $0,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2019, the board of directors approved a grant of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March 31, 2020 and 2019 in the total amount of $7 and $0, respectively, included in general and administrative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2020, the board of directors approved a grant of stock options to purchase an aggregate of up to 166,666 shares of common stock to Mr. Harel Gadot, the Company’s Chairman of the Board, President and CEO, at an exercise price per share of $9.64. The stock options vest in full on the one-year anniversary of the date of grant as outlined in the option agreement. As a result, the Company recognized compensation expenses as of March 31, 2020 and 2019 in the total amount of $144 and $0, respectively, included in general and administrative expenses.</w:t>
      </w:r>
    </w:p>
    <w:p>
      <w:pPr>
        <w:spacing w:after="0" w:line="18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8" w:name="page19"/>
    <w:bookmarkEnd w:id="18"/>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option activity related to options to employees and directors, and related information is as followed: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4120" w:type="dxa"/>
            <w:vAlign w:val="bottom"/>
            <w:gridSpan w:val="6"/>
          </w:tcPr>
          <w:p>
            <w:pPr>
              <w:jc w:val="center"/>
              <w:ind w:right="80"/>
              <w:spacing w:after="0"/>
              <w:rPr>
                <w:sz w:val="20"/>
                <w:szCs w:val="20"/>
                <w:color w:val="auto"/>
              </w:rPr>
            </w:pPr>
            <w:r>
              <w:rPr>
                <w:rFonts w:ascii="Arial" w:cs="Arial" w:eastAsia="Arial" w:hAnsi="Arial"/>
                <w:sz w:val="18"/>
                <w:szCs w:val="18"/>
                <w:color w:val="auto"/>
                <w:w w:val="93"/>
              </w:rPr>
              <w:t>As of March 31, 2020</w:t>
            </w:r>
          </w:p>
        </w:tc>
      </w:tr>
      <w:tr>
        <w:trPr>
          <w:trHeight w:val="202"/>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r>
      <w:tr>
        <w:trPr>
          <w:trHeight w:val="237"/>
        </w:trPr>
        <w:tc>
          <w:tcPr>
            <w:tcW w:w="4860" w:type="dxa"/>
            <w:vAlign w:val="bottom"/>
          </w:tcPr>
          <w:p>
            <w:pPr>
              <w:spacing w:after="0"/>
              <w:rPr>
                <w:sz w:val="20"/>
                <w:szCs w:val="20"/>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Number of 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371,360</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166,666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9.64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Exercise</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end of period</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537,061</w:t>
            </w:r>
          </w:p>
        </w:tc>
        <w:tc>
          <w:tcPr>
            <w:tcW w:w="26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8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Vested at end of period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285,742</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8.70</w:t>
            </w:r>
          </w:p>
        </w:tc>
      </w:tr>
      <w:tr>
        <w:trPr>
          <w:trHeight w:val="20"/>
        </w:trPr>
        <w:tc>
          <w:tcPr>
            <w:tcW w:w="48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4860" w:type="dxa"/>
            <w:vAlign w:val="bottom"/>
          </w:tcPr>
          <w:p>
            <w:pPr>
              <w:spacing w:after="0"/>
              <w:rPr>
                <w:sz w:val="24"/>
                <w:szCs w:val="24"/>
                <w:color w:val="auto"/>
              </w:rPr>
            </w:pPr>
          </w:p>
        </w:tc>
        <w:tc>
          <w:tcPr>
            <w:tcW w:w="412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For the Year ended December 31, 2019</w:t>
            </w:r>
          </w:p>
        </w:tc>
      </w:tr>
      <w:tr>
        <w:trPr>
          <w:trHeight w:val="202"/>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r>
      <w:tr>
        <w:trPr>
          <w:trHeight w:val="237"/>
        </w:trPr>
        <w:tc>
          <w:tcPr>
            <w:tcW w:w="4860" w:type="dxa"/>
            <w:vAlign w:val="bottom"/>
          </w:tcPr>
          <w:p>
            <w:pPr>
              <w:spacing w:after="0"/>
              <w:rPr>
                <w:sz w:val="20"/>
                <w:szCs w:val="20"/>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Number of 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398,308</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48,893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(47,151)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270,827</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March 31, 2020 and 2019,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and 2019, the aggregate intrinsic value of the outstanding options is $456 and $761 respectively, and the aggregate intrinsic value of the exercisable options is $446 and $761,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there were approximately $2,267 of total unrecognized compensation costs, net of expected forfeitures, related to unvested share-based compensation awards granted under the Share Incentive Plan. The costs are expected to be recognized over a weighted average period of 1.11 years</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stock options outstanding as of March 31, 2020 and December 31, 2019, summarized by exercise prices,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Weighted 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Weighted average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remaining</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contractual life –</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 options</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Stock options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outstanding as of</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contractual life –</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years as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exercisable as of</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 as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December 31,</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years as of March</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exercisable as of</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7"/>
        </w:trPr>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Exercise price $</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March 31, 2020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31, 2020</w:t>
            </w:r>
          </w:p>
        </w:tc>
        <w:tc>
          <w:tcPr>
            <w:tcW w:w="3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31,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r>
      <w:tr>
        <w:trPr>
          <w:trHeight w:val="216"/>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15.75</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133,546</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133,546</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98,276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90,641</w:t>
            </w:r>
          </w:p>
        </w:tc>
      </w:tr>
      <w:tr>
        <w:trPr>
          <w:trHeight w:val="216"/>
        </w:trPr>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11,630</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5,500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r>
      <w:tr>
        <w:trPr>
          <w:trHeight w:val="216"/>
        </w:trPr>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166,666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17,503</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17,503</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4375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19,760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19,760</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15.30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38,533</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38,533</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31,783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29,533</w:t>
            </w:r>
          </w:p>
        </w:tc>
      </w:tr>
      <w:tr>
        <w:trPr>
          <w:trHeight w:val="250"/>
        </w:trPr>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61,577</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62,542</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61,577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62,542</w:t>
            </w:r>
          </w:p>
        </w:tc>
      </w:tr>
      <w:tr>
        <w:trPr>
          <w:trHeight w:val="217"/>
        </w:trPr>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537,061</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371,360</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285,742</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270,827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three months ended March 31, 2020 and 2019 was $343 and $315, respectively.</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March 31, 2020 and 2019 were estimated using the Black-Scholes valuation model with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gridSpan w:val="2"/>
          </w:tcPr>
          <w:p>
            <w:pPr>
              <w:jc w:val="right"/>
              <w:ind w:right="1080"/>
              <w:spacing w:after="0"/>
              <w:rPr>
                <w:sz w:val="20"/>
                <w:szCs w:val="20"/>
                <w:color w:val="auto"/>
              </w:rPr>
            </w:pPr>
            <w:r>
              <w:rPr>
                <w:rFonts w:ascii="Arial" w:cs="Arial" w:eastAsia="Arial" w:hAnsi="Arial"/>
                <w:sz w:val="18"/>
                <w:szCs w:val="18"/>
                <w:color w:val="auto"/>
              </w:rPr>
              <w:t>As of</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Year ended</w:t>
            </w:r>
          </w:p>
        </w:tc>
        <w:tc>
          <w:tcPr>
            <w:tcW w:w="1280" w:type="dxa"/>
            <w:vAlign w:val="bottom"/>
          </w:tcPr>
          <w:p>
            <w:pPr>
              <w:spacing w:after="0"/>
              <w:rPr>
                <w:sz w:val="18"/>
                <w:szCs w:val="18"/>
                <w:color w:val="auto"/>
              </w:rPr>
            </w:pPr>
          </w:p>
        </w:tc>
      </w:tr>
      <w:tr>
        <w:trPr>
          <w:trHeight w:val="237"/>
        </w:trPr>
        <w:tc>
          <w:tcPr>
            <w:tcW w:w="9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gridSpan w:val="2"/>
          </w:tcPr>
          <w:p>
            <w:pPr>
              <w:jc w:val="right"/>
              <w:ind w:right="700"/>
              <w:spacing w:after="0"/>
              <w:rPr>
                <w:sz w:val="20"/>
                <w:szCs w:val="20"/>
                <w:color w:val="auto"/>
              </w:rPr>
            </w:pPr>
            <w:r>
              <w:rPr>
                <w:rFonts w:ascii="Arial" w:cs="Arial" w:eastAsia="Arial" w:hAnsi="Arial"/>
                <w:sz w:val="18"/>
                <w:szCs w:val="18"/>
                <w:color w:val="auto"/>
              </w:rPr>
              <w:t>March 31, 2020</w:t>
            </w: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December 31, 2019</w:t>
            </w:r>
          </w:p>
        </w:tc>
        <w:tc>
          <w:tcPr>
            <w:tcW w:w="1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135.60%</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132.63%-144.4%</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Risk-free interest</w:t>
            </w:r>
          </w:p>
        </w:tc>
        <w:tc>
          <w:tcPr>
            <w:tcW w:w="3620" w:type="dxa"/>
            <w:vAlign w:val="bottom"/>
            <w:gridSpan w:val="3"/>
          </w:tcPr>
          <w:p>
            <w:pPr>
              <w:jc w:val="right"/>
              <w:ind w:right="180"/>
              <w:spacing w:after="0"/>
              <w:rPr>
                <w:sz w:val="20"/>
                <w:szCs w:val="20"/>
                <w:color w:val="auto"/>
              </w:rPr>
            </w:pPr>
            <w:r>
              <w:rPr>
                <w:rFonts w:ascii="Arial" w:cs="Arial" w:eastAsia="Arial" w:hAnsi="Arial"/>
                <w:sz w:val="18"/>
                <w:szCs w:val="18"/>
                <w:color w:val="auto"/>
              </w:rPr>
              <w:t>1.20%</w:t>
            </w: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1.49%-2.62%</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5.282</w:t>
            </w:r>
          </w:p>
        </w:tc>
        <w:tc>
          <w:tcPr>
            <w:tcW w:w="1280" w:type="dxa"/>
            <w:vAlign w:val="bottom"/>
          </w:tcPr>
          <w:p>
            <w:pPr>
              <w:spacing w:after="0"/>
              <w:rPr>
                <w:sz w:val="20"/>
                <w:szCs w:val="20"/>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980"/>
              <w:spacing w:after="0"/>
              <w:rPr>
                <w:sz w:val="20"/>
                <w:szCs w:val="20"/>
                <w:color w:val="auto"/>
              </w:rPr>
            </w:pPr>
            <w:r>
              <w:rPr>
                <w:rFonts w:ascii="Arial" w:cs="Arial" w:eastAsia="Arial" w:hAnsi="Arial"/>
                <w:sz w:val="18"/>
                <w:szCs w:val="18"/>
                <w:b w:val="1"/>
                <w:bCs w:val="1"/>
                <w:color w:val="auto"/>
              </w:rPr>
              <w:t>Warrants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80" w:type="dxa"/>
            <w:vAlign w:val="bottom"/>
            <w:gridSpan w:val="11"/>
          </w:tcPr>
          <w:p>
            <w:pPr>
              <w:ind w:left="980"/>
              <w:spacing w:after="0"/>
              <w:rPr>
                <w:sz w:val="20"/>
                <w:szCs w:val="20"/>
                <w:color w:val="auto"/>
              </w:rPr>
            </w:pPr>
            <w:r>
              <w:rPr>
                <w:rFonts w:ascii="Arial" w:cs="Arial" w:eastAsia="Arial" w:hAnsi="Arial"/>
                <w:sz w:val="18"/>
                <w:szCs w:val="18"/>
                <w:color w:val="auto"/>
              </w:rPr>
              <w:t>The remaining outstanding warrants and terms as of March 31, 2020 and December 31, 2019 are as follows: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Outstanding as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Outstanding as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Exercisable as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of March 31,</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of December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March 31,</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ind w:left="1380"/>
              <w:spacing w:after="0"/>
              <w:rPr>
                <w:sz w:val="20"/>
                <w:szCs w:val="20"/>
                <w:color w:val="auto"/>
              </w:rPr>
            </w:pPr>
            <w:r>
              <w:rPr>
                <w:rFonts w:ascii="Arial" w:cs="Arial" w:eastAsia="Arial" w:hAnsi="Arial"/>
                <w:sz w:val="18"/>
                <w:szCs w:val="18"/>
                <w:color w:val="auto"/>
              </w:rPr>
              <w:t>Issuance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3"/>
              </w:rPr>
              <w:t>Exercisable Through</w:t>
            </w:r>
          </w:p>
        </w:tc>
        <w:tc>
          <w:tcPr>
            <w:tcW w:w="0" w:type="dxa"/>
            <w:vAlign w:val="bottom"/>
          </w:tcPr>
          <w:p>
            <w:pPr>
              <w:spacing w:after="0"/>
              <w:rPr>
                <w:sz w:val="1"/>
                <w:szCs w:val="1"/>
                <w:color w:val="auto"/>
              </w:rPr>
            </w:pPr>
          </w:p>
        </w:tc>
      </w:tr>
      <w:tr>
        <w:trPr>
          <w:trHeight w:val="216"/>
        </w:trPr>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 (*)</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2,754.00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9, 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Series A (2015) (*)</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683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1,377.00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560" w:type="dxa"/>
            <w:vAlign w:val="bottom"/>
          </w:tcPr>
          <w:p>
            <w:pPr>
              <w:jc w:val="right"/>
              <w:spacing w:after="0"/>
              <w:rPr>
                <w:sz w:val="20"/>
                <w:szCs w:val="20"/>
                <w:color w:val="auto"/>
              </w:rPr>
            </w:pPr>
            <w:r>
              <w:rPr>
                <w:rFonts w:ascii="Arial" w:cs="Arial" w:eastAsia="Arial" w:hAnsi="Arial"/>
                <w:sz w:val="18"/>
                <w:szCs w:val="18"/>
                <w:color w:val="auto"/>
              </w:rPr>
              <w:t>April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Warrant to underwriters – 1/2019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22,767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22,767</w:t>
            </w:r>
          </w:p>
        </w:tc>
        <w:tc>
          <w:tcPr>
            <w:tcW w:w="1560" w:type="dxa"/>
            <w:vAlign w:val="bottom"/>
          </w:tcPr>
          <w:p>
            <w:pPr>
              <w:jc w:val="right"/>
              <w:spacing w:after="0"/>
              <w:rPr>
                <w:sz w:val="20"/>
                <w:szCs w:val="20"/>
                <w:color w:val="auto"/>
              </w:rPr>
            </w:pPr>
            <w:r>
              <w:rPr>
                <w:rFonts w:ascii="Arial" w:cs="Arial" w:eastAsia="Arial" w:hAnsi="Arial"/>
                <w:sz w:val="18"/>
                <w:szCs w:val="18"/>
                <w:color w:val="auto"/>
              </w:rPr>
              <w:t>July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 1/2019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Warrant to underwriters – 1/2019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12,500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560" w:type="dxa"/>
            <w:vAlign w:val="bottom"/>
          </w:tcPr>
          <w:p>
            <w:pPr>
              <w:jc w:val="right"/>
              <w:spacing w:after="0"/>
              <w:rPr>
                <w:sz w:val="20"/>
                <w:szCs w:val="20"/>
                <w:color w:val="auto"/>
              </w:rPr>
            </w:pPr>
            <w:r>
              <w:rPr>
                <w:rFonts w:ascii="Arial" w:cs="Arial" w:eastAsia="Arial" w:hAnsi="Arial"/>
                <w:sz w:val="18"/>
                <w:szCs w:val="18"/>
                <w:color w:val="auto"/>
              </w:rPr>
              <w:t>January 15,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 12/2019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27,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Warrant to underwriters – 12/2019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47,619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47,619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 12/2019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45,045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25,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spacing w:after="0" w:line="255" w:lineRule="auto"/>
        <w:tabs>
          <w:tab w:leader="none" w:pos="125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92"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2019.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2019.</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SCSTM,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37 issued/allowed patents and 15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the CardioSert technology was originally developed to support interventional cardiologists in crossing chronic total occlusions (CTO) during percutaneous coronary intervention (PCI) procedures, it has the potential to be used in other spaces and applications, such as neurosurgery.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Liberty is designed to maneuver guidewires, microcatheters and over-the-wire devices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and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expects that its general and administrative expenses may increase in the future as it expands its operating activities, maintains and expands its patent portfolio and incurs costs associated with being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ind w:left="260" w:hanging="121"/>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three months ended March 31, 2020 and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6"/>
              </w:rPr>
              <w:t>Quarter Ended March 31,</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Increase/</w:t>
            </w:r>
          </w:p>
        </w:tc>
      </w:tr>
      <w:tr>
        <w:trPr>
          <w:trHeight w:val="223"/>
        </w:trPr>
        <w:tc>
          <w:tcPr>
            <w:tcW w:w="4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Arial" w:cs="Arial" w:eastAsia="Arial" w:hAnsi="Arial"/>
                <w:sz w:val="18"/>
                <w:szCs w:val="18"/>
                <w:b w:val="1"/>
                <w:bCs w:val="1"/>
                <w:color w:val="auto"/>
                <w:w w:val="99"/>
              </w:rPr>
              <w:t>2020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1,472</w:t>
            </w: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1,329</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Microbot’s research and development expenses were approximately $691,000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approximately $587,000 for the same period in 2019. The increase in research and development expenses of approximately $104,000 in 2020 was primarily due to decrease in grant received from the IIA and increase in professional services relating to development expenses. Microbot expects its research and development expenses to continue to increase over time as Microbot advances its development programs and begins pre-clinical and clinical trials for its product candidates.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$1,472,000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$1,329,000 for the same period in 2019. The increase in general and administrative expenses of approximately $143,000 in 2020 was primarily due to the payment of a one-time bonus and increases in public relations expenses and rent, offset by a decrease in professional services expenses relating to legal fees. Microbot believes its general and administrative expenses may increase over time as it advances its programs, increases its headcount and operating activities and incurs expenses associated with being a public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expenses, net were approximately $42,000 for the three months ended March 31, 2020, compared to finance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$45,000 for the same period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Microbot has incurred losses since inception and negative cash flows from operating activities for the three months ended March 31, 2020 and the fiscal year ended December 31, 2019. As of March 31, 2020, Microbot had a net working capital of approximately $29,176,000, consisting primarily of cash and cash equivalents. This compares to net working capital of approximately $31,110,000 as of December 31, 2019.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(“IIA”), and convertible debt. Since inception (November 2010) through March 31, 2020, Microbot has raised net cash proceeds of approximately $54,770,000, and incurred a total cumulative loss of approximately $37,316,000. Microbot recently returned $3,375,000 (before interest) of such proceeds as a result of an adverse outcome in a litigation that concluded in the three months ended March 31, 2020, and is now subject to an additional lawsuit seeking the return of an additional $6,750,000 (before interest) of such proceeds.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Israel obtained from the IIA grants for participation in research and development for the years 2013 through March 31, 2020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believes that its net cash will be sufficient to fund its operations for at least 24 months and fund operations necessary to continue development activities of its product candidates. However, in the event we are unsuccessful in our current litigation with certain investors, pursuant to which they are seeking the return of $6,750,000 (plus interest) in proceeds we received from them in a 2017 stock offering, we may have funds for less than 24 months. In either case, management believes that Microbot has sufficient net cash to fund its operations necessary to continue development activities of its current proposed products for at least 12 months from the issuance date of this Quarterly Report on Form 10-Q.</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IIA. Microbot may also raise capital through future issuances of debt and/or equity securities.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80" w:type="dxa"/>
            <w:vAlign w:val="bottom"/>
            <w:gridSpan w:val="3"/>
          </w:tcPr>
          <w:p>
            <w:pPr>
              <w:spacing w:after="0"/>
              <w:rPr>
                <w:sz w:val="20"/>
                <w:szCs w:val="20"/>
                <w:color w:val="auto"/>
              </w:rPr>
            </w:pPr>
            <w:r>
              <w:rPr>
                <w:rFonts w:ascii="Arial" w:cs="Arial" w:eastAsia="Arial" w:hAnsi="Arial"/>
                <w:sz w:val="18"/>
                <w:szCs w:val="18"/>
                <w:color w:val="auto"/>
                <w:w w:val="91"/>
              </w:rPr>
              <w:t>The following table provides a summary of the net cash flow activity for each of the periods set forth below (in thousands):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65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(5,921)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gridSpan w:val="2"/>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(2,496)</w:t>
            </w:r>
          </w:p>
        </w:tc>
      </w:tr>
      <w:tr>
        <w:trPr>
          <w:trHeight w:val="24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9,562</w:t>
            </w:r>
          </w:p>
        </w:tc>
        <w:tc>
          <w:tcPr>
            <w:tcW w:w="80" w:type="dxa"/>
            <w:vAlign w:val="bottom"/>
            <w:shd w:val="clear" w:color="auto" w:fill="CCEEFF"/>
          </w:tcPr>
          <w:p>
            <w:pPr>
              <w:spacing w:after="0"/>
              <w:rPr>
                <w:sz w:val="21"/>
                <w:szCs w:val="21"/>
                <w:color w:val="auto"/>
              </w:rPr>
            </w:pPr>
          </w:p>
        </w:tc>
      </w:tr>
      <w:tr>
        <w:trPr>
          <w:trHeight w:val="217"/>
        </w:trPr>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36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(3,468</w:t>
            </w:r>
          </w:p>
        </w:tc>
        <w:tc>
          <w:tcPr>
            <w:tcW w:w="3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operating activities for the three months ended March 31, 2020 was approximately $5,921,000, calculated by adjusting net loss from operations by approximately $3,716,000 to eliminate non-cash and expense items not involving cash flows such as depreciation and accumulated interest on convertible loans, as well as other changes in current assets and liabilities resulting in non-cash adjustments in the income statement. Cash used in operating activities for the three months ended March 31, 2019 was approximately $2,723,000, similarly adjusted by approximately $762,000.</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2020 was approximately $2,453,000, compared to net cash used in investing activities of approximately $2,496,000 for the three months ended March 31, 2019, which consisted of marketable securities.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from financing activities of $0 for the three months ended March 31, 2020 compared to approximately $9,562,000 for the three months ended March 31, 2019 consisted of issuance of common stock and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2020. Based on that review and evaluation, the Chief Executive Officer and Chief Financial Officer, along with the management of the Company, have determined that as of March 31, 2020,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 The Company was required to amend a Form 8-K in March 2020 after it discovered an inconsistency between the disclosure therein and a press release incorporated by reference therein. The Company has implemented additional procedures to confirm such an event does not reoccur.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recently lost our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our June 8, 2017 equity financing (the “Financing”) was rescinded as it related to Sabby Healthcare Master Fund Ltd. and Sabby Volatility Warrant Master Fund Ltd. (“Sabby”), and we paid approximately $3.7 million to Sabby in return for the 83,333 (post-stock split) shares of common stock Sabby purchased from us pursuant to the SPA. Soon after, we were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we breached multiple representations and warranties contained in the SPA, of which the Plaintiffs participated, and fraudulently induced Plaintiffs into signing the SPA. The complaint seeks rescission of the SPA and return of the Plaintiffs’ $6.75 million purchase price with respect to the Financing. We filed a Motion to Dismiss on March 16, 2020, which Motion is pending before the Court. As a result of the adverse outcome with respect to the Sabby litigation, management is unable to assess the likelihood that we will succeed on our Motion to Dismiss, or at trial if we lose the Motion.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from purchases and sales of our securities within a period of less than six months, executed while Alliance reported beneficial ownership of more than 10% of our outstanding common stock and statutory “insider” status for purposes of the statute. The case is Microbot Medical Inc. v. Alliance Investment Management, Ltd., No. 19-cv-3782-GBD (SDNY). The amount of profits we are seeking to divest is estimated to be approximately $468,000.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2019, Alliance filed an answer to our action, claiming that an unnamed Alliance client was the “beneficial owner” of the shares reportedly held and traded by Alliance. On October 18, 21, and 28, 2019, Joseph Mona (“Mona”) filed Section 16(a) and Schedule 13G reports, which are substantially similar to the reports previously filed by Alliance. On October 28, 2019, Alliance filed a motion for summary judgment requesting that the Court dismiss the claims against Alliance in view of Mona’s SEC filings, which Alliance asserted revealed Mona as the client referenced in Alliance’s answer.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2019, U.S. Magistrate Judge Robert W. Lehrburger ordered Alliance to produce relevant trading records, to enable us to determine whether to proceed against Alliance and/or Joseph Mona. Following Alliance’s production of Mona’s Microbot trading records, we filed a Second Amended Complaint on November 18, 2019, seeking to compel Alliance and/or Mona to disgorge profits realized from the trades they each separately reported. We continued to oppose Alliance’s Motion for Summary Judgment given Alliance’s refusal to confirm that the trades reported by Alliance referred exclusively to the trades executed in Mona’s account—and did not refer to duplicative trading executed by Alliance. Alliance’s Motion for Summary Judgment is pending.</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2020, Mona answered the 16(b) claim we asserted against him by claiming various equitable defenses, and filed a counterclaim against Microbot under Section 10(b) of the Securities Exchange Act of 1934 and Rule 10b-5 promulgated thereunder. Mona admits to engaging in the reported short swing trading of Microbot stock while a 10% beneficial owner and statutory 16(b) insider of Microbot, but alleges that he was induced to buy the Microbot stock by various company misrepresentations. Mona claims a net loss on trading Microbot stock of $150,954.</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March 6, 2020 we filed a motion for judgment on our 16(b) claim against Mona, together with a motion to dismiss Mona’s 10(b) counterclaim. The motion was fully briefed as of April 26, 2020 and is pending. All parties are currently scheduled to appear in court on July 21,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Mona’s counterclaim is without merit, and to intend to vigorously defend against Mona’s allegations. However, given that litigation is ongoing, management is unable to predict the outcome of the case, or the amount of damages, if any, that may be awarded on either our 16(b) claim, or on Mona’s 10(b) counterclaim.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Borders>
              <w:bottom w:val="single" w:sz="8" w:color="0000EE"/>
            </w:tcBorders>
            <w:gridSpan w:val="5"/>
          </w:tcPr>
          <w:p>
            <w:pPr>
              <w:spacing w:after="0"/>
              <w:rPr>
                <w:rFonts w:ascii="Arial" w:cs="Arial" w:eastAsia="Arial" w:hAnsi="Arial"/>
                <w:sz w:val="18"/>
                <w:szCs w:val="18"/>
                <w:color w:val="0000EE"/>
                <w:w w:val="94"/>
              </w:rPr>
            </w:pPr>
            <w:hyperlink r:id="rId40">
              <w:r>
                <w:rPr>
                  <w:rFonts w:ascii="Arial" w:cs="Arial" w:eastAsia="Arial" w:hAnsi="Arial"/>
                  <w:sz w:val="18"/>
                  <w:szCs w:val="18"/>
                  <w:color w:val="0000EE"/>
                  <w:w w:val="94"/>
                </w:rPr>
                <w:t>Employment Agreement with Dr. Eyal Morag (incorporated by reference to the Company’s Annual Report on Form 10-K for the fiscal year</w:t>
              </w:r>
            </w:hyperlink>
          </w:p>
        </w:tc>
      </w:tr>
      <w:tr>
        <w:trPr>
          <w:trHeight w:val="196"/>
        </w:trPr>
        <w:tc>
          <w:tcPr>
            <w:tcW w:w="840" w:type="dxa"/>
            <w:vAlign w:val="bottom"/>
          </w:tcPr>
          <w:p>
            <w:pPr>
              <w:spacing w:after="0"/>
              <w:rPr>
                <w:sz w:val="17"/>
                <w:szCs w:val="17"/>
                <w:color w:val="auto"/>
              </w:rPr>
            </w:pPr>
          </w:p>
        </w:tc>
        <w:tc>
          <w:tcPr>
            <w:tcW w:w="37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ended December 31, 2019, filed on April 14, 2020)</w:t>
              </w:r>
            </w:hyperlink>
          </w:p>
        </w:tc>
        <w:tc>
          <w:tcPr>
            <w:tcW w:w="6700" w:type="dxa"/>
            <w:vAlign w:val="bottom"/>
            <w:gridSpan w:val="2"/>
          </w:tcPr>
          <w:p>
            <w:pPr>
              <w:spacing w:after="0"/>
              <w:rPr>
                <w:sz w:val="17"/>
                <w:szCs w:val="17"/>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Harel Gadot, Chairman, President and Chief Executive Officer</w:t>
              </w:r>
            </w:hyperlink>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Certification of David Ben Naim, Chief Financial Officer</w:t>
              </w:r>
            </w:hyperlink>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10400" w:type="dxa"/>
            <w:vAlign w:val="bottom"/>
            <w:tcBorders>
              <w:bottom w:val="single" w:sz="8" w:color="0000EE"/>
            </w:tcBorders>
            <w:gridSpan w:val="5"/>
          </w:tcPr>
          <w:p>
            <w:pPr>
              <w:spacing w:after="0" w:line="190"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Harel Gadot, Chairman, President and Chief Executive Officer, pursuant to 18 U.S.C. Section 1350, as adopted pursuant to</w:t>
              </w:r>
            </w:hyperlink>
          </w:p>
        </w:tc>
      </w:tr>
      <w:tr>
        <w:trPr>
          <w:trHeight w:val="196"/>
        </w:trPr>
        <w:tc>
          <w:tcPr>
            <w:tcW w:w="8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906 of the Sarbanes-Oxley Act of 2002</w:t>
              </w:r>
            </w:hyperlink>
          </w:p>
        </w:tc>
        <w:tc>
          <w:tcPr>
            <w:tcW w:w="6980" w:type="dxa"/>
            <w:vAlign w:val="bottom"/>
            <w:gridSpan w:val="3"/>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400" w:type="dxa"/>
            <w:vAlign w:val="bottom"/>
            <w:gridSpan w:val="5"/>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Certification of David Ben Naim, Chief Financial Officer, pursuant to 18 U.S.C. Section 1350, as adopted pursuant to Section 906 of the</w:t>
              </w:r>
            </w:hyperlink>
          </w:p>
        </w:tc>
      </w:tr>
      <w:tr>
        <w:trPr>
          <w:trHeight w:val="196"/>
        </w:trPr>
        <w:tc>
          <w:tcPr>
            <w:tcW w:w="84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Sarbanes-Oxley Act of 2002</w:t>
              </w:r>
            </w:hyperlink>
          </w:p>
        </w:tc>
        <w:tc>
          <w:tcPr>
            <w:tcW w:w="83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5"/>
          </w:tcPr>
          <w:p>
            <w:pPr>
              <w:spacing w:after="0"/>
              <w:rPr>
                <w:sz w:val="20"/>
                <w:szCs w:val="20"/>
                <w:color w:val="auto"/>
              </w:rPr>
            </w:pPr>
            <w:r>
              <w:rPr>
                <w:rFonts w:ascii="Arial" w:cs="Arial" w:eastAsia="Arial" w:hAnsi="Arial"/>
                <w:sz w:val="18"/>
                <w:szCs w:val="18"/>
                <w:color w:val="auto"/>
              </w:rPr>
              <w:t>XBRL Instance.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8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4"/>
          </w:tcPr>
          <w:p>
            <w:pPr>
              <w:ind w:left="4700"/>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2020.</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March 31,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15, 2020</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0" Type="http://schemas.openxmlformats.org/officeDocument/2006/relationships/hyperlink" Target="http://www.sec.gov/Archives/edgar/data/883975/000149315220006338/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2020-05-15T15:24:50Z</dcterms:created>
  <dcterms:modified xsi:type="dcterms:W3CDTF">2020-05-15T15:24:50Z</dcterms:modified>
</cp:coreProperties>
</file>