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229870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4,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StemCells, Inc.</w:t>
      </w: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100"/>
        <w:spacing w:after="0"/>
        <w:rPr>
          <w:sz w:val="20"/>
          <w:szCs w:val="20"/>
          <w:color w:val="auto"/>
        </w:rPr>
      </w:pPr>
      <w:r>
        <w:rPr>
          <w:rFonts w:ascii="Arial" w:cs="Arial" w:eastAsia="Arial" w:hAnsi="Arial"/>
          <w:sz w:val="18"/>
          <w:szCs w:val="18"/>
          <w:b w:val="1"/>
          <w:bCs w:val="1"/>
          <w:color w:val="auto"/>
        </w:rPr>
        <w:t>0-19871</w:t>
      </w:r>
    </w:p>
    <w:p>
      <w:pPr>
        <w:spacing w:after="0" w:line="27"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520" w:space="720"/>
            <w:col w:w="3080" w:space="720"/>
            <w:col w:w="2260"/>
          </w:cols>
          <w:pgMar w:left="240" w:top="122" w:right="359" w:bottom="1440" w:gutter="0" w:footer="0" w:header="0"/>
          <w:type w:val="continuous"/>
        </w:sectPr>
      </w:pPr>
    </w:p>
    <w:p>
      <w:pPr>
        <w:spacing w:after="0" w:line="7" w:lineRule="exact"/>
        <w:rPr>
          <w:sz w:val="20"/>
          <w:szCs w:val="20"/>
          <w:color w:val="auto"/>
        </w:rPr>
      </w:pPr>
    </w:p>
    <w:p>
      <w:pPr>
        <w:jc w:val="center"/>
        <w:ind w:right="2160"/>
        <w:spacing w:after="0"/>
        <w:rPr>
          <w:sz w:val="20"/>
          <w:szCs w:val="20"/>
          <w:color w:val="auto"/>
        </w:rPr>
      </w:pPr>
      <w:r>
        <w:rPr>
          <w:rFonts w:ascii="Arial" w:cs="Arial" w:eastAsia="Arial" w:hAnsi="Arial"/>
          <w:sz w:val="16"/>
          <w:szCs w:val="16"/>
          <w:b w:val="1"/>
          <w:bCs w:val="1"/>
          <w:color w:val="auto"/>
        </w:rPr>
        <w:t>3155 Porter Drive, Palo Alto, California</w:t>
      </w:r>
    </w:p>
    <w:p>
      <w:pPr>
        <w:spacing w:after="0" w:line="50" w:lineRule="exact"/>
        <w:rPr>
          <w:sz w:val="20"/>
          <w:szCs w:val="20"/>
          <w:color w:val="auto"/>
        </w:rPr>
      </w:pPr>
    </w:p>
    <w:p>
      <w:pPr>
        <w:jc w:val="center"/>
        <w:ind w:right="216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8"/>
          <w:szCs w:val="18"/>
          <w:b w:val="1"/>
          <w:bCs w:val="1"/>
          <w:color w:val="auto"/>
        </w:rPr>
        <w:t>94304</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11"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2.02 RESULTS OF OPERATIONS AND FINANCIAL CONDITION.</w:t>
        </w:r>
      </w:hyperlink>
    </w:p>
    <w:p>
      <w:pPr>
        <w:spacing w:after="0" w:line="3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March 4, 2005, StemCells, Inc. issued a press release announcing its financial results for the fourth quarter and full fiscal year ended December 31, 2004. The full text of the press release is attached hereto as Exhibit 99.1.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Exhibit 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Martin McGlynn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3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Judi Lum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Schwartz Communications,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(781) 684-0770 or (415) 512-0770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stemcells@schwartz-pr.com</w:t>
      </w:r>
    </w:p>
    <w:p>
      <w:pPr>
        <w:spacing w:after="0" w:line="166" w:lineRule="exact"/>
        <w:rPr>
          <w:sz w:val="20"/>
          <w:szCs w:val="20"/>
          <w:color w:val="auto"/>
        </w:rPr>
      </w:pPr>
    </w:p>
    <w:p>
      <w:pPr>
        <w:sectPr>
          <w:pgSz w:w="11900" w:h="16838" w:orient="portrait"/>
          <w:cols w:equalWidth="0" w:num="2">
            <w:col w:w="5340" w:space="720"/>
            <w:col w:w="5360"/>
          </w:cols>
          <w:pgMar w:left="240" w:top="931"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STEMCELLS ANNOUNCES FOURTH QUARTER AND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 2004 FINANCIAL RESULTS</w:t>
      </w:r>
    </w:p>
    <w:p>
      <w:pPr>
        <w:sectPr>
          <w:pgSz w:w="11900" w:h="16838" w:orient="portrait"/>
          <w:cols w:equalWidth="0" w:num="1">
            <w:col w:w="11420"/>
          </w:cols>
          <w:pgMar w:left="240" w:top="931" w:right="239" w:bottom="1440" w:gutter="0" w:footer="0" w:header="0"/>
          <w:type w:val="continuous"/>
        </w:sectPr>
      </w:pP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PALO ALTO, Calif., March 4, 2005 — StemCells, Inc. (NASDAQ: STEM) today reported its financial results for the fourth quarter and the year ended December 31, 2004.</w:t>
      </w:r>
    </w:p>
    <w:p>
      <w:pPr>
        <w:spacing w:after="0" w:line="14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reported a loss of $4,919,000, or $0.08 per share, for the fourth quarter ended December 31, 2004, compared to a loss before dividends and deemed dividends of $4,740,000, or $0.13 per share, for the fourth quarter of 2003. For the fiscal year ended December 31, 2004, the Company reported a loss of $15,330,000, or $0.31 per share, as compared to a loss before dividends and deemed dividends of $12,291,000, or $0.38 per share, for the 2003 fiscal year. The increase in net loss from 2003 to 2004 was primarily attributable to the expenditures required for pre-clinical pharmacology and toxicology studies, supplies, personnel and other external services in preparation for submitting our first investigational new drug application to the U.S. Food and Drug Administration (FDA). The increase was also attributable to a higher valuation of stock options granted to non-employees in 2004 as compared to 2003, and to the cost of external services incurred in the evaluation and testing of our internal financial control systems to meet the requirements of the new Securities and Exchange Commission rules issued under section 404 of the Sarbanes-Oxley Act.</w:t>
      </w:r>
    </w:p>
    <w:p>
      <w:pPr>
        <w:spacing w:after="0" w:line="13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Total revenue for 2004 was $141,000, compared with $273,000 in 2003. Revenue for 2004 and 2003 was primarily from grants and licensing agreements. Cash and cash equivalents were $41,060,000 at the end of 2004, compared with $13,082,000 at the end of 2003. The increase in cash and cash equivalents from 2003 to 2004 was primarily attributable to the result of two equity financing agreements with institutional and other accredited investors to raise $20 million and $22.5 million that was consummated in June 2004 and October 2004 respectively.</w:t>
      </w:r>
    </w:p>
    <w:p>
      <w:pPr>
        <w:spacing w:after="0" w:line="13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“StemCells made notable progress in the past year,” said Martin McGlynn, CEO of StemCells, Inc. “We increased our cash position to $41.1M at the end of 2004, up from $13.1M in 2003 and $4.2M in 2002, significantly strengthening our balance sheet while at the same time attracting new, qualified investors. Our management team has also been significantly strengthened. The addition of Judi Lum as Chief Financial Officer and Vice President, Finance, with her financial and operational expertise and life sciences background, has added depth to this area and we are extremely pleased with the recent hiring of Alan Jacobs, M.D., Ph.D., as our Chief Medical Officer and Vice President, Clinical Research, Neural Cell Therapy. We filed with the U.S. Food and Drug Administration the first in a series of planned IND (Investigational New Drug) applications using the Company’s patented neural stem cell product (HuCNS-SC). The trial, for the treatment of Batten Disease, a fatal genetic condition, is now on clinical hold and the Company is focused on responding thoroughly and expeditiously to the FDA’s questions. I believe that Dr. Jacobs’ experience with clinical trials of cell-based therapies will prove invaluable in preparing our response. The year also saw the issuance to us of a key patent covering human neural stem cell cultures derived from any source, including embryonic as well as fetal, neonatal and adult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StemCells, Inc.</w:t>
      </w:r>
    </w:p>
    <w:p>
      <w:pPr>
        <w:spacing w:after="0" w:line="20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more than 40 U.S. and 100 non-U.S. patents, as well as 100 patent applications pending worldwide. Further information about the Company is available on its web site at: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www.stemcellsinc.com.</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Apart from statements of historical facts, the text of this press release constitutes forward-looking statements regarding, among other things, the future business operations of StemCells, Inc. (“the Company”), expectations regarding FDA actions and the Company’s response to these actions, the Company’s ability to resolve questions raised by the FDA and to initiate clinical trials, the timing of such trials, and other future operations of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uncertainty whether the FDA will remove the clinical hold on the Company’s IND and permit the Company to proceed to clinical testing; the uncertainty regarding the outcome of the Phase I clinical trial and any other trials the Company may conduct in the future; the uncertainty regarding the validity and enforceability of issued patents; the uncertainty whether any products that may be generated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titled “Cautionary Factors Relevant to Forward-Looking Statements.”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10"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Year ended</w:t>
      </w:r>
    </w:p>
    <w:p>
      <w:pPr>
        <w:jc w:val="center"/>
        <w:ind w:left="89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23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Revenue from grants and licensing agreements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3"/>
              </w:rPr>
              <w:t>141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Operating Expenses Research and development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5"/>
          </w:tcPr>
          <w:p>
            <w:pPr>
              <w:jc w:val="right"/>
              <w:ind w:right="168"/>
              <w:spacing w:after="0"/>
              <w:rPr>
                <w:sz w:val="20"/>
                <w:szCs w:val="20"/>
                <w:color w:val="auto"/>
              </w:rPr>
            </w:pPr>
            <w:r>
              <w:rPr>
                <w:rFonts w:ascii="Arial" w:cs="Arial" w:eastAsia="Arial" w:hAnsi="Arial"/>
                <w:sz w:val="18"/>
                <w:szCs w:val="18"/>
                <w:color w:val="auto"/>
              </w:rPr>
              <w:t>8,760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&amp; administrative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68"/>
              <w:spacing w:after="0"/>
              <w:rPr>
                <w:sz w:val="20"/>
                <w:szCs w:val="20"/>
                <w:color w:val="auto"/>
              </w:rPr>
            </w:pPr>
            <w:r>
              <w:rPr>
                <w:rFonts w:ascii="Arial" w:cs="Arial" w:eastAsia="Arial" w:hAnsi="Arial"/>
                <w:sz w:val="18"/>
                <w:szCs w:val="18"/>
                <w:color w:val="auto"/>
              </w:rPr>
              <w:t>3,954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Wind-down related to former corporate headquarters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5"/>
          </w:tcPr>
          <w:p>
            <w:pPr>
              <w:jc w:val="right"/>
              <w:ind w:right="168"/>
              <w:spacing w:after="0"/>
              <w:rPr>
                <w:sz w:val="20"/>
                <w:szCs w:val="20"/>
                <w:color w:val="auto"/>
              </w:rPr>
            </w:pPr>
            <w:r>
              <w:rPr>
                <w:rFonts w:ascii="Arial" w:cs="Arial" w:eastAsia="Arial" w:hAnsi="Arial"/>
                <w:sz w:val="18"/>
                <w:szCs w:val="18"/>
                <w:color w:val="auto"/>
              </w:rPr>
              <w:t>2,827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68"/>
              <w:spacing w:after="0"/>
              <w:rPr>
                <w:sz w:val="20"/>
                <w:szCs w:val="20"/>
                <w:color w:val="auto"/>
              </w:rPr>
            </w:pPr>
            <w:r>
              <w:rPr>
                <w:rFonts w:ascii="Arial" w:cs="Arial" w:eastAsia="Arial" w:hAnsi="Arial"/>
                <w:sz w:val="18"/>
                <w:szCs w:val="18"/>
                <w:color w:val="auto"/>
              </w:rPr>
              <w:t>15,541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5"/>
          </w:tcPr>
          <w:p>
            <w:pPr>
              <w:jc w:val="right"/>
              <w:ind w:right="108"/>
              <w:spacing w:after="0"/>
              <w:rPr>
                <w:sz w:val="20"/>
                <w:szCs w:val="20"/>
                <w:color w:val="auto"/>
              </w:rPr>
            </w:pPr>
            <w:r>
              <w:rPr>
                <w:rFonts w:ascii="Arial" w:cs="Arial" w:eastAsia="Arial" w:hAnsi="Arial"/>
                <w:sz w:val="18"/>
                <w:szCs w:val="18"/>
                <w:color w:val="auto"/>
              </w:rPr>
              <w:t>(15,400)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(15,330)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Dividend to preferred shareholders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Deemed dividend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5"/>
          </w:tcPr>
          <w:p>
            <w:pPr>
              <w:jc w:val="right"/>
              <w:ind w:right="168"/>
              <w:spacing w:after="0"/>
              <w:rPr>
                <w:sz w:val="20"/>
                <w:szCs w:val="20"/>
                <w:color w:val="auto"/>
              </w:rPr>
            </w:pPr>
            <w:r>
              <w:rPr>
                <w:rFonts w:ascii="Arial" w:cs="Arial" w:eastAsia="Arial" w:hAnsi="Arial"/>
                <w:sz w:val="18"/>
                <w:szCs w:val="18"/>
                <w:color w:val="auto"/>
              </w:rPr>
              <w:t>2,066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5"/>
            <w:shd w:val="clear" w:color="auto" w:fill="CCEEFF"/>
          </w:tcPr>
          <w:p>
            <w:pPr>
              <w:jc w:val="right"/>
              <w:ind w:right="108"/>
              <w:spacing w:after="0"/>
              <w:rPr>
                <w:sz w:val="20"/>
                <w:szCs w:val="20"/>
                <w:color w:val="auto"/>
              </w:rPr>
            </w:pPr>
            <w:r>
              <w:rPr>
                <w:rFonts w:ascii="Arial" w:cs="Arial" w:eastAsia="Arial" w:hAnsi="Arial"/>
                <w:sz w:val="18"/>
                <w:szCs w:val="18"/>
                <w:color w:val="auto"/>
              </w:rPr>
              <w:t>( 15,330)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loss per share applicable to common shareholders; basic and diluted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5"/>
          </w:tcPr>
          <w:p>
            <w:pPr>
              <w:jc w:val="right"/>
              <w:ind w:right="108"/>
              <w:spacing w:after="0"/>
              <w:rPr>
                <w:sz w:val="20"/>
                <w:szCs w:val="20"/>
                <w:color w:val="auto"/>
              </w:rPr>
            </w:pPr>
            <w:r>
              <w:rPr>
                <w:rFonts w:ascii="Arial" w:cs="Arial" w:eastAsia="Arial" w:hAnsi="Arial"/>
                <w:sz w:val="18"/>
                <w:szCs w:val="18"/>
                <w:color w:val="auto"/>
              </w:rPr>
              <w:t>( 0.31)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( 0.45)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basic and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68"/>
              <w:spacing w:after="0"/>
              <w:rPr>
                <w:sz w:val="20"/>
                <w:szCs w:val="20"/>
                <w:color w:val="auto"/>
              </w:rPr>
            </w:pPr>
            <w:r>
              <w:rPr>
                <w:rFonts w:ascii="Arial" w:cs="Arial" w:eastAsia="Arial" w:hAnsi="Arial"/>
                <w:sz w:val="18"/>
                <w:szCs w:val="18"/>
                <w:color w:val="auto"/>
                <w:w w:val="86"/>
              </w:rPr>
              <w:t>49,606,277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32,080,233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8140" w:type="dxa"/>
            <w:vAlign w:val="bottom"/>
          </w:tcPr>
          <w:p>
            <w:pPr>
              <w:ind w:left="5140"/>
              <w:spacing w:after="0"/>
              <w:rPr>
                <w:sz w:val="20"/>
                <w:szCs w:val="20"/>
                <w:color w:val="auto"/>
              </w:rPr>
            </w:pPr>
            <w:r>
              <w:rPr>
                <w:rFonts w:ascii="Arial" w:cs="Arial" w:eastAsia="Arial" w:hAnsi="Arial"/>
                <w:sz w:val="18"/>
                <w:szCs w:val="18"/>
                <w:b w:val="1"/>
                <w:bCs w:val="1"/>
                <w:color w:val="auto"/>
              </w:rPr>
              <w:t>StemCells Inc.</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40" w:type="dxa"/>
            <w:vAlign w:val="bottom"/>
          </w:tcPr>
          <w:p>
            <w:pPr>
              <w:ind w:left="4140"/>
              <w:spacing w:after="0"/>
              <w:rPr>
                <w:sz w:val="20"/>
                <w:szCs w:val="20"/>
                <w:color w:val="auto"/>
              </w:rPr>
            </w:pPr>
            <w:r>
              <w:rPr>
                <w:rFonts w:ascii="Arial" w:cs="Arial" w:eastAsia="Arial" w:hAnsi="Arial"/>
                <w:sz w:val="18"/>
                <w:szCs w:val="18"/>
                <w:b w:val="1"/>
                <w:bCs w:val="1"/>
                <w:color w:val="auto"/>
              </w:rPr>
              <w:t>Condensed Consolidated Balance Sheets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1"/>
              </w:rPr>
              <w:t>2003 (a)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&amp; cash equivalents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41,060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41,450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3,424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47,627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3,383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36,949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10,964</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Total liabilities, redeemable preferred stock and stockholders’ equity</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47,627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Derived from audited financial statements included in StemCells’ annual report on form 10-K/A filed with the SEC.</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2019-12-13T20:59:32Z</dcterms:created>
  <dcterms:modified xsi:type="dcterms:W3CDTF">2019-12-13T20:59:32Z</dcterms:modified>
</cp:coreProperties>
</file>