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333-276487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8</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June 21,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June 21, 2024 as supplemented (the “Prospectus”), relating to the resale of up to 1,769,966 shares of our common stock, $0.01 par value per share, representing shares issuable upon the exercise of outstanding preferred investment options held by the selling stockholders named in the Prospectus, including their transferees, pledgees, donees or successors.</w:t>
      </w:r>
    </w:p>
    <w:p>
      <w:pPr>
        <w:spacing w:after="0" w:line="180"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 the Prospectus with (a) certain information otherwise reported by us with the Securities and Exchange Commission and (b) the information contained in our Quarterly Report on Form 10-Q for the fiscal quarter ended September 30, 2024, filed with the Securities and Exchange Commission on November 13, 2024 (the “10-Q”). Accordingly, we have included such information in and attached the 10-Q to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18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December 6, 2024, the closing price of our common stock was $0.9777.</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December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510(k) Premarket Notification Submission</w:t>
      </w:r>
    </w:p>
    <w:p>
      <w:pPr>
        <w:spacing w:after="0" w:line="23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have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Annual Meeting of Stockholders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scheduled our 2024 Annual Meeting of Shareholders (the “Annual Meeting”) for 11:00 A.M., Eastern Time on December 17, 2024.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shareholders will be asked to vote on:</w:t>
      </w:r>
    </w:p>
    <w:p>
      <w:pPr>
        <w:spacing w:after="0" w:line="207" w:lineRule="exact"/>
        <w:rPr>
          <w:sz w:val="20"/>
          <w:szCs w:val="20"/>
          <w:color w:val="auto"/>
        </w:rPr>
      </w:pPr>
    </w:p>
    <w:p>
      <w:pPr>
        <w:ind w:firstLine="656"/>
        <w:spacing w:after="0" w:line="282" w:lineRule="auto"/>
        <w:tabs>
          <w:tab w:leader="none" w:pos="83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Prattipati Laxminarain and David J. Wilson as the Class III directors to our Board of Directors to serve until the 2027 Annual Meeting of Shareholders;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3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our 2020 Omnibus Performance Award Plan, to increase the number of authorized shares of common stock reserved for issuance by 600,000, from 2,020,652 to 2,620,652;</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Brightman Almagor Zohar &amp; Co., a Member of Deloitte Touche Tohmatsu Limited, or its U.S. affiliate, as our independent registered public accounting firm for the year ending December 31, 2024; and</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and further business as may properly come before the meeting or any adjournment thereof.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Yoseph Bornstein’s term as a director expires at the Annual Meeting and he is not nominated for reelection at the Annual Meeting. We have nominated David J. Wilson for the Class III directorship being vacated at the Annual Meeting when Mr. Bornstein’s three-year term ends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October 25, 2024, by (i) each of our directors and director nominees,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October 25, 2024. We calculated percentage ownership in accordance with the rules of the SEC. the percentage of common stock beneficially owned is based on 16,931,931 shares outstanding as of October 25, 2024. In addition, shares issuable pursuant to options or other convertible securities that may be acquired within 60 days of October 25, 2024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38"/>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Borders>
              <w:bottom w:val="single" w:sz="8" w:color="CCEEFF"/>
            </w:tcBorders>
          </w:tcPr>
          <w:p>
            <w:pPr>
              <w:spacing w:after="0"/>
              <w:rPr>
                <w:sz w:val="20"/>
                <w:szCs w:val="20"/>
                <w:color w:val="auto"/>
              </w:rPr>
            </w:pPr>
          </w:p>
        </w:tc>
      </w:tr>
      <w:tr>
        <w:trPr>
          <w:trHeight w:val="250"/>
        </w:trPr>
        <w:tc>
          <w:tcPr>
            <w:tcW w:w="67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Harel Gadot</w:t>
            </w:r>
            <w:r>
              <w:rPr>
                <w:rFonts w:ascii="Times New Roman" w:cs="Times New Roman" w:eastAsia="Times New Roman" w:hAnsi="Times New Roman"/>
                <w:sz w:val="28"/>
                <w:szCs w:val="28"/>
                <w:color w:val="auto"/>
                <w:vertAlign w:val="superscript"/>
              </w:rPr>
              <w:t>(1)</w:t>
            </w:r>
          </w:p>
        </w:tc>
        <w:tc>
          <w:tcPr>
            <w:tcW w:w="20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1,120,273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Yoseph Bornstein</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309,768</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67,740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67,740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67,740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62,644</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100,669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Eyal Morag</w:t>
            </w:r>
            <w:r>
              <w:rPr>
                <w:rFonts w:ascii="Times New Roman" w:cs="Times New Roman" w:eastAsia="Times New Roman" w:hAnsi="Times New Roman"/>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15,687</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61,053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66,849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David J. Wilson</w:t>
            </w:r>
            <w:r>
              <w:rPr>
                <w:rFonts w:ascii="Times New Roman" w:cs="Times New Roman" w:eastAsia="Times New Roman" w:hAnsi="Times New Roman"/>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(6)</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1,940,163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(ii) 77,846 shares of our common stock issuable upon the exercise of options granted to MEDX Ventures Group LLC, and (iii) 905,580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242,028 shares of our common stock owned by LSA - Life Science Accelerator Ltd. and (ii) 67,740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w:t>
      </w:r>
    </w:p>
    <w:p>
      <w:pPr>
        <w:sectPr>
          <w:pgSz w:w="11900" w:h="16876" w:orient="portrait"/>
          <w:cols w:equalWidth="0" w:num="1">
            <w:col w:w="11240"/>
          </w:cols>
          <w:pgMar w:left="320" w:top="657" w:right="339" w:bottom="0" w:gutter="0" w:footer="0" w:header="0"/>
        </w:sectPr>
      </w:pPr>
    </w:p>
    <w:bookmarkStart w:id="2" w:name="page3"/>
    <w:bookmarkEnd w:id="2"/>
    <w:p>
      <w:pPr>
        <w:jc w:val="both"/>
        <w:ind w:left="332"/>
        <w:spacing w:after="0" w:line="257" w:lineRule="auto"/>
        <w:rPr>
          <w:sz w:val="20"/>
          <w:szCs w:val="20"/>
          <w:color w:val="auto"/>
        </w:rPr>
      </w:pPr>
      <w:r>
        <w:rPr>
          <w:rFonts w:ascii="Times New Roman" w:cs="Times New Roman" w:eastAsia="Times New Roman" w:hAnsi="Times New Roman"/>
          <w:sz w:val="18"/>
          <w:szCs w:val="18"/>
          <w:color w:val="auto"/>
        </w:rPr>
        <w:t>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 Mr. Bornstein’s terms as a director expires at the Annual Meeting.</w:t>
      </w:r>
    </w:p>
    <w:p>
      <w:pPr>
        <w:spacing w:after="0" w:line="1" w:lineRule="exact"/>
        <w:rPr>
          <w:sz w:val="20"/>
          <w:szCs w:val="20"/>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Morag resigned from his positions with the Company, effective November 29, 2023.</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w:t>
      </w:r>
    </w:p>
    <w:p>
      <w:pPr>
        <w:spacing w:after="0" w:line="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492125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0"/>
          <w:szCs w:val="20"/>
          <w:color w:val="auto"/>
        </w:rPr>
      </w:pPr>
    </w:p>
    <w:p>
      <w:pPr>
        <w:ind w:left="3780" w:right="2200" w:hanging="3772"/>
        <w:spacing w:after="0" w:line="477" w:lineRule="auto"/>
        <w:tabs>
          <w:tab w:leader="none" w:pos="327"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2024</w:t>
      </w:r>
    </w:p>
    <w:p>
      <w:pPr>
        <w:spacing w:after="0" w:line="41" w:lineRule="exact"/>
        <w:rPr>
          <w:sz w:val="20"/>
          <w:szCs w:val="20"/>
          <w:color w:val="auto"/>
        </w:rPr>
      </w:pPr>
    </w:p>
    <w:p>
      <w:pPr>
        <w:ind w:left="3680" w:right="2620" w:hanging="3672"/>
        <w:spacing w:after="0" w:line="500" w:lineRule="auto"/>
        <w:tabs>
          <w:tab w:leader="none" w:pos="337"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 to____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000-19871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of Registrant in Its Charter)</w:t>
      </w:r>
    </w:p>
    <w:p>
      <w:pPr>
        <w:sectPr>
          <w:pgSz w:w="11900" w:h="16838" w:orient="portrait"/>
          <w:cols w:equalWidth="0" w:num="1">
            <w:col w:w="11240"/>
          </w:cols>
          <w:pgMar w:left="320" w:top="956" w:right="339" w:bottom="978" w:gutter="0" w:footer="0" w:header="0"/>
        </w:sectPr>
      </w:pPr>
    </w:p>
    <w:p>
      <w:pPr>
        <w:spacing w:after="0" w:line="20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94-3078125</w:t>
      </w:r>
    </w:p>
    <w:p>
      <w:pPr>
        <w:spacing w:after="0" w:line="27"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i w:val="1"/>
          <w:iCs w:val="1"/>
          <w:color w:val="auto"/>
        </w:rPr>
        <w:t>Identification No.)</w:t>
      </w:r>
    </w:p>
    <w:p>
      <w:pPr>
        <w:spacing w:after="0" w:line="200" w:lineRule="exact"/>
        <w:rPr>
          <w:sz w:val="20"/>
          <w:szCs w:val="20"/>
          <w:color w:val="auto"/>
        </w:rPr>
      </w:pPr>
    </w:p>
    <w:p>
      <w:pPr>
        <w:sectPr>
          <w:pgSz w:w="11900" w:h="16838" w:orient="portrait"/>
          <w:cols w:equalWidth="0" w:num="2">
            <w:col w:w="7100" w:space="720"/>
            <w:col w:w="3420"/>
          </w:cols>
          <w:pgMar w:left="320" w:top="956" w:right="339" w:bottom="978"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288 Grove Street, Suite 388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Braintree, MA 02184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ectPr>
          <w:pgSz w:w="11900" w:h="16838" w:orient="portrait"/>
          <w:cols w:equalWidth="0" w:num="1">
            <w:col w:w="11240"/>
          </w:cols>
          <w:pgMar w:left="320" w:top="956" w:right="339" w:bottom="978"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(781) 875-3605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56" w:right="339" w:bottom="978" w:gutter="0" w:footer="0" w:header="0"/>
          <w:type w:val="continuous"/>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3340" w:space="720"/>
            <w:col w:w="7180"/>
          </w:cols>
          <w:pgMar w:left="320" w:top="956" w:right="339" w:bottom="978" w:gutter="0" w:footer="0" w:header="0"/>
          <w:type w:val="continuous"/>
        </w:sectPr>
      </w:pPr>
    </w:p>
    <w:p>
      <w:pPr>
        <w:spacing w:after="0" w:line="3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14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3">
            <w:col w:w="3340" w:space="720"/>
            <w:col w:w="2860" w:space="720"/>
            <w:col w:w="3600"/>
          </w:cols>
          <w:pgMar w:left="320" w:top="956" w:right="339" w:bottom="978" w:gutter="0" w:footer="0" w:header="0"/>
          <w:type w:val="continuous"/>
        </w:sectPr>
      </w:pPr>
    </w:p>
    <w:p>
      <w:pPr>
        <w:spacing w:after="0" w:line="77"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16,932,341 shares of Common Stock, $0.01 par value at November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6" w:right="339" w:bottom="978"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60" w:type="dxa"/>
            <w:vAlign w:val="bottom"/>
            <w:gridSpan w:val="9"/>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MICROBOT MEDICAL INC. AND SUBSIDIARY</w:t>
            </w:r>
          </w:p>
        </w:tc>
        <w:tc>
          <w:tcPr>
            <w:tcW w:w="840" w:type="dxa"/>
            <w:vAlign w:val="bottom"/>
          </w:tcPr>
          <w:p>
            <w:pPr>
              <w:spacing w:after="0"/>
              <w:rPr>
                <w:sz w:val="18"/>
                <w:szCs w:val="18"/>
                <w:color w:val="auto"/>
              </w:rPr>
            </w:pPr>
          </w:p>
        </w:tc>
      </w:tr>
      <w:tr>
        <w:trPr>
          <w:trHeight w:val="238"/>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6"/>
          </w:tcPr>
          <w:p>
            <w:pPr>
              <w:jc w:val="center"/>
              <w:ind w:right="47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40" w:type="dxa"/>
            <w:vAlign w:val="bottom"/>
          </w:tcPr>
          <w:p>
            <w:pPr>
              <w:spacing w:after="0"/>
              <w:rPr>
                <w:sz w:val="20"/>
                <w:szCs w:val="20"/>
                <w:color w:val="auto"/>
              </w:rPr>
            </w:pPr>
          </w:p>
        </w:tc>
      </w:tr>
      <w:tr>
        <w:trPr>
          <w:trHeight w:val="216"/>
        </w:trPr>
        <w:tc>
          <w:tcPr>
            <w:tcW w:w="104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840" w:type="dxa"/>
            <w:vAlign w:val="bottom"/>
            <w:shd w:val="clear" w:color="auto" w:fill="CCEEFF"/>
          </w:tcPr>
          <w:p>
            <w:pPr>
              <w:spacing w:after="0"/>
              <w:rPr>
                <w:sz w:val="18"/>
                <w:szCs w:val="18"/>
                <w:color w:val="auto"/>
              </w:rPr>
            </w:pPr>
          </w:p>
        </w:tc>
      </w:tr>
      <w:tr>
        <w:trPr>
          <w:trHeight w:val="216"/>
        </w:trPr>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 Financial Statements</w:t>
            </w:r>
          </w:p>
        </w:tc>
        <w:tc>
          <w:tcPr>
            <w:tcW w:w="840" w:type="dxa"/>
            <w:vAlign w:val="bottom"/>
          </w:tcPr>
          <w:p>
            <w:pPr>
              <w:spacing w:after="0"/>
              <w:rPr>
                <w:sz w:val="18"/>
                <w:szCs w:val="18"/>
                <w:color w:val="auto"/>
              </w:rPr>
            </w:pPr>
          </w:p>
        </w:tc>
      </w:tr>
      <w:tr>
        <w:trPr>
          <w:trHeight w:val="196"/>
        </w:trPr>
        <w:tc>
          <w:tcPr>
            <w:tcW w:w="88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Condensed Consolidated Balance Sheets as of September 30, 2024 (Unaudited) and December 31, 2023 (Audited)</w:t>
            </w:r>
          </w:p>
        </w:tc>
        <w:tc>
          <w:tcPr>
            <w:tcW w:w="1580" w:type="dxa"/>
            <w:vAlign w:val="bottom"/>
            <w:tcBorders>
              <w:bottom w:val="single" w:sz="8" w:color="CCEEFF"/>
            </w:tcBorders>
            <w:gridSpan w:val="4"/>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4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Comprehensive Loss for the Three and Nine Months Ended September 30, 2024 and 2023</w:t>
            </w:r>
          </w:p>
        </w:tc>
        <w:tc>
          <w:tcPr>
            <w:tcW w:w="84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96"/>
        </w:trPr>
        <w:tc>
          <w:tcPr>
            <w:tcW w:w="99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46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5"/>
        </w:trPr>
        <w:tc>
          <w:tcPr>
            <w:tcW w:w="996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Condensed Consolidated Statements of Shareholders’ Equity for the Three and Nine Months Ended September 30, 2024 and 2023</w:t>
            </w:r>
          </w:p>
        </w:tc>
        <w:tc>
          <w:tcPr>
            <w:tcW w:w="4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7"/>
        </w:trPr>
        <w:tc>
          <w:tcPr>
            <w:tcW w:w="880" w:type="dxa"/>
            <w:vAlign w:val="bottom"/>
            <w:tcBorders>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9520" w:type="dxa"/>
            <w:vAlign w:val="bottom"/>
            <w:tcBorders>
              <w:bottom w:val="single" w:sz="8" w:color="CCEEFF"/>
            </w:tcBorders>
            <w:gridSpan w:val="16"/>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176"/>
        </w:trPr>
        <w:tc>
          <w:tcPr>
            <w:tcW w:w="104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Cash Flows for the Nine Months Ended September 30, 2024 and 2023 (Unaudited)</w:t>
            </w:r>
          </w:p>
        </w:tc>
        <w:tc>
          <w:tcPr>
            <w:tcW w:w="84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Interim Condensed Consolidated Financial Statements</w:t>
            </w:r>
          </w:p>
        </w:tc>
        <w:tc>
          <w:tcPr>
            <w:tcW w:w="5820" w:type="dxa"/>
            <w:vAlign w:val="bottom"/>
            <w:tcBorders>
              <w:bottom w:val="single" w:sz="8" w:color="CCEEFF"/>
            </w:tcBorders>
            <w:gridSpan w:val="8"/>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4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84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 Quantitative and Qualitative Disclosures About Market Risk</w:t>
            </w:r>
          </w:p>
        </w:tc>
        <w:tc>
          <w:tcPr>
            <w:tcW w:w="5420" w:type="dxa"/>
            <w:vAlign w:val="bottom"/>
            <w:tcBorders>
              <w:bottom w:val="single" w:sz="8" w:color="CCEEFF"/>
            </w:tcBorders>
            <w:gridSpan w:val="6"/>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5"/>
        </w:trPr>
        <w:tc>
          <w:tcPr>
            <w:tcW w:w="104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84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840" w:type="dxa"/>
            <w:vAlign w:val="bottom"/>
            <w:shd w:val="clear" w:color="auto" w:fill="CCEEFF"/>
          </w:tcPr>
          <w:p>
            <w:pPr>
              <w:spacing w:after="0"/>
              <w:rPr>
                <w:sz w:val="17"/>
                <w:szCs w:val="17"/>
                <w:color w:val="auto"/>
              </w:rPr>
            </w:pPr>
          </w:p>
        </w:tc>
      </w:tr>
      <w:tr>
        <w:trPr>
          <w:trHeight w:val="176"/>
        </w:trPr>
        <w:tc>
          <w:tcPr>
            <w:tcW w:w="21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Item 1 - Legal Proceedings</w:t>
            </w:r>
          </w:p>
        </w:tc>
        <w:tc>
          <w:tcPr>
            <w:tcW w:w="8280" w:type="dxa"/>
            <w:vAlign w:val="bottom"/>
            <w:tcBorders>
              <w:top w:val="single" w:sz="8" w:color="CCEEFF"/>
            </w:tcBorders>
            <w:gridSpan w:val="11"/>
          </w:tcPr>
          <w:p>
            <w:pPr>
              <w:spacing w:after="0"/>
              <w:rPr>
                <w:sz w:val="15"/>
                <w:szCs w:val="15"/>
                <w:color w:val="auto"/>
              </w:rPr>
            </w:pPr>
          </w:p>
        </w:tc>
        <w:tc>
          <w:tcPr>
            <w:tcW w:w="840" w:type="dxa"/>
            <w:vAlign w:val="bottom"/>
            <w:tcBorders>
              <w:top w:val="single" w:sz="8" w:color="CCEEFF"/>
            </w:tcBorders>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 Risk Factors</w:t>
            </w:r>
          </w:p>
        </w:tc>
        <w:tc>
          <w:tcPr>
            <w:tcW w:w="8740" w:type="dxa"/>
            <w:vAlign w:val="bottom"/>
            <w:tcBorders>
              <w:bottom w:val="single" w:sz="8" w:color="CCEEFF"/>
            </w:tcBorders>
            <w:gridSpan w:val="14"/>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104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84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 Defaults Upon Senior Securities</w:t>
            </w:r>
          </w:p>
        </w:tc>
        <w:tc>
          <w:tcPr>
            <w:tcW w:w="84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29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7460" w:type="dxa"/>
            <w:vAlign w:val="bottom"/>
            <w:tcBorders>
              <w:top w:val="single" w:sz="8" w:color="CCEEFF"/>
            </w:tcBorders>
            <w:gridSpan w:val="9"/>
          </w:tcPr>
          <w:p>
            <w:pPr>
              <w:spacing w:after="0"/>
              <w:rPr>
                <w:sz w:val="15"/>
                <w:szCs w:val="15"/>
                <w:color w:val="auto"/>
              </w:rPr>
            </w:pPr>
          </w:p>
        </w:tc>
        <w:tc>
          <w:tcPr>
            <w:tcW w:w="840" w:type="dxa"/>
            <w:vAlign w:val="bottom"/>
            <w:tcBorders>
              <w:top w:val="single" w:sz="8" w:color="CCEEFF"/>
            </w:tcBorders>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 Other Information</w:t>
            </w:r>
          </w:p>
        </w:tc>
        <w:tc>
          <w:tcPr>
            <w:tcW w:w="8460" w:type="dxa"/>
            <w:vAlign w:val="bottom"/>
            <w:tcBorders>
              <w:bottom w:val="single" w:sz="8" w:color="CCEEFF"/>
            </w:tcBorders>
            <w:gridSpan w:val="13"/>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104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Item 6 - Exhibits</w:t>
            </w:r>
          </w:p>
        </w:tc>
        <w:tc>
          <w:tcPr>
            <w:tcW w:w="84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8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6"/>
        </w:trPr>
        <w:tc>
          <w:tcPr>
            <w:tcW w:w="104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84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8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20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09"/>
        </w:trPr>
        <w:tc>
          <w:tcPr>
            <w:tcW w:w="6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gridSpan w:val="2"/>
          </w:tcPr>
          <w:p>
            <w:pPr>
              <w:spacing w:after="0"/>
              <w:rPr>
                <w:sz w:val="18"/>
                <w:szCs w:val="18"/>
                <w:color w:val="auto"/>
              </w:rPr>
            </w:pPr>
          </w:p>
        </w:tc>
      </w:tr>
      <w:tr>
        <w:trPr>
          <w:trHeight w:val="216"/>
        </w:trPr>
        <w:tc>
          <w:tcPr>
            <w:tcW w:w="6200" w:type="dxa"/>
            <w:vAlign w:val="bottom"/>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receivable related to legal settlement and legal expenses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18"/>
                <w:szCs w:val="18"/>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63"/>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6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3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9"/>
                <w:szCs w:val="19"/>
                <w:color w:val="auto"/>
              </w:rPr>
            </w:pPr>
          </w:p>
        </w:tc>
      </w:tr>
      <w:tr>
        <w:trPr>
          <w:trHeight w:val="21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r>
      <w:tr>
        <w:trPr>
          <w:trHeight w:val="210"/>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16,651,433 and</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11,707,317 shares issued and outstanding as of September 30, 2024 and</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91,192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09"/>
        </w:trPr>
        <w:tc>
          <w:tcPr>
            <w:tcW w:w="6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6"/>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9"/>
                <w:szCs w:val="19"/>
                <w:color w:val="auto"/>
              </w:rPr>
            </w:pPr>
          </w:p>
        </w:tc>
        <w:tc>
          <w:tcPr>
            <w:tcW w:w="2680" w:type="dxa"/>
            <w:vAlign w:val="bottom"/>
            <w:gridSpan w:val="6"/>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r>
      <w:tr>
        <w:trPr>
          <w:trHeight w:val="223"/>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4"/>
          </w:tcPr>
          <w:p>
            <w:pPr>
              <w:jc w:val="center"/>
              <w:ind w:left="550"/>
              <w:spacing w:after="0"/>
              <w:rPr>
                <w:sz w:val="20"/>
                <w:szCs w:val="20"/>
                <w:color w:val="auto"/>
              </w:rPr>
            </w:pPr>
            <w:r>
              <w:rPr>
                <w:rFonts w:ascii="Times New Roman" w:cs="Times New Roman" w:eastAsia="Times New Roman" w:hAnsi="Times New Roman"/>
                <w:sz w:val="18"/>
                <w:szCs w:val="18"/>
                <w:color w:val="auto"/>
                <w:w w:val="98"/>
              </w:rPr>
              <w:t>Unaudited</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rPr>
              <w:t>Unaudited</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2,060</w:t>
            </w:r>
          </w:p>
        </w:tc>
        <w:tc>
          <w:tcPr>
            <w:tcW w:w="5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1,612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4,646</w:t>
            </w:r>
          </w:p>
        </w:tc>
        <w:tc>
          <w:tcPr>
            <w:tcW w:w="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4,594</w:t>
            </w: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180" w:type="dxa"/>
            <w:vAlign w:val="bottom"/>
          </w:tcPr>
          <w:p>
            <w:pPr>
              <w:spacing w:after="0"/>
              <w:rPr>
                <w:sz w:val="19"/>
                <w:szCs w:val="19"/>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932</w:t>
            </w:r>
          </w:p>
        </w:tc>
        <w:tc>
          <w:tcPr>
            <w:tcW w:w="200" w:type="dxa"/>
            <w:vAlign w:val="bottom"/>
          </w:tcPr>
          <w:p>
            <w:pPr>
              <w:spacing w:after="0"/>
              <w:rPr>
                <w:sz w:val="19"/>
                <w:szCs w:val="19"/>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3,193</w:t>
            </w:r>
          </w:p>
        </w:tc>
      </w:tr>
      <w:tr>
        <w:trPr>
          <w:trHeight w:val="209"/>
        </w:trPr>
        <w:tc>
          <w:tcPr>
            <w:tcW w:w="52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w:t>
            </w: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5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(0.53)</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197"/>
        </w:trPr>
        <w:tc>
          <w:tcPr>
            <w:tcW w:w="520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16,471,419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11,707,317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15,129,574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9,653,337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2"/>
        </w:trPr>
        <w:tc>
          <w:tcPr>
            <w:tcW w:w="4180" w:type="dxa"/>
            <w:vAlign w:val="bottom"/>
          </w:tcPr>
          <w:p>
            <w:pPr>
              <w:spacing w:after="0"/>
              <w:rPr>
                <w:sz w:val="21"/>
                <w:szCs w:val="21"/>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3,576,689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229"/>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(2,446)</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Balances, September 30, 2023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83,587</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2"/>
        </w:trPr>
        <w:tc>
          <w:tcPr>
            <w:tcW w:w="4180" w:type="dxa"/>
            <w:vAlign w:val="bottom"/>
          </w:tcPr>
          <w:p>
            <w:pPr>
              <w:spacing w:after="0"/>
              <w:rPr>
                <w:sz w:val="21"/>
                <w:szCs w:val="21"/>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11,707,317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4,501</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1,685,682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1,005,965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63"/>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14,398,964</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87,894</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(81,872</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1,566,669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2,006</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(2,465)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63"/>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June 30,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15,965,633</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90,231</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at-the-market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program, net of issuance costs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685,800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3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(3,215)</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2024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16,651,433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approximately $333. See Note 4A.</w:t>
      </w:r>
    </w:p>
    <w:p>
      <w:pPr>
        <w:spacing w:after="0" w:line="27"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3G.</w:t>
      </w:r>
    </w:p>
    <w:p>
      <w:pPr>
        <w:spacing w:after="0" w:line="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approximately $328. See also Note 4B.</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Net of issuance costs in the amount of approximately $49. See also Note 4D.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6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(8,051)</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(7,586)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1,067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1,335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(1,100)</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4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(5,120)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(8,379)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2,680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short term deposit</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4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5,104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4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(1,990)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2,517</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6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186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8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52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460" w:type="dxa"/>
            <w:vAlign w:val="bottom"/>
            <w:tcBorders>
              <w:top w:val="single" w:sz="8" w:color="CCEEFF"/>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Accrued executive bonus settled through grant of stock-option awards</w:t>
            </w:r>
          </w:p>
        </w:tc>
        <w:tc>
          <w:tcPr>
            <w:tcW w:w="46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September 30, 2024, the Company had cash equivalents and a marketable securities balance of approximately $4,338, excluding restricted cash. Due to continuing research and development activities, the Company expects to continue to incur additional losses for the foreseeable future, as well as to seek to raise additional funds through future issuances of either debt and/or equity securities and possibly additional grants from government institutions. The Company will require additional capital and its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ongoing military operations and armed conflicts in the Gaza Strip. It continues to evolve and has since spread to northern Israel and threatens to spread to other Middle Eastern countries including Lebanon and Iran. These military operations and related activities are on-going as of the issuance date of these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firstLine="8"/>
        <w:spacing w:after="0" w:line="282" w:lineRule="auto"/>
        <w:tabs>
          <w:tab w:leader="none" w:pos="1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w:t>
      </w:r>
    </w:p>
    <w:p>
      <w:pPr>
        <w:spacing w:after="0" w:line="16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 and</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workforce due to military service of some employees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 Unaudited Interim Condensed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for interim condensed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 These interim condensed consolidated financial statements should be read in conjunction with the latest audited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nine-month period ended September 30, 2024 are not necessarily indicative of the results that may be expected for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condensed consolidated financial statements are identical to those applied in the preparation of the Company’s latest annual audited financial statements, except if noted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3,859</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26"/>
        </w:trPr>
        <w:tc>
          <w:tcPr>
            <w:tcW w:w="47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7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2,497</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2,497</w:t>
            </w:r>
          </w:p>
        </w:tc>
        <w:tc>
          <w:tcPr>
            <w:tcW w:w="1100" w:type="dxa"/>
            <w:vAlign w:val="bottom"/>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1,420</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1,420</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47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3,917</w:t>
            </w:r>
          </w:p>
        </w:tc>
        <w:tc>
          <w:tcPr>
            <w:tcW w:w="3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September 30, 2024 and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or market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for awards that qualify as “plain-vanilla”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determination of each of the inputs can affect the fair value of the stock options granted and the results of operations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to update reportable segment disclosure requirements, primarily through enhanced disclosures about significant segment expenses. The amendment is effective for fiscal years beginning after December 15, 2023 and interim periods within fiscal years beginning after December 15, 2024, with early adoption permitted. The amendment should be applied retrospectively to all prior periods presented in the financial statements. The Company is currently evaluating the impact that the adoption of this standard will have on its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September 30, 2024 totaling approximately $1,878. This includes amounts received of approximately $378,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 See also Notes 3C and 5C below.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September 30, 2024, the Company received approximately $50 of such grant. In relation with the Ministry of Economy grant, the Company is obligated to pay royalties amounting to 3% of future sales of the LIBERTY® Endovascular Robotic Surgical System up to the grant amount plus interest.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spacing w:after="0" w:line="16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See also Note 5C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Microbot Israel transferred the Technology back to CardioSert, for nominal consideration, pursuant to the terms of the CardioSert Agreement. As a result, Microbot Israel’s liability to repay CardioSert’s IIA grants in the aggregate amount of approximately $530 was also transferred back to CardioSert.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The Company entered into an amendment, dated July 1, 2024, to the ATM Agreement with Wainwright dated June 10, 2021, relating to the offer and sale of shares of the Company’s common stock having an aggregate offering price of up to approximately $4,820 from time to time through Wainwright, acting as sales agent. The compensation to Wainwright for sales of the shares is a placement fee of 3.0% of the gross sales price of the shares of common stock sold pursuant to this ATM Agreement. See also Notes 4D and 5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on October 24, 2023 and on May 29, 2024,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 In the first quarter of 2024, the Company received $1,335 from the insurance company, subsequently closing the asset recorded as of December 31, 2023. Additionally, during the first quarter of 2024, the Company paid the settlement amount by transferring $1,100 to the Plaintiffs and issuing 1,005,965 shares of the Company’s common stock, thereby closing the liability recorded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69"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 Mona’s appellate brief was filed on June 28, 2024 and the Company’s opposition has also been filed. The Company is waiting for the Court’s determination as to whether oral arguments will be required, which if so are expected to be held by January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10, 2024, Mona posted a bond in the full amount of the Judgment, which the Company will move to collect if the appeal is denied or the original judgment in the Company’s favor is upheld.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future capital raising: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Compensation Committee of the Board of Directors of the Company approved certain bonuses for the 2023 fiscal year contingent on capital raising efforts. These bonuses are detailed as follows: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CEO was granted a contingent cash bonus of up to approximately $298, which is divided into two contingent portions. The first 50% of the CEO’s contingent bonus ($149) is payable upon the Company raising at least $3,000 in new funds by June 30, 2024. As of June 30, 2024, the Company did not raise $3,000 in new funds. However, on July 17, 2024, the Compensation Committee of the Board of Directors of the Company nevertheless approved the payment of the first 50% of the contingent bonus to the Company’s CEO in the amount of approximately $149. This bonus was recorded as a charge to expenses in the three-month period ended September 30,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remaining 50% ($149), payable upon the Company raising at least $6,000 in new funds by September 30, 2024 (cumulative, so if $3,000 is not raised by June 30, 2024 but the full $6,000 is raised by September 30, 2024, or if $10,000 is raised by December 31, 2024, the full amount is payable). The Company’s management is unable to predict the likelihood of securing additional capital; therefore, as of September 30, 2024, the Company has not recorded a liability for any contingent bonus.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executives are entitled to an aggregate contingent total bonus of NIS 230,736 (approximately $61), which is payable upon the Company raising at least $3,000 in new funds by September 30, 2024. During the third quarter of 2024, the Company achieved a cumulative capital raise of $3,000. On July 17, 2024, the Compensation Committee of the Board of Directors of the Company approved the payment of such bonuses to the Company’s CFO and CTO in the aggregate amount of approximately $61. This bonus was recorded as a charge to expenses in the three-month period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Preferred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Preferred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June 2024 Offerings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the Company entered into Securities Purchase Agreements with institutional investors, pursuant to which the Company agreed to issue and sell, in a registered direct offering priced at-the-market under the rules of The Nasdaq Stock Market, an aggregate of 1,566,669 shares of the Company’s common stock, par value $0.01 per share, at an offering price of $1.50 per share, for aggregate gross proceeds from the Offerings of approximately $2,350 before deducting the placement agent fee and related offering expenses of approximately $328. In a concurrent private placement, the Company agreed to issue to the investors series F preferred investment options to purchase up to 3,133,338 shares of common stock at an exercise price of $1.50 per share. Each Series F preferred investment option is exercisable immediately and will expire two years from the initial exercise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78,333 shares of common stock which have the same terms as investors’ preferred investment options except for an exercise price equal to $1.875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Equity component of settlement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Settlement Agreement (refer to Note 3G above), the Company issued 1,005,965 shares of the Company’s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D. At-the-market offerings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the Company filed with the SEC a prospectus supplement relating to the offer, issuance and sale of up to $4,820 of the Company’s shares of common stock pursuant to the ATM Agreement. For the three months ended September 30, 2024, the Company issued 685,800 shares of the Company’s common stock pursuant to the ATM Agreement, for total gross proceeds of approximately $734 before deducting sales agent commissions and other offering expenses of $49.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common stock of the Company are recognized as equity under the requirements of ASC Topic 505 Equity.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E and series F preferred investment options and concluded that they should be classified as equity.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Employee and advisor stock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granted the CEO and other executives, options to purchase an aggregate of 132,500 shares of the Company’s common stock at an exercise price per share of $1.25, with vesting based on meeting certain performance conditions in the year 2024. For the nine-month period ended September 30, 2024, the Company did not record an expense for these performance-based grants. This was either because the Company’s management believes the conditions are tied to securing additional capital, or because specific performance obligations, with deadlines set on or before September 30, 2024, were not met by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and certain employees and advisors, options to purchase an aggregate of 195,000 shares of the Company’s common stock, at an exercise price per share of $1.2684, with a vesting period of three years. 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September 2024, the Company granted an advisor options to purchase an aggregate of 25,000 shares of the Company’s common stock, at an exercise price per share of $0.8558, with a vesting period of three years.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offerings subsequent to balance sheet date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October 2024, the Company issued 280,908 shares of the Company’s common stock pursuant to the ATM Agreement, for total gross proceeds of approximately $285.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2023.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2023.</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 Endovascular Robotic Surgical System</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 Endovascular Robotic Surgical System features a unique compact design with the capability to be operated remotely, reduce radiation exposure and physical strain to the physician, reduce the risk of cross contamination, as</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20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unique characteristics of the LIBERTY®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 Endovascular Robotic Surgical System is being designed to have the following attributes:</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 - Can be made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guidewire/microcatheter technologies, that combines guidewire and microcatheter into a single device.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ectPr>
          <w:pgSz w:w="11900" w:h="16838" w:orient="portrait"/>
          <w:cols w:equalWidth="0" w:num="1">
            <w:col w:w="11240"/>
          </w:cols>
          <w:pgMar w:left="320" w:top="657" w:right="339" w:bottom="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 Endovascular Robotic Surgical System. The pivotal study was conducted by three leading interventional radiologists that utilized the LIBERTY® Endovascular Robotic Surgical System</w:t>
      </w:r>
    </w:p>
    <w:p>
      <w:pPr>
        <w:jc w:val="both"/>
        <w:spacing w:after="0" w:line="227" w:lineRule="auto"/>
        <w:rPr>
          <w:sz w:val="20"/>
          <w:szCs w:val="20"/>
          <w:color w:val="auto"/>
        </w:rPr>
      </w:pPr>
      <w:r>
        <w:rPr>
          <w:rFonts w:ascii="Times New Roman" w:cs="Times New Roman" w:eastAsia="Times New Roman" w:hAnsi="Times New Roman"/>
          <w:sz w:val="18"/>
          <w:szCs w:val="18"/>
          <w:color w:val="auto"/>
        </w:rPr>
        <w:t>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As a result, we recently were granted ISO 13485 certification for our quality management system, which is required to obtain CE mark approval for sales in the European Union. In addition, in view of the recent revision published by the U.S. Food &amp; Drug Administration (FDA) regarding the QMSR (quality system management regulation) and its incorporation by reference of the ISO 13485 standard, we believe it will help streamline our transition into this revised FDA regulation.</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the Company submitted an Investigational Device Exemption (IDE) application with the FDA, in order to commence its pivotal clinical trial in humans. On June 3, 2024, we announced that we received the FDA’s approval to proceed with our pivotal human clinical trial as part of our</w:t>
      </w:r>
    </w:p>
    <w:p>
      <w:pPr>
        <w:jc w:val="both"/>
        <w:spacing w:after="0" w:line="209" w:lineRule="auto"/>
        <w:rPr>
          <w:sz w:val="20"/>
          <w:szCs w:val="20"/>
          <w:color w:val="auto"/>
        </w:rPr>
      </w:pPr>
      <w:r>
        <w:rPr>
          <w:rFonts w:ascii="Times New Roman" w:cs="Times New Roman" w:eastAsia="Times New Roman" w:hAnsi="Times New Roman"/>
          <w:sz w:val="18"/>
          <w:szCs w:val="18"/>
          <w:color w:val="auto"/>
        </w:rPr>
        <w:t>IDE application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Brigham and Women’s Hospital, Boston, Massachusetts, Baptist Hospital of Miami, which includes Miami Cardiac &amp; Vascular Institute and Miami Cancer Institute, and Memorial Sloan Kettering Cancer Center, New</w:t>
      </w:r>
    </w:p>
    <w:p>
      <w:pPr>
        <w:spacing w:after="0" w:line="2"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York, have each enrolled in the clinical trial as part of the IDE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in October 2024, the Company has successfully completed enrollment and follow up for all patients in its human clinical trial.</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announced that is has successfully completed all biocompatibility tests, as required by its Investigational Device Exemption (IDE) application and received full approval for the IDE study from the FDA.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anticipates filing its 510(k) submission with the FDA by of the end of 2024, and receiving 510(k) clearance from the FDA in the first half of 2025. Due to recent changes in the regulations that govern the production and distribution of medical devices in Europe (EU MDR), where the Company has already achieved the first step of obtaining the ISO 13485 certification, the Company now anticipates CE Mark approval in the second half of 2026. However, we can give no assurance that we will meet any of these projected milestones, if ever.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 Endovascular Robotic Surgical System with an imaging system to create an autonomous robotic system for endovascular procedures.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NovaCross</w:t>
      </w:r>
      <w:r>
        <w:rPr>
          <w:rFonts w:ascii="Times New Roman" w:cs="Times New Roman" w:eastAsia="Times New Roman" w:hAnsi="Times New Roman"/>
          <w:sz w:val="29"/>
          <w:szCs w:val="29"/>
          <w:i w:val="1"/>
          <w:iCs w:val="1"/>
          <w:color w:val="auto"/>
          <w:vertAlign w:val="superscript"/>
        </w:rPr>
        <w:t>®</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 in Israel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ongoing military operations and armed conflicts in the Gaza Strip. It continues to evolve and has since spread to northern Israel and threatens to spread to other Middle Eastern countries including Lebanon and Iran. These military operations and related activities are on-going as of the filing date of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 and</w:t>
      </w:r>
    </w:p>
    <w:p>
      <w:pPr>
        <w:sectPr>
          <w:pgSz w:w="11900" w:h="16838" w:orient="portrait"/>
          <w:cols w:equalWidth="0" w:num="1">
            <w:col w:w="11240"/>
          </w:cols>
          <w:pgMar w:left="320" w:top="665" w:right="339" w:bottom="0" w:gutter="0" w:footer="0" w:header="0"/>
        </w:sectPr>
      </w:pPr>
    </w:p>
    <w:bookmarkStart w:id="19" w:name="page20"/>
    <w:bookmarkEnd w:id="19"/>
    <w:p>
      <w:pPr>
        <w:ind w:left="328" w:hanging="328"/>
        <w:spacing w:after="0"/>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workforce due to military service of some employees.</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7"/>
          </w:cols>
          <w:pgMar w:left="652" w:top="121" w:right="1440"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this Quarterly Report on Form 10-Q,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and insurance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Three and </w:t>
      </w:r>
      <w:r>
        <w:rPr>
          <w:rFonts w:ascii="Times New Roman" w:cs="Times New Roman" w:eastAsia="Times New Roman" w:hAnsi="Times New Roman"/>
          <w:sz w:val="18"/>
          <w:szCs w:val="18"/>
          <w:b w:val="1"/>
          <w:bCs w:val="1"/>
          <w:color w:val="auto"/>
        </w:rPr>
        <w:t>Nine</w:t>
      </w:r>
      <w:r>
        <w:rPr>
          <w:rFonts w:ascii="Times New Roman" w:cs="Times New Roman" w:eastAsia="Times New Roman" w:hAnsi="Times New Roman"/>
          <w:sz w:val="18"/>
          <w:szCs w:val="18"/>
          <w:b w:val="1"/>
          <w:bCs w:val="1"/>
          <w:i w:val="1"/>
          <w:iCs w:val="1"/>
          <w:color w:val="auto"/>
        </w:rPr>
        <w:t xml:space="preserve"> Months Ended September 30, 2024 and 2023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and nine month periods ended September 30,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4"/>
              </w:rPr>
              <w:t>Change</w:t>
            </w:r>
          </w:p>
        </w:tc>
      </w:tr>
      <w:tr>
        <w:trPr>
          <w:trHeight w:val="209"/>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2,060</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4,646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4,594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net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3,549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 net</w:t>
      </w:r>
      <w:r>
        <w:rPr>
          <w:rFonts w:ascii="Times New Roman" w:cs="Times New Roman" w:eastAsia="Times New Roman" w:hAnsi="Times New Roman"/>
          <w:sz w:val="18"/>
          <w:szCs w:val="18"/>
          <w:color w:val="auto"/>
        </w:rPr>
        <w:t>. The increase in research and development expenses for the three months ended September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2023 was primarily due to an increase in clinical study expenses, regulation consultations and payroll expenses, offset by deduction of government grants and a decrease in animal study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expenses for the nine months ended September 30, 2024 compared to the nine months ended September 30, 2023 was primarily due to the increases in payroll expenses due to the cease of cost reduction plan which was implemented in 2023, an increase in clinical study expenses and increase in regulation expenses, offset by a decrease in stock based compensation expenses, a decrease in animal study expenses and a decrease due to deduction of government grants.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 net</w:t>
      </w:r>
      <w:r>
        <w:rPr>
          <w:rFonts w:ascii="Times New Roman" w:cs="Times New Roman" w:eastAsia="Times New Roman" w:hAnsi="Times New Roman"/>
          <w:sz w:val="18"/>
          <w:szCs w:val="18"/>
          <w:color w:val="auto"/>
        </w:rPr>
        <w:t>. The increase in general and administrative expenses for the three months ended September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three months ended September 30, 2023 was primarily due to an increase in payroll expenses due to the cease of cost reduction plan which was implemented in 2023, offset by a decrease in legal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nine months ended September 30, 2024 compared to the nine-month period ended September 30, 2023 was primarily due to an increase in payroll expenses due to the cease of cost reduction plan which was implemented in 2023 as well as increase in stock based compensation expenses, offset by a decrease in travel expenses and legal expenses.</w:t>
      </w:r>
    </w:p>
    <w:p>
      <w:pPr>
        <w:spacing w:after="0" w:line="1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Financing Income, net</w:t>
      </w:r>
      <w:r>
        <w:rPr>
          <w:rFonts w:ascii="Times New Roman" w:cs="Times New Roman" w:eastAsia="Times New Roman" w:hAnsi="Times New Roman"/>
          <w:sz w:val="18"/>
          <w:szCs w:val="18"/>
          <w:color w:val="auto"/>
        </w:rPr>
        <w:t>. The decrease in financing income, net for the three and nine months ended September 30, 2024 compared to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was primarily due to expenses incurred from changes in exchange rates, partially offset by an increase in interest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September 30, 2024, Microbot had a net working capital of approximately $3.6 million, consisting primarily of cash and cash equivalents and marketable securities. This compares to net working capital of approximately $4.1 million as of December 31, 2023.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September 30, 2024, Microbot has raised cash proceeds of approximately $72.8 million and incurred a total cumulative loss of approximately $87.5 million.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September 30, 2024 in the total amount of approximately $1.9 million. This amount includes amounts received of approximately $378,000, which are a portion of an additional grant from the IIA in the amount of approximately NIS 1.6 million (approximately $447,000) approved by the IIA on June 1, 2023,</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as well as to assume CardioSert’s grants from the IIA</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the aggregate amount of approximately $530,000. During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quarter of 2024, Microbot Israel transferred such technology back to CardioSert, for nominal consideration and, as a result, Microbot Israel’s liability to repay CardioSert’s IIA grants in the aggregate amount of approximately $530,000 was also transferred back to CardioSert.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798"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 Endovascular Robotic Surgical System in the U.S. market. In relation to the Ministry of Economy grant, the Company is obligated to pay royalties amounting to 3% of future sales of the LIBERTY® Endovascular Robotic Surgical System up to the grant amount plus interest.</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May and June 2023, Microbot raised aggregate gross proceeds of approximately $7.6 million, before fees and expenses of approximately $1.1 million, from investors, to continue to fund its operations</w:t>
      </w:r>
    </w:p>
    <w:p>
      <w:pPr>
        <w:spacing w:after="0" w:line="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and research and development activities and will need additional funds to continue the FDA approval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also raised approximately $5.05 million in gross proceeds, before fees and expenses of approximately $661,000, from financing activities through September 30, 2024, and raised an aggregate of approximately $734,000 in gross proceeds, before fees and expenses of approximately $49,000, through our recently reinstated At-the-Market Agreement with HC Wainwright (the “ATM Agreement”) since July 1, 2024. To the extent available, Microbot intends to raise capital through future public and private issuances of debt and/or equity securities, including continuing to raise capital, if available, pursuant to the ATM Agreement until the maximum of $4,819,905 is raised.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interim condensed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nine-month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560" w:type="dxa"/>
            <w:vAlign w:val="bottom"/>
            <w:tcBorders>
              <w:bottom w:val="single" w:sz="8" w:color="auto"/>
            </w:tcBorders>
            <w:gridSpan w:val="5"/>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(984)</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5,104</w:t>
            </w: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460" w:type="dxa"/>
            <w:vAlign w:val="bottom"/>
          </w:tcPr>
          <w:p>
            <w:pPr>
              <w:spacing w:after="0"/>
              <w:rPr>
                <w:sz w:val="19"/>
                <w:szCs w:val="19"/>
                <w:color w:val="auto"/>
              </w:rPr>
            </w:pPr>
          </w:p>
        </w:tc>
        <w:tc>
          <w:tcPr>
            <w:tcW w:w="1300" w:type="dxa"/>
            <w:vAlign w:val="bottom"/>
            <w:tcBorders>
              <w:top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300" w:type="dxa"/>
            <w:vAlign w:val="bottom"/>
            <w:tcBorders>
              <w:top w:val="single" w:sz="8" w:color="auto"/>
            </w:tcBorders>
          </w:tcPr>
          <w:p>
            <w:pPr>
              <w:jc w:val="right"/>
              <w:ind w:right="1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cash flows used in operating activities for the nine months ended September 30, 2024 compared to 2023 was primarily due to ceasing our cost reduction plan which was implemented in 2023, which led to an increase in the net loss in the nine months ended September 30, 2024 as costs again increased.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cash flows provided by (used in) investing activities for the nine months ended September 30, 2024 compared to 2023 was mainly due to the timing of purchases, sales and maturities of our marketable securities portfolio.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cash flows provided by financing activities for the nine months ended September 30, 2024 compared to 2023 was due to a decrease in net proceeds received from fundraising activities from 2023 to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September 30,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September 30, 2024. Based on that review and evaluation, the Chief Executive Officer and Chief Financial Officer, along with the management of the Company, have determined that as of September 30, 2024,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3.H. Mona Litigation:”, to the financial statements included earlier in this Quarterly Report on Form 10-Q.</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our risk factors contained in our Annual Report on Form 10-K for the year ended December 31, 2023. For a further discussion of our Risk Factors, refer to Part I, Item 1A, “Risk Factors,” of our Annual Report on Form 10-K for the year ended December 31, 2023.</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 If we are not able to comply with the applicable continued listing requirements or standards of the Nasdaq Capital Markets, Nasdaq could delist our common stock.</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minimum stockholders’ equity, minimum market value, minimum share price, and certain corporate governance requirements.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2024, we received a deficiency letter from the Nasdaq Listing Qualifications department of The Nasdaq Stock Market, LLC, notifying us that we are not in compliance with Nasdaq Listing Rule 5550(a)(2) (the “Minimum Bid Price Requirement”) for continued listing on the Nasdaq Capital Market, as the minimum bid price of our common stock on the Nasdaq Capital Market was below $1.00 for 30 consecutive business days, from August 26, 2024 to October 7,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be in a position to regain compliance with the Minimum Bid Price Requirement or remain in compliance with any other listing requirements or standards.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Nasdaq delists our common stock from trading on its exchange for failure to meet the listing standards, we and our stockholders could face significant material adverse consequences including:</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common stock is “penny stock” which will require brokers trading in the common stock to adhere to more stringent rules and possibly result in a reduced level of trading activity in the secondary trading market for our securities;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To the extent our common stock are listed on Nasdaq, they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 in each state in which we offer our securities.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delisting from Nasdaq, our common stock may be traded, if at all, in the over-the-counter inter-dealer quotation system, more commonly known as the OTC. OTC transactions involve risks in addition to those associated with transactions in securities traded on securities exchanges such as Nasdaq. Many OTC stocks trade less frequently and in smaller volumes than exchange-listed stocks. Accordingly, our stock would be less liquid than it would be otherwise. Also, the values of OTC stocks are often more volatile than exchange-listed stocks. Additionally, institutional investors are often prohibited from investing in OTC stocks, and it might be more challenging to raise capital when needed.</w:t>
      </w:r>
    </w:p>
    <w:p>
      <w:pPr>
        <w:spacing w:after="0" w:line="18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 addition, if our common stock is delisted, your ability to transfer or sell your shares of our common stock may be limited and the value of those securities will be materially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657" w:right="339" w:bottom="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officer, as defined in Rule 16a-1(f) under the Securities Exchange Act of 1934, as amended, of the Company adopted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00" w:type="dxa"/>
            <w:vAlign w:val="bottom"/>
            <w:tcBorders>
              <w:bottom w:val="single" w:sz="8" w:color="0000EE"/>
            </w:tcBorders>
            <w:gridSpan w:val="25"/>
          </w:tcPr>
          <w:p>
            <w:pPr>
              <w:ind w:left="20"/>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1240" w:type="dxa"/>
            <w:vAlign w:val="bottom"/>
          </w:tcPr>
          <w:p>
            <w:pPr>
              <w:spacing w:after="0"/>
              <w:rPr>
                <w:sz w:val="17"/>
                <w:szCs w:val="17"/>
                <w:color w:val="auto"/>
              </w:rPr>
            </w:pPr>
          </w:p>
        </w:tc>
        <w:tc>
          <w:tcPr>
            <w:tcW w:w="8980" w:type="dxa"/>
            <w:vAlign w:val="bottom"/>
            <w:tcBorders>
              <w:bottom w:val="single" w:sz="8" w:color="0000EE"/>
            </w:tcBorders>
            <w:gridSpan w:val="17"/>
          </w:tcPr>
          <w:p>
            <w:pPr>
              <w:ind w:left="20"/>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020" w:type="dxa"/>
            <w:vAlign w:val="bottom"/>
            <w:gridSpan w:val="8"/>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fiscal year ended December 31, 2006 and filed on March 15, 2007).</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w:t>
              </w:r>
            </w:hyperlink>
          </w:p>
        </w:tc>
      </w:tr>
      <w:tr>
        <w:trPr>
          <w:trHeight w:val="196"/>
        </w:trPr>
        <w:tc>
          <w:tcPr>
            <w:tcW w:w="1240" w:type="dxa"/>
            <w:vAlign w:val="bottom"/>
          </w:tcPr>
          <w:p>
            <w:pPr>
              <w:spacing w:after="0"/>
              <w:rPr>
                <w:sz w:val="17"/>
                <w:szCs w:val="17"/>
                <w:color w:val="auto"/>
              </w:rPr>
            </w:pPr>
          </w:p>
        </w:tc>
        <w:tc>
          <w:tcPr>
            <w:tcW w:w="4220" w:type="dxa"/>
            <w:vAlign w:val="bottom"/>
            <w:tcBorders>
              <w:bottom w:val="single" w:sz="8" w:color="0000EE"/>
            </w:tcBorders>
            <w:gridSpan w:val="11"/>
          </w:tcPr>
          <w:p>
            <w:pPr>
              <w:ind w:left="20"/>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Current Report on Form 8-K filed on November 29, 2016)</w:t>
              </w:r>
            </w:hyperlink>
          </w:p>
        </w:tc>
        <w:tc>
          <w:tcPr>
            <w:tcW w:w="5780" w:type="dxa"/>
            <w:vAlign w:val="bottom"/>
            <w:gridSpan w:val="14"/>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w:t>
              </w:r>
            </w:hyperlink>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8-K filed on September 4, 2018).</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Amended and Restated By-Laws of the Company (incorporated by reference to the Company’s Current Report on Form 8-K filed on May</w:t>
              </w:r>
            </w:hyperlink>
          </w:p>
        </w:tc>
      </w:tr>
      <w:tr>
        <w:trPr>
          <w:trHeight w:val="196"/>
        </w:trPr>
        <w:tc>
          <w:tcPr>
            <w:tcW w:w="1240" w:type="dxa"/>
            <w:vAlign w:val="bottom"/>
          </w:tcPr>
          <w:p>
            <w:pPr>
              <w:spacing w:after="0"/>
              <w:rPr>
                <w:sz w:val="17"/>
                <w:szCs w:val="17"/>
                <w:color w:val="auto"/>
              </w:rPr>
            </w:pPr>
          </w:p>
        </w:tc>
        <w:tc>
          <w:tcPr>
            <w:tcW w:w="66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6"/>
              </w:rPr>
            </w:pPr>
            <w:hyperlink r:id="rId39">
              <w:r>
                <w:rPr>
                  <w:rFonts w:ascii="Times New Roman" w:cs="Times New Roman" w:eastAsia="Times New Roman" w:hAnsi="Times New Roman"/>
                  <w:sz w:val="18"/>
                  <w:szCs w:val="18"/>
                  <w:color w:val="0000EE"/>
                  <w:w w:val="96"/>
                </w:rPr>
                <w:t>3, 2016).</w:t>
              </w:r>
            </w:hyperlink>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Certificate of Elimination (incorporated by reference to the Company’s Current Report on Form 8-K filed on December 12, 2018).</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w:t>
              </w:r>
            </w:hyperlink>
          </w:p>
        </w:tc>
      </w:tr>
      <w:tr>
        <w:trPr>
          <w:trHeight w:val="196"/>
        </w:trPr>
        <w:tc>
          <w:tcPr>
            <w:tcW w:w="1240" w:type="dxa"/>
            <w:vAlign w:val="bottom"/>
          </w:tcPr>
          <w:p>
            <w:pPr>
              <w:spacing w:after="0"/>
              <w:rPr>
                <w:sz w:val="17"/>
                <w:szCs w:val="17"/>
                <w:color w:val="auto"/>
              </w:rPr>
            </w:pPr>
          </w:p>
        </w:tc>
        <w:tc>
          <w:tcPr>
            <w:tcW w:w="2920" w:type="dxa"/>
            <w:vAlign w:val="bottom"/>
            <w:tcBorders>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8"/>
              </w:rPr>
            </w:pPr>
            <w:hyperlink r:id="rId41">
              <w:r>
                <w:rPr>
                  <w:rFonts w:ascii="Times New Roman" w:cs="Times New Roman" w:eastAsia="Times New Roman" w:hAnsi="Times New Roman"/>
                  <w:sz w:val="18"/>
                  <w:szCs w:val="18"/>
                  <w:color w:val="0000EE"/>
                  <w:w w:val="98"/>
                </w:rPr>
                <w:t>Form 8-K filed on September 11, 2019).</w:t>
              </w:r>
            </w:hyperlink>
          </w:p>
        </w:tc>
        <w:tc>
          <w:tcPr>
            <w:tcW w:w="7080" w:type="dxa"/>
            <w:vAlign w:val="bottom"/>
            <w:gridSpan w:val="18"/>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Report on Form 8-K filed on May 3, 2021).</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w:t>
              </w:r>
            </w:hyperlink>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ended December 31, 2019).</w:t>
              </w:r>
            </w:hyperlink>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280" w:type="dxa"/>
            <w:vAlign w:val="bottom"/>
            <w:tcBorders>
              <w:bottom w:val="single" w:sz="8" w:color="0000EE"/>
            </w:tcBorders>
            <w:gridSpan w:val="22"/>
          </w:tcPr>
          <w:p>
            <w:pPr>
              <w:ind w:left="20"/>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Form of Series A Warrant (incorporated by reference to the Registrant’s Current Report on Form 8-K filed on October 25, 2022)</w:t>
              </w:r>
            </w:hyperlink>
          </w:p>
        </w:tc>
        <w:tc>
          <w:tcPr>
            <w:tcW w:w="720" w:type="dxa"/>
            <w:vAlign w:val="bottom"/>
            <w:gridSpan w:val="3"/>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Wainwright Warrant (incorporated by reference to the Registrant’s Current Report on Form 8-K filed on October 25, 2022)</w:t>
              </w:r>
            </w:hyperlink>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9260" w:type="dxa"/>
            <w:vAlign w:val="bottom"/>
            <w:tcBorders>
              <w:top w:val="single" w:sz="8" w:color="0000EE"/>
              <w:bottom w:val="single" w:sz="8" w:color="0000EE"/>
            </w:tcBorders>
            <w:gridSpan w:val="21"/>
          </w:tcPr>
          <w:p>
            <w:pPr>
              <w:ind w:left="20"/>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Form of Wainwright Warrant (incorporated by reference to the Registrant’s Current Report on Form 8-K filed on May 23, 2023)</w:t>
              </w:r>
            </w:hyperlink>
          </w:p>
        </w:tc>
        <w:tc>
          <w:tcPr>
            <w:tcW w:w="220" w:type="dxa"/>
            <w:vAlign w:val="bottom"/>
            <w:tcBorders>
              <w:top w:val="single" w:sz="8" w:color="0000EE"/>
            </w:tcBorders>
            <w:gridSpan w:val="3"/>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9260" w:type="dxa"/>
            <w:vAlign w:val="bottom"/>
            <w:tcBorders>
              <w:bottom w:val="single" w:sz="8" w:color="0000EE"/>
            </w:tcBorders>
            <w:gridSpan w:val="21"/>
          </w:tcPr>
          <w:p>
            <w:pPr>
              <w:ind w:left="20"/>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Form of Wainwright Warrant (incorporated by reference to the Registrant’s Current Report on Form 8-K filed on May 24, 2023)</w:t>
              </w:r>
            </w:hyperlink>
          </w:p>
        </w:tc>
        <w:tc>
          <w:tcPr>
            <w:tcW w:w="740" w:type="dxa"/>
            <w:vAlign w:val="bottom"/>
            <w:gridSpan w:val="4"/>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Warrant Amendment Agreement (incorporated by reference to the Registrant’s Current Report on Form 8-K filed on May 24,</w:t>
              </w:r>
            </w:hyperlink>
          </w:p>
        </w:tc>
      </w:tr>
      <w:tr>
        <w:trPr>
          <w:trHeight w:val="196"/>
        </w:trPr>
        <w:tc>
          <w:tcPr>
            <w:tcW w:w="1240" w:type="dxa"/>
            <w:vAlign w:val="bottom"/>
          </w:tcPr>
          <w:p>
            <w:pPr>
              <w:spacing w:after="0"/>
              <w:rPr>
                <w:sz w:val="17"/>
                <w:szCs w:val="17"/>
                <w:color w:val="auto"/>
              </w:rPr>
            </w:pPr>
          </w:p>
        </w:tc>
        <w:tc>
          <w:tcPr>
            <w:tcW w:w="600" w:type="dxa"/>
            <w:vAlign w:val="bottom"/>
            <w:gridSpan w:val="2"/>
          </w:tcPr>
          <w:p>
            <w:pPr>
              <w:ind w:left="20"/>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2023)</w:t>
              </w:r>
            </w:hyperlink>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Form of Series C Warrant (incorporated by reference to the Registrant’s Current Report on Form 8-K filed on June 6, 2023)</w:t>
              </w:r>
            </w:hyperlink>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Wainwright Warrant (incorporated by reference to the Registrant’s Current Report on Form 8-K filed on June 6, 2023)</w:t>
              </w:r>
            </w:hyperlink>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9140" w:type="dxa"/>
            <w:vAlign w:val="bottom"/>
            <w:tcBorders>
              <w:top w:val="single" w:sz="8" w:color="0000EE"/>
            </w:tcBorders>
            <w:gridSpan w:val="19"/>
          </w:tcPr>
          <w:p>
            <w:pPr>
              <w:ind w:left="20"/>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Series D Warrant (incorporated by reference to the Registrant’s Current Report on Form 8-K filed on June 28, 2023)</w:t>
              </w:r>
            </w:hyperlink>
          </w:p>
        </w:tc>
        <w:tc>
          <w:tcPr>
            <w:tcW w:w="860" w:type="dxa"/>
            <w:vAlign w:val="bottom"/>
            <w:gridSpan w:val="6"/>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9240" w:type="dxa"/>
            <w:vAlign w:val="bottom"/>
            <w:tcBorders>
              <w:bottom w:val="single" w:sz="8" w:color="0000EE"/>
            </w:tcBorders>
            <w:gridSpan w:val="20"/>
          </w:tcPr>
          <w:p>
            <w:pPr>
              <w:ind w:left="20"/>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Form of Wainwright Warrant (incorporated by reference to the Registrant’s Current Report on Form 8-K filed on June 28, 2023)</w:t>
              </w:r>
            </w:hyperlink>
          </w:p>
        </w:tc>
        <w:tc>
          <w:tcPr>
            <w:tcW w:w="760" w:type="dxa"/>
            <w:vAlign w:val="bottom"/>
            <w:gridSpan w:val="5"/>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Form of Inducement Investment Option (incorporated by reference to the Registrant’s Current Report on Form 8-K filed on January 2,</w:t>
              </w:r>
            </w:hyperlink>
          </w:p>
        </w:tc>
      </w:tr>
      <w:tr>
        <w:trPr>
          <w:trHeight w:val="196"/>
        </w:trPr>
        <w:tc>
          <w:tcPr>
            <w:tcW w:w="1240" w:type="dxa"/>
            <w:vAlign w:val="bottom"/>
          </w:tcPr>
          <w:p>
            <w:pPr>
              <w:spacing w:after="0"/>
              <w:rPr>
                <w:sz w:val="17"/>
                <w:szCs w:val="17"/>
                <w:color w:val="auto"/>
              </w:rPr>
            </w:pPr>
          </w:p>
        </w:tc>
        <w:tc>
          <w:tcPr>
            <w:tcW w:w="600" w:type="dxa"/>
            <w:vAlign w:val="bottom"/>
            <w:gridSpan w:val="2"/>
          </w:tcPr>
          <w:p>
            <w:pPr>
              <w:ind w:left="20"/>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2024)</w:t>
              </w:r>
            </w:hyperlink>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w:t>
              </w:r>
            </w:hyperlink>
          </w:p>
        </w:tc>
      </w:tr>
      <w:tr>
        <w:trPr>
          <w:trHeight w:val="196"/>
        </w:trPr>
        <w:tc>
          <w:tcPr>
            <w:tcW w:w="1240" w:type="dxa"/>
            <w:vAlign w:val="bottom"/>
          </w:tcPr>
          <w:p>
            <w:pPr>
              <w:spacing w:after="0"/>
              <w:rPr>
                <w:sz w:val="17"/>
                <w:szCs w:val="17"/>
                <w:color w:val="auto"/>
              </w:rPr>
            </w:pPr>
          </w:p>
        </w:tc>
        <w:tc>
          <w:tcPr>
            <w:tcW w:w="660" w:type="dxa"/>
            <w:vAlign w:val="bottom"/>
            <w:gridSpan w:val="3"/>
          </w:tcPr>
          <w:p>
            <w:pPr>
              <w:ind w:left="20"/>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2, 2024)</w:t>
              </w:r>
            </w:hyperlink>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Form of Series F Warrant (incorporated by reference to the Registrant’s Current Report on Form 8-K filed on June 4, 2024)</w:t>
              </w:r>
            </w:hyperlink>
          </w:p>
        </w:tc>
      </w:tr>
      <w:tr>
        <w:trPr>
          <w:trHeight w:val="20"/>
        </w:trPr>
        <w:tc>
          <w:tcPr>
            <w:tcW w:w="124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Form of Wainwright Warrant (incorporated by reference to the Registrant’s Current Report on Form 8-K filed on June 4, 2024)</w:t>
              </w:r>
            </w:hyperlink>
          </w:p>
        </w:tc>
      </w:tr>
      <w:tr>
        <w:trPr>
          <w:trHeight w:val="20"/>
        </w:trPr>
        <w:tc>
          <w:tcPr>
            <w:tcW w:w="124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Securities Purchase Agreement, dated as of June 3, 2024, by and among the Company and the purchasers party thereto.</w:t>
              </w:r>
            </w:hyperlink>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(incorporated by reference to Exhibit 10.1 to the Registrant’s Current Report on Form 8-K filed on June 4, 2024)</w:t>
              </w:r>
            </w:hyperlink>
          </w:p>
        </w:tc>
      </w:tr>
      <w:tr>
        <w:trPr>
          <w:trHeight w:val="20"/>
        </w:trPr>
        <w:tc>
          <w:tcPr>
            <w:tcW w:w="124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00" w:type="dxa"/>
            <w:vAlign w:val="bottom"/>
            <w:tcBorders>
              <w:bottom w:val="single" w:sz="8" w:color="0000EE"/>
            </w:tcBorders>
            <w:gridSpan w:val="25"/>
          </w:tcPr>
          <w:p>
            <w:pPr>
              <w:ind w:left="20"/>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Amendment to the At the Market Offering Agreement, dated July 1, 2024, by and between Microbot Medical Inc. and H.C. Wainwright &amp;</w:t>
              </w:r>
            </w:hyperlink>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Co., LLC (incorporated by reference to the Registrant’s Current Report on Form 8-K filed on July 1, 2024)</w:t>
              </w:r>
            </w:hyperlink>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680" w:type="dxa"/>
            <w:vAlign w:val="bottom"/>
            <w:tcBorders>
              <w:top w:val="single" w:sz="8" w:color="0000EE"/>
              <w:bottom w:val="single" w:sz="8" w:color="0000EE"/>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Certification of Harel Gadot, Chairman, President and Chief Executive Officer</w:t>
            </w:r>
          </w:p>
        </w:tc>
        <w:tc>
          <w:tcPr>
            <w:tcW w:w="2020" w:type="dxa"/>
            <w:vAlign w:val="bottom"/>
            <w:tcBorders>
              <w:top w:val="single" w:sz="8" w:color="0000EE"/>
            </w:tcBorders>
          </w:tcPr>
          <w:p>
            <w:pPr>
              <w:spacing w:after="0"/>
              <w:rPr>
                <w:sz w:val="17"/>
                <w:szCs w:val="17"/>
                <w:color w:val="auto"/>
              </w:rPr>
            </w:pPr>
          </w:p>
        </w:tc>
        <w:tc>
          <w:tcPr>
            <w:tcW w:w="2300" w:type="dxa"/>
            <w:vAlign w:val="bottom"/>
            <w:gridSpan w:val="11"/>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98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Certification of Rachel Vaknin, Chief Financial Officer</w:t>
            </w:r>
          </w:p>
        </w:tc>
        <w:tc>
          <w:tcPr>
            <w:tcW w:w="6020" w:type="dxa"/>
            <w:vAlign w:val="bottom"/>
            <w:gridSpan w:val="15"/>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00" w:type="dxa"/>
            <w:vAlign w:val="bottom"/>
            <w:tcBorders>
              <w:bottom w:val="single" w:sz="8" w:color="0000EE"/>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Harel Gadot, Chairman, President and Chief Executive Officer, pursuant to 18 U.S.C. Section 1350, as adopted pursuant</w:t>
            </w:r>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to Section 906 of the Sarbanes-Oxley Act of 2002</w:t>
            </w:r>
          </w:p>
        </w:tc>
      </w:tr>
      <w:tr>
        <w:trPr>
          <w:trHeight w:val="20"/>
        </w:trPr>
        <w:tc>
          <w:tcPr>
            <w:tcW w:w="124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00" w:type="dxa"/>
            <w:vAlign w:val="bottom"/>
            <w:tcBorders>
              <w:bottom w:val="single" w:sz="8" w:color="0000EE"/>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Rachel Vaknin, Chief Financial Officer, pursuant to 18 U.S.C. Section 1350, as adopted pursuant to Section 906 of the</w:t>
            </w:r>
          </w:p>
        </w:tc>
      </w:tr>
      <w:tr>
        <w:trPr>
          <w:trHeight w:val="196"/>
        </w:trPr>
        <w:tc>
          <w:tcPr>
            <w:tcW w:w="1240" w:type="dxa"/>
            <w:vAlign w:val="bottom"/>
          </w:tcPr>
          <w:p>
            <w:pPr>
              <w:spacing w:after="0"/>
              <w:rPr>
                <w:sz w:val="17"/>
                <w:szCs w:val="17"/>
                <w:color w:val="auto"/>
              </w:rPr>
            </w:pPr>
          </w:p>
        </w:tc>
        <w:tc>
          <w:tcPr>
            <w:tcW w:w="1000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24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7940" w:type="dxa"/>
            <w:vAlign w:val="bottom"/>
            <w:gridSpan w:val="20"/>
          </w:tcPr>
          <w:p>
            <w:pPr>
              <w:spacing w:after="0" w:line="20" w:lineRule="exact"/>
              <w:rPr>
                <w:sz w:val="1"/>
                <w:szCs w:val="1"/>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w:t>
            </w:r>
          </w:p>
        </w:tc>
      </w:tr>
      <w:tr>
        <w:trPr>
          <w:trHeight w:val="216"/>
        </w:trPr>
        <w:tc>
          <w:tcPr>
            <w:tcW w:w="1240" w:type="dxa"/>
            <w:vAlign w:val="bottom"/>
          </w:tcPr>
          <w:p>
            <w:pPr>
              <w:spacing w:after="0"/>
              <w:rPr>
                <w:sz w:val="18"/>
                <w:szCs w:val="18"/>
                <w:color w:val="auto"/>
              </w:rPr>
            </w:pP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1240" w:type="dxa"/>
            <w:vAlign w:val="bottom"/>
          </w:tcPr>
          <w:p>
            <w:pPr>
              <w:spacing w:after="0"/>
              <w:rPr>
                <w:sz w:val="18"/>
                <w:szCs w:val="18"/>
                <w:color w:val="auto"/>
              </w:rPr>
            </w:pP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bl>
    <w:p>
      <w:pPr>
        <w:spacing w:after="0" w:line="198" w:lineRule="exact"/>
        <w:rPr>
          <w:sz w:val="20"/>
          <w:szCs w:val="20"/>
          <w:color w:val="auto"/>
        </w:rPr>
      </w:pPr>
    </w:p>
    <w:p>
      <w:pPr>
        <w:ind w:left="5540" w:right="3460" w:hanging="5532"/>
        <w:spacing w:after="0" w:line="532" w:lineRule="auto"/>
        <w:tabs>
          <w:tab w:leader="none" w:pos="1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this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November,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Rachel Vaknin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Harel Gadot,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1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 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13,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Rachel Vaknin,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1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 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1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13,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September 30, 2024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13,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Harel Gadot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Rachel Vaknin, Chief Financial Officer of Microbot Medical Inc., hereby certify, pursuant to 18 U.S.C. Section 1350, as adopted pursuant to Section 906 of the Sarbanes-Oxley Act of 2002, that to my knowledge, the quarterly report on Form 10-Q for the period ending September 30, 2024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13,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Rachel Vaknin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5"/>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59" Type="http://schemas.openxmlformats.org/officeDocument/2006/relationships/image" Target="media/image28.png"/><Relationship Id="rId60" Type="http://schemas.openxmlformats.org/officeDocument/2006/relationships/image" Target="media/image29.png"/><Relationship Id="rId61"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35" Type="http://schemas.openxmlformats.org/officeDocument/2006/relationships/hyperlink" Target="https://www.sec.gov/Archives/edgar/data/883975/000119312516682077/d161430dex21.htm" TargetMode="External"/><Relationship Id="rId36" Type="http://schemas.openxmlformats.org/officeDocument/2006/relationships/hyperlink" Target="https://www.sec.gov/Archives/edgar/data/883975/000095013407005808/f27726exv3w1.htm" TargetMode="External"/><Relationship Id="rId37" Type="http://schemas.openxmlformats.org/officeDocument/2006/relationships/hyperlink" Target="https://www.sec.gov/Archives/edgar/data/883975/000119312516779729/d296933dex31.htm" TargetMode="External"/><Relationship Id="rId38" Type="http://schemas.openxmlformats.org/officeDocument/2006/relationships/hyperlink" Target="https://www.sec.gov/Archives/edgar/data/883975/000149315218012872/ex3-1.htm" TargetMode="External"/><Relationship Id="rId39" Type="http://schemas.openxmlformats.org/officeDocument/2006/relationships/hyperlink" Target="https://www.sec.gov/Archives/edgar/data/883975/000129993316002374/exhibit1.htm" TargetMode="External"/><Relationship Id="rId40" Type="http://schemas.openxmlformats.org/officeDocument/2006/relationships/hyperlink" Target="https://www.sec.gov/Archives/edgar/data/883975/000149315218017395/ex3-1.htm" TargetMode="External"/><Relationship Id="rId41" Type="http://schemas.openxmlformats.org/officeDocument/2006/relationships/hyperlink" Target="https://www.sec.gov/Archives/edgar/data/883975/000149315219013998/ex3-1.htm" TargetMode="External"/><Relationship Id="rId42" Type="http://schemas.openxmlformats.org/officeDocument/2006/relationships/hyperlink" Target="https://www.sec.gov/Archives/edgar/data/883975/000149315221010347/ex3-1.htm" TargetMode="External"/><Relationship Id="rId43" Type="http://schemas.openxmlformats.org/officeDocument/2006/relationships/hyperlink" Target="https://www.sec.gov/Archives/edgar/data/883975/000149315220006338/ex4-10.htm" TargetMode="External"/><Relationship Id="rId44" Type="http://schemas.openxmlformats.org/officeDocument/2006/relationships/hyperlink" Target="https://www.sec.gov/Archives/edgar/data/883975/000149315222029541/ex4-2.htm" TargetMode="External"/><Relationship Id="rId45" Type="http://schemas.openxmlformats.org/officeDocument/2006/relationships/hyperlink" Target="https://www.sec.gov/Archives/edgar/data/883975/000149315222029541/ex4-4.htm" TargetMode="External"/><Relationship Id="rId46" Type="http://schemas.openxmlformats.org/officeDocument/2006/relationships/hyperlink" Target="https://www.sec.gov/Archives/edgar/data/883975/000149315223018718/ex4-1.htm" TargetMode="External"/><Relationship Id="rId47" Type="http://schemas.openxmlformats.org/officeDocument/2006/relationships/hyperlink" Target="https://www.sec.gov/Archives/edgar/data/883975/000149315223018932/ex4-2.htm" TargetMode="External"/><Relationship Id="rId48" Type="http://schemas.openxmlformats.org/officeDocument/2006/relationships/hyperlink" Target="https://www.sec.gov/Archives/edgar/data/883975/000149315223018932/ex10-2.htm" TargetMode="External"/><Relationship Id="rId49" Type="http://schemas.openxmlformats.org/officeDocument/2006/relationships/hyperlink" Target="https://www.sec.gov/Archives/edgar/data/883975/000149315223020309/ex4-1.htm" TargetMode="External"/><Relationship Id="rId50" Type="http://schemas.openxmlformats.org/officeDocument/2006/relationships/hyperlink" Target="https://www.sec.gov/Archives/edgar/data/883975/000149315223020309/ex4-2.htm" TargetMode="External"/><Relationship Id="rId51" Type="http://schemas.openxmlformats.org/officeDocument/2006/relationships/hyperlink" Target="https://www.sec.gov/Archives/edgar/data/883975/000149315223022814/ex4-1.htm" TargetMode="External"/><Relationship Id="rId52" Type="http://schemas.openxmlformats.org/officeDocument/2006/relationships/hyperlink" Target="https://www.sec.gov/Archives/edgar/data/883975/000149315223022814/ex4-2.htm" TargetMode="External"/><Relationship Id="rId53" Type="http://schemas.openxmlformats.org/officeDocument/2006/relationships/hyperlink" Target="https://www.sec.gov/Archives/edgar/data/883975/000149315224000109/ex4-1.htm" TargetMode="External"/><Relationship Id="rId54" Type="http://schemas.openxmlformats.org/officeDocument/2006/relationships/hyperlink" Target="https://www.sec.gov/Archives/edgar/data/883975/000149315224000109/ex4-2.htm" TargetMode="External"/><Relationship Id="rId55" Type="http://schemas.openxmlformats.org/officeDocument/2006/relationships/hyperlink" Target="https://www.sec.gov/Archives/edgar/data/883975/000149315224022560/ex4-1.htm" TargetMode="External"/><Relationship Id="rId56" Type="http://schemas.openxmlformats.org/officeDocument/2006/relationships/hyperlink" Target="https://www.sec.gov/Archives/edgar/data/883975/000149315224022560/ex4-2.htm" TargetMode="External"/><Relationship Id="rId57" Type="http://schemas.openxmlformats.org/officeDocument/2006/relationships/hyperlink" Target="https://www.sec.gov/Archives/edgar/data/883975/000149315224022560/ex10-1.htm" TargetMode="External"/><Relationship Id="rId58" Type="http://schemas.openxmlformats.org/officeDocument/2006/relationships/hyperlink" Target="https://www.sec.gov/Archives/edgar/data/883975/00014931522402581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2024-12-10T07:11:40Z</dcterms:created>
  <dcterms:modified xsi:type="dcterms:W3CDTF">2024-12-10T07:11:40Z</dcterms:modified>
</cp:coreProperties>
</file>