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page">
              <wp:posOffset>192405</wp:posOffset>
            </wp:positionH>
            <wp:positionV relativeFrom="page">
              <wp:posOffset>292100</wp:posOffset>
            </wp:positionV>
            <wp:extent cx="71647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6350"/>
                    </a:xfrm>
                    <a:prstGeom prst="rect">
                      <a:avLst/>
                    </a:prstGeom>
                    <a:noFill/>
                  </pic:spPr>
                </pic:pic>
              </a:graphicData>
            </a:graphic>
          </wp:anchor>
        </w:drawing>
        <w:t>UNITED STATES</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4"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76"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Proxy Statement Pursuant To Section 14(a) of the Securities Exchange Act of 1934</w:t>
      </w:r>
    </w:p>
    <w:p>
      <w:pPr>
        <w:spacing w:after="0" w:line="14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p>
    <w:p>
      <w:pPr>
        <w:spacing w:after="0" w:line="4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Check the appropriate box:</w:t>
      </w:r>
    </w:p>
    <w:p>
      <w:pPr>
        <w:spacing w:after="0" w:line="174" w:lineRule="exact"/>
        <w:rPr>
          <w:sz w:val="24"/>
          <w:szCs w:val="2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8" w:lineRule="exact"/>
        <w:rPr>
          <w:rFonts w:ascii="MS PGothic" w:cs="MS PGothic" w:eastAsia="MS PGothic" w:hAnsi="MS PGothic"/>
          <w:sz w:val="14"/>
          <w:szCs w:val="14"/>
          <w:color w:val="auto"/>
        </w:rPr>
      </w:pPr>
    </w:p>
    <w:p>
      <w:pPr>
        <w:ind w:right="5419" w:firstLine="3"/>
        <w:spacing w:after="0" w:line="166" w:lineRule="exact"/>
        <w:tabs>
          <w:tab w:leader="none" w:pos="248"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Confidential, for Use of the Commission Only (as permitted by Rule 14a-6(e)(2))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Definitive Proxy Statement</w:t>
      </w: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4"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Section 240.14a-12</w:t>
      </w:r>
    </w:p>
    <w:p>
      <w:pPr>
        <w:spacing w:after="0" w:line="1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6470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470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Payment of Filing Fee (Check all boxes that apply):</w:t>
      </w:r>
    </w:p>
    <w:p>
      <w:pPr>
        <w:spacing w:after="0" w:line="174" w:lineRule="exact"/>
        <w:rPr>
          <w:sz w:val="24"/>
          <w:szCs w:val="24"/>
          <w:color w:val="auto"/>
        </w:rPr>
      </w:pPr>
    </w:p>
    <w:p>
      <w:pPr>
        <w:ind w:left="260" w:hanging="257"/>
        <w:spacing w:after="0"/>
        <w:tabs>
          <w:tab w:leader="none" w:pos="2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170" w:lineRule="exact"/>
        <w:rPr>
          <w:sz w:val="24"/>
          <w:szCs w:val="24"/>
          <w:color w:val="auto"/>
        </w:rPr>
      </w:pPr>
    </w:p>
    <w:p>
      <w:pPr>
        <w:ind w:left="260" w:hanging="257"/>
        <w:spacing w:after="0"/>
        <w:tabs>
          <w:tab w:leader="none" w:pos="26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16470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135255</wp:posOffset>
            </wp:positionV>
            <wp:extent cx="7164705" cy="3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378460</wp:posOffset>
            </wp:positionV>
            <wp:extent cx="716470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59"/>
          </w:cols>
          <w:pgMar w:left="300" w:top="59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MICROBOT MEDICAL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175 Derby St., Bld. 27</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Hingham, MA 02043</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NOTICE OF ANNUAL MEETING OF SHAREHOLDERS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 BE HELD ON DECEMBER 14, 2026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Shareholders:</w:t>
      </w:r>
    </w:p>
    <w:p>
      <w:pPr>
        <w:spacing w:after="0" w:line="17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NOTICE IS HEREBY GIVEN, that the 2026 Annual Meeting of Shareholders (the “Annual Meeting”) of Microbot Medical Inc. (the “Company”) will be held at 9:00 A.M., Eastern Time on December 14, 2026 at the offices of Nixon Peabody LLP, counsel to the Company, 53 State Street, Boston, MA 02109. At the Annual Meeting, you will be asked to vote on:</w:t>
      </w:r>
    </w:p>
    <w:p>
      <w:pPr>
        <w:spacing w:after="0" w:line="131" w:lineRule="exact"/>
        <w:rPr>
          <w:sz w:val="20"/>
          <w:szCs w:val="20"/>
          <w:color w:val="auto"/>
        </w:rPr>
      </w:pPr>
    </w:p>
    <w:p>
      <w:pPr>
        <w:ind w:left="260" w:hanging="257"/>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election of two Class II directors to the Board of Directors of the Company to serve until the 2029 Annual Meeting of Shareholders;</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of a non-binding advisory resolution supporting the compensation of the Company’s named executive officers;</w:t>
      </w:r>
    </w:p>
    <w:p>
      <w:pPr>
        <w:spacing w:after="0" w:line="169" w:lineRule="exact"/>
        <w:rPr>
          <w:rFonts w:ascii="Times New Roman" w:cs="Times New Roman" w:eastAsia="Times New Roman" w:hAnsi="Times New Roman"/>
          <w:sz w:val="14"/>
          <w:szCs w:val="14"/>
          <w:color w:val="auto"/>
        </w:rPr>
      </w:pPr>
    </w:p>
    <w:p>
      <w:pPr>
        <w:ind w:left="260" w:hanging="257"/>
        <w:spacing w:after="0" w:line="272" w:lineRule="auto"/>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of an amendment to the Microbot Medical Inc. 2020 Omnibus Performance Award Plan, to increase the number of authorized shares of common stock reserved for issuance by 1,000,000 shares;</w:t>
      </w:r>
    </w:p>
    <w:p>
      <w:pPr>
        <w:spacing w:after="0" w:line="131" w:lineRule="exact"/>
        <w:rPr>
          <w:rFonts w:ascii="Times New Roman" w:cs="Times New Roman" w:eastAsia="Times New Roman" w:hAnsi="Times New Roman"/>
          <w:sz w:val="14"/>
          <w:szCs w:val="14"/>
          <w:color w:val="auto"/>
        </w:rPr>
      </w:pPr>
    </w:p>
    <w:p>
      <w:pPr>
        <w:ind w:left="260" w:hanging="257"/>
        <w:spacing w:after="0" w:line="272" w:lineRule="auto"/>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ratification of Brightman Almagor Zohar &amp; Co., a Member of Deloitte Touche Tohmatsu Limited, or its U.S. affiliate, as the Company’s independent registered public accounting firm for the year ending December 31, 2026; and</w:t>
      </w:r>
    </w:p>
    <w:p>
      <w:pPr>
        <w:spacing w:after="0" w:line="131"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transact such other and further business as may properly come before the meeting or any adjournment thereof.</w:t>
      </w:r>
    </w:p>
    <w:p>
      <w:pPr>
        <w:spacing w:after="0" w:line="17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Board of Directors has fixed the close of business on October 15, 2026 as the record date for determining shareholders who are entitled to receive notice of, and to vote at, the Annual Meeting or any adjournment or postponement thereof.</w:t>
      </w:r>
    </w:p>
    <w:p>
      <w:pPr>
        <w:spacing w:after="0" w:line="13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Your vote is important to us. Whether or not you intend to be present at the meeting, please sign, date and return to the Company the proxy card relating to the Annual Meeting. Returning a proxy will not deprive you of your right to attend the Annual Meeting and vote your shares in person.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items of business are more fully described in the accompanying proxy statement.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Order of the Board of Directors,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Harel Gadot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November 2, 2026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Hingham,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716470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MICROBOT MEDICAL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175 Derby Street, Bld. 27</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Hingham, MA 02043</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PROXY STATEMENT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2026 ANNUAL MEETING OF SHAREHOLDERS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14, 2026</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This proxy statement and the accompanying proxy card is furnished in connection with the solicitation by the Board of Directors (the “Board”) of Microbot Medical Inc., a Delaware corporation (the “Company”), of proxies for use at the 2026 Annual Meeting of Shareholders (the “Annual Meeting”) to be held at the offices of Nixon Peabody LLP, counsel to the Company, 53 State Street, Boston, MA 02109, at 9:00 A.M., Eastern Time, on December 14, 2026, or at any adjournment or postponement thereof, for the purposes set forth in this proxy statement and the accompanying Notice of Annual Meeting of Shareholders.</w:t>
      </w:r>
    </w:p>
    <w:p>
      <w:pPr>
        <w:spacing w:after="0" w:line="14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Company is making available to you over the Internet or delivering paper copies of this proxy statement, a proxy card and the Company’s Annual Report on Form 10-K for the fiscal year ended December 31, 2025 (the “Annual Report”), in connection with the Annual Meeting. The Company is using the rules of the Securities and Exchange Commission (“SEC”) that allow companies to furnish their proxy materials over the Internet. As a result, the Company is mailing to many of its stockholders a notice about the Internet availability of the proxy materials instead of a paper copy of the proxy materials. All stockholders receiving the notice will have the ability to access the proxy materials over the Internet, as well as to request a paper copy by mail or via email, free of charge, by following the instructions in the notice. The notice about the Internet availability of the proxy materials is first being mailed on or about November 2, 2026 to all shareholders of the Company entitled to vote at the Annual Meeting (the “Shareholders”).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will bear the cost of solicitation of proxies. Directors, officers and employees of the Company may solicit proxies by telephone, email, facsimile, in person or otherwise for no additional compensation. The Company has retained Sodali &amp; Co. LLC to act as proxy solicitor in conjunction with the Annual Meeting at an estimated cost of $13,000 plus expenses. The Company will pay the entire costs of such solicitation as well as the costs of printing and filing this proxy statement and proxy card. The Company will reimburse banks, brokerage firms, proxy solicitors, and other custodians, nominees and fiduciaries for reasonable expenses incurred by them in sending proxy materials to the beneficial owners of shares.</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Board of Directors has fixed the close of business on October 15, 2026, as the record date for determining stockholders entitled to notice of, and to vote at, the Annual Meeting or at any postponement or adjournment thereof. There were 67,164,801 shares of our common stock, $.01 par value, outstanding on October 15, 2026, each of which is entitled to one vote for each share on the matters to be voted upon.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Stockholders are being asked to vote on four proposals at the Company’s 2026 Annual Meeting. The proposals to be voted on and related recommendations from the Board of Directors are as follows:</w:t>
      </w:r>
    </w:p>
    <w:p>
      <w:pPr>
        <w:spacing w:after="0" w:line="1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Proposal Number 1. The election of two Class II directors to the Board of Directors of the Company to serve until the 2029 Annual Meeting of Shareholders. The Board recommends that you vote “FOR” each of the nominees.</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Proposal Number 2. The approval of a non-binding advisory resolution supporting the compensation of the Company’s named executive officers. The Board recommends that you vote “FOR” this proposal.</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Proposal Number 3. The approval of an amendment to the Microbot Medical Inc. 2020 Omnibus Performance Award Plan, to increase the number of authorized shares of common stock reserved for issuance by 1,000,000 shares. The Board recommends that you vote “FOR” this proposal.</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Proposal Number 4. The ratification of Brightman Almagor Zohar &amp; Co., a Member of Deloitte Touche Tohmatsu Limited, or its U.S. affiliate, as the Company’s independent registered public accounting firm for the year ending December 31, 2026. The Board recommends that you vote “FOR” this proposal.</w:t>
      </w:r>
    </w:p>
    <w:p>
      <w:pPr>
        <w:spacing w:after="0" w:line="131"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3"/>
          <w:szCs w:val="13"/>
          <w:color w:val="auto"/>
        </w:rPr>
        <w:t>In the election of directors, which is Proposal Number 1, you may vote “FOR” all of the nominees or your vote may be “WITHHELD” with respect to one or both of the nominees. For Proposal Numbers 2 through 4, you may vote “FOR,” vote “AGAINST” or “ABSTAIN.” If you “ABSTAIN” as to Proposal Number 2, Proposal Number 3 or Proposal Number 4, an abstention will have no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180975</wp:posOffset>
            </wp:positionV>
            <wp:extent cx="716470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 w:name="page4"/>
    <w:bookmarkEnd w:id="3"/>
    <w:p>
      <w:pPr>
        <w:spacing w:after="0" w:line="272" w:lineRule="auto"/>
        <w:rPr>
          <w:sz w:val="20"/>
          <w:szCs w:val="20"/>
          <w:color w:val="auto"/>
        </w:rPr>
      </w:pPr>
      <w:r>
        <w:rPr>
          <w:rFonts w:ascii="Times New Roman" w:cs="Times New Roman" w:eastAsia="Times New Roman" w:hAnsi="Times New Roman"/>
          <w:sz w:val="14"/>
          <w:szCs w:val="14"/>
          <w:color w:val="auto"/>
        </w:rPr>
        <w:t>Shares of our common stock represented by proxies in the form enclosed that are properly executed and returned to us and not revoked will be voted as specified in the proxy by the stockholder. In the absence of contrary instructions, or in instances where no specifications are made, the shares will be voted:</w:t>
      </w:r>
    </w:p>
    <w:p>
      <w:pPr>
        <w:spacing w:after="0" w:line="131" w:lineRule="exact"/>
        <w:rPr>
          <w:sz w:val="20"/>
          <w:szCs w:val="20"/>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election of two Class II directors to the Board of Directors of the Company to serve until the 2029 Annual Meeting of Shareholders.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approval of a non-binding advisory resolution supporting the compensation of the Company’s named executive officers.</w:t>
      </w:r>
    </w:p>
    <w:p>
      <w:pPr>
        <w:spacing w:after="0" w:line="169"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approval of an amendment to the Microbot Medical Inc. 2020 Omnibus Performance Award Plan, to increase the number of authorized shares of common stock reserved for issuance by 1,000,000 shares.</w:t>
      </w:r>
    </w:p>
    <w:p>
      <w:pPr>
        <w:spacing w:after="0" w:line="131"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ratification of Brightman Almagor Zohar &amp; Co., a Member of Deloitte Touche Tohmatsu Limited, or its U.S. affiliate, as the Company’s independent registered public accounting firm for the year ending December 31, 2026.</w:t>
      </w:r>
    </w:p>
    <w:p>
      <w:pPr>
        <w:spacing w:after="0" w:line="131"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discretion of the named proxies as to any other matter that may properly come before the Annual Meeting.</w:t>
      </w:r>
    </w:p>
    <w:p>
      <w:pPr>
        <w:spacing w:after="0" w:line="1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Any stockholder signing and delivering a proxy may revoke it at any time before it is voted by delivering to the Company’s corporate secretary a written revocation or a duly executed proxy bearing a date later than the date of the proxy being revoked. Any stockholder attending the Annual Meeting in person may revoke his, her or its proxy and vote his, her or its shares at the Annual Meeting.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How to vote shares at our 2026 Annual Meeting</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color w:val="auto"/>
        </w:rPr>
        <w:t>Voting at the Annual Meeting</w:t>
      </w:r>
      <w:r>
        <w:rPr>
          <w:rFonts w:ascii="Times New Roman" w:cs="Times New Roman" w:eastAsia="Times New Roman" w:hAnsi="Times New Roman"/>
          <w:sz w:val="14"/>
          <w:szCs w:val="14"/>
          <w:color w:val="auto"/>
        </w:rPr>
        <w:t>. All Company stockholders are invited to attend the Annual Meeting in person. Any stockholder that attends the meeting in person may deliver a completed proxy card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person or vote by completing a ballot, which will be available at the meeting. However, each stockholder intending to vote in person at the Annual Meeting should note that if his, her or its shares are held in the name of a bank, broker or other nominee, such stockholder must obtain a legal proxy, executed in his, her or its favor, from the holder of record to be able to vote at the Annual Meeting. Stockholders should allow enough time prior to the Annual Meeting to obtain this proxy from the holder of record, if needed.</w:t>
      </w:r>
    </w:p>
    <w:p>
      <w:pPr>
        <w:spacing w:after="0" w:line="1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Whether you hold shares directly as a registered stockholder of record or beneficially in street name, you may vote without attending the Annual Meeting. You may vote by granting a proxy or, for shares held in street name, by submitting voting instructions to your broker or nominee. In most cases, you will be able to do this by telephone, by using the Internet or by mail. Please refer to the summary instructions included with proxy materials and on your proxy card. For shares held in street name, the voting instruction card will be included in the materials forwarded by the broker or nominee. If you have telephone or Internet access, you may submit your proxy by following the instructions with your proxy materials and on your proxy card. You may submit your proxy by mail by signing your proxy card or, for shares held in street name, by following the voting instructions included with your proxy materials and on your proxy card. If you provide specific voting instructions, your shares will be voted as you have instructed.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shares voted electronically or represented by the proxy cards received, properly marked, dated, signed and not revoked, will be voted at the Annual Meeting.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Quorum, Required Votes and Method of Tabulation</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Consistent with Delaware law and the Company’s amended and restated by-laws, as amended, one-third of the votes entitled to be cast on a particular matter, present in person or represented by proxy, constitutes a quorum as to such matter. Proxies received but marked as “ABSTAIN” or “WITHHOLD”, if any, and broker non-votes (described below), if applicable, will be included in the calculation of the number of shares considered to be present at the Annual Meeting for quorum purposes. If a quorum is not present, we will be required to reconvene the Annual Meeting at a later date. The Company will appoint one or more election inspectors for the meeting to count votes cast by proxy or in person at the Annual Meeting.</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If you hold shares beneficially in street name and do not provide your broker or nominee with voting instructions, your shares may constitute “broker non-votes.” Generally, broker non-votes occur on a matter when a broker is not permitted to vote on that matter without instructions from the beneficial owner and instructions have not been given. If you hold shares beneficially in street name and do not vote your shares, your broker or nominee can vote your shares at its discretion on Proposal Number 4. In tabulating the voting result for any proposal for which the required vote is based on the number of shares present, shares that constitute broker non-votes are not considered entitled to vote on that proposal.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What Vote is Required to Approve Each Item?</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Election of directors by stockholders, which is Proposal Number 1, will be determined by a plurality of the votes cast by the stockholders entitled to vote at the election that are either present in person or represented by proxy. Consequently, any shares not voted at the annual meeting, whether due to abstentions, broker non-votes or otherwise, will have no impact on the election of directors.</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For Proposal Number 2, the affirmative “FOR” vote is required by the holders of a majority of the votes cast by the stockholders entitled to vote at the Annual Meeting in person or by proxy and voting. Because this vote is advisory only, it will not be binding on the Company, the Board or the Compensation Committee of the Board. However, the Board and the Compensation Committee will review the voting results and take them into consideration when making future decisions about executive compensation. Abstentions will have no effect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716470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4" w:name="page5"/>
    <w:bookmarkEnd w:id="4"/>
    <w:p>
      <w:pPr>
        <w:jc w:val="both"/>
        <w:spacing w:after="0" w:line="281" w:lineRule="auto"/>
        <w:rPr>
          <w:sz w:val="20"/>
          <w:szCs w:val="20"/>
          <w:color w:val="auto"/>
        </w:rPr>
      </w:pPr>
      <w:r>
        <w:rPr>
          <w:rFonts w:ascii="Times New Roman" w:cs="Times New Roman" w:eastAsia="Times New Roman" w:hAnsi="Times New Roman"/>
          <w:sz w:val="13"/>
          <w:szCs w:val="13"/>
          <w:color w:val="auto"/>
        </w:rPr>
        <w:t>For Proposal Number 3, the affirmative “FOR” vote is required by the holders of a majority of the votes cast by the stockholders entitled to vote at the Annual Meeting in person or by proxy and voting. Abstentions will have no effect on the outcome of this proposal. This proposal is a non-routine matter. Therefore, if your shares are held by your brokerage firm in street name and you do not timely provide voting instructions with respect to your shares, your brokerage firm cannot vote your shares on this proposal. Shares held in street name by banks, brokerage firms or other nominees who indicate on their proxies that they do not have authority to vote the shares on this proposal will not be counted as votes cast. As a result, such “broker non-votes” will have no effect on the voting on this proposal.</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For Proposal Number 4, the affirmative “FOR” vote is required by the holders of a majority of the votes cast by the stockholders entitled to vote at the Annual Meeting in person or by proxy and voting. Abstentions will have no effect on the outcome of this proposal as they are not considered to be “votes cast” for purposes of this proposal. Under the rules that govern brokers who are voting with respect to shares held in street name, brokers have the discretion to vote those shares on routine matters, but not on non-routine matters. We expect Proposal Number 4 to be a routine matter, and therefore, broker non-votes are not expected to exist with respect to such proposal.</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Management does not know of any matters to be presented at this year’s Annual Meeting other than those set forth in this proxy statement and in the notice accompanying this proxy statement. Stockholders will have no appraisal rights under Delaware law with respect to any of the matters expected to be voted on at the Annual Meeting. If other matters should properly come before the meeting, the proxy holders will vote such matters in their discretion. Any stockholder has the right to revoke his, her or its proxy at any time until it is voted.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SECURITY OWNERSHIP OF CERTAIN BENEFICIAL OWNERS AND MANAGEMENT</w:t>
      </w:r>
    </w:p>
    <w:p>
      <w:pPr>
        <w:spacing w:after="0" w:line="1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The following table shows the number of shares of our common stock beneficially owned, as of October 15, 2026, by (i) each of our directors and director nominees,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October 15, 2026. We calculated percentage ownership in accordance with the rules of the SEC. The percentage of common stock beneficially owned is based on 67,164,801 shares outstanding as of October 15, 2026. In addition, shares issuable pursuant to options or other convertible securities that may be acquired within 60 days of October 15, 2026 are deemed to be issued and outstanding and have been treated as outstanding in calculating and determining the beneficial ownership and percentage ownership of those persons possessing those securities, but not for any other persons.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175 Derby Street, Bld. 27, Hingham, MA 02043.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 of Shares Beneficially</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Percentage of Common Stock</w:t>
            </w:r>
          </w:p>
        </w:tc>
      </w:tr>
      <w:tr>
        <w:trPr>
          <w:trHeight w:val="182"/>
        </w:trPr>
        <w:tc>
          <w:tcPr>
            <w:tcW w:w="6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220" w:type="dxa"/>
            <w:vAlign w:val="bottom"/>
            <w:tcBorders>
              <w:bottom w:val="single" w:sz="8" w:color="CCEEFF"/>
            </w:tcBorders>
          </w:tcPr>
          <w:p>
            <w:pPr>
              <w:spacing w:after="0"/>
              <w:rPr>
                <w:sz w:val="15"/>
                <w:szCs w:val="15"/>
                <w:color w:val="auto"/>
              </w:rPr>
            </w:pPr>
          </w:p>
        </w:tc>
        <w:tc>
          <w:tcPr>
            <w:tcW w:w="192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Owned</w:t>
            </w:r>
          </w:p>
        </w:tc>
        <w:tc>
          <w:tcPr>
            <w:tcW w:w="340" w:type="dxa"/>
            <w:vAlign w:val="bottom"/>
            <w:tcBorders>
              <w:bottom w:val="single" w:sz="8" w:color="CCEEFF"/>
            </w:tcBorders>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Beneficially Owned</w:t>
            </w:r>
          </w:p>
        </w:tc>
        <w:tc>
          <w:tcPr>
            <w:tcW w:w="120" w:type="dxa"/>
            <w:vAlign w:val="bottom"/>
            <w:tcBorders>
              <w:bottom w:val="single" w:sz="8" w:color="CCEEFF"/>
            </w:tcBorders>
          </w:tcPr>
          <w:p>
            <w:pPr>
              <w:spacing w:after="0"/>
              <w:rPr>
                <w:sz w:val="15"/>
                <w:szCs w:val="15"/>
                <w:color w:val="auto"/>
              </w:rPr>
            </w:pPr>
          </w:p>
        </w:tc>
      </w:tr>
      <w:tr>
        <w:trPr>
          <w:trHeight w:val="187"/>
        </w:trPr>
        <w:tc>
          <w:tcPr>
            <w:tcW w:w="678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3"/>
                <w:szCs w:val="13"/>
                <w:color w:val="auto"/>
              </w:rPr>
              <w:t>Intracoastal Capital LLC</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6,002,185</w:t>
            </w:r>
          </w:p>
        </w:tc>
        <w:tc>
          <w:tcPr>
            <w:tcW w:w="340" w:type="dxa"/>
            <w:vAlign w:val="bottom"/>
            <w:shd w:val="clear" w:color="auto" w:fill="CCEEFF"/>
          </w:tcPr>
          <w:p>
            <w:pPr>
              <w:spacing w:after="0"/>
              <w:rPr>
                <w:sz w:val="16"/>
                <w:szCs w:val="16"/>
                <w:color w:val="auto"/>
              </w:rPr>
            </w:pP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r>
      <w:tr>
        <w:trPr>
          <w:trHeight w:val="196"/>
        </w:trPr>
        <w:tc>
          <w:tcPr>
            <w:tcW w:w="7000" w:type="dxa"/>
            <w:vAlign w:val="bottom"/>
            <w:gridSpan w:val="2"/>
          </w:tcPr>
          <w:p>
            <w:pPr>
              <w:spacing w:after="0" w:line="197" w:lineRule="exact"/>
              <w:rPr>
                <w:sz w:val="20"/>
                <w:szCs w:val="20"/>
                <w:color w:val="auto"/>
              </w:rPr>
            </w:pPr>
            <w:r>
              <w:rPr>
                <w:rFonts w:ascii="Times New Roman" w:cs="Times New Roman" w:eastAsia="Times New Roman" w:hAnsi="Times New Roman"/>
                <w:sz w:val="14"/>
                <w:szCs w:val="14"/>
                <w:color w:val="auto"/>
              </w:rPr>
              <w:t>Harel Gadot</w:t>
            </w:r>
            <w:r>
              <w:rPr>
                <w:rFonts w:ascii="Times New Roman" w:cs="Times New Roman" w:eastAsia="Times New Roman" w:hAnsi="Times New Roman"/>
                <w:sz w:val="22"/>
                <w:szCs w:val="22"/>
                <w:color w:val="auto"/>
                <w:vertAlign w:val="superscript"/>
              </w:rPr>
              <w:t>(2)</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1,498,427</w:t>
            </w:r>
          </w:p>
        </w:tc>
        <w:tc>
          <w:tcPr>
            <w:tcW w:w="340" w:type="dxa"/>
            <w:vAlign w:val="bottom"/>
          </w:tcPr>
          <w:p>
            <w:pPr>
              <w:spacing w:after="0"/>
              <w:rPr>
                <w:sz w:val="17"/>
                <w:szCs w:val="17"/>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2.19%</w:t>
            </w:r>
          </w:p>
        </w:tc>
      </w:tr>
      <w:tr>
        <w:trPr>
          <w:trHeight w:val="196"/>
        </w:trPr>
        <w:tc>
          <w:tcPr>
            <w:tcW w:w="700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Scott Burell</w:t>
            </w:r>
            <w:r>
              <w:rPr>
                <w:rFonts w:ascii="Times New Roman" w:cs="Times New Roman" w:eastAsia="Times New Roman" w:hAnsi="Times New Roman"/>
                <w:sz w:val="22"/>
                <w:szCs w:val="22"/>
                <w:color w:val="auto"/>
                <w:vertAlign w:val="superscript"/>
              </w:rPr>
              <w:t>(3)</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136,015</w:t>
            </w:r>
          </w:p>
        </w:tc>
        <w:tc>
          <w:tcPr>
            <w:tcW w:w="34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000" w:type="dxa"/>
            <w:vAlign w:val="bottom"/>
            <w:gridSpan w:val="2"/>
          </w:tcPr>
          <w:p>
            <w:pPr>
              <w:spacing w:after="0" w:line="197" w:lineRule="exact"/>
              <w:rPr>
                <w:sz w:val="20"/>
                <w:szCs w:val="20"/>
                <w:color w:val="auto"/>
              </w:rPr>
            </w:pPr>
            <w:r>
              <w:rPr>
                <w:rFonts w:ascii="Times New Roman" w:cs="Times New Roman" w:eastAsia="Times New Roman" w:hAnsi="Times New Roman"/>
                <w:sz w:val="14"/>
                <w:szCs w:val="14"/>
                <w:color w:val="auto"/>
              </w:rPr>
              <w:t>Martin Madden</w:t>
            </w:r>
            <w:r>
              <w:rPr>
                <w:rFonts w:ascii="Times New Roman" w:cs="Times New Roman" w:eastAsia="Times New Roman" w:hAnsi="Times New Roman"/>
                <w:sz w:val="22"/>
                <w:szCs w:val="22"/>
                <w:color w:val="auto"/>
                <w:vertAlign w:val="superscript"/>
              </w:rPr>
              <w:t>(3)</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136,015</w:t>
            </w:r>
          </w:p>
        </w:tc>
        <w:tc>
          <w:tcPr>
            <w:tcW w:w="340" w:type="dxa"/>
            <w:vAlign w:val="bottom"/>
          </w:tcPr>
          <w:p>
            <w:pPr>
              <w:spacing w:after="0"/>
              <w:rPr>
                <w:sz w:val="17"/>
                <w:szCs w:val="17"/>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00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Prattipati Laxminarain</w:t>
            </w:r>
            <w:r>
              <w:rPr>
                <w:rFonts w:ascii="Times New Roman" w:cs="Times New Roman" w:eastAsia="Times New Roman" w:hAnsi="Times New Roman"/>
                <w:sz w:val="22"/>
                <w:szCs w:val="22"/>
                <w:color w:val="auto"/>
                <w:vertAlign w:val="superscript"/>
              </w:rPr>
              <w:t>(3)</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136,015</w:t>
            </w:r>
          </w:p>
        </w:tc>
        <w:tc>
          <w:tcPr>
            <w:tcW w:w="34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000" w:type="dxa"/>
            <w:vAlign w:val="bottom"/>
            <w:gridSpan w:val="2"/>
          </w:tcPr>
          <w:p>
            <w:pPr>
              <w:spacing w:after="0" w:line="197" w:lineRule="exact"/>
              <w:rPr>
                <w:sz w:val="20"/>
                <w:szCs w:val="20"/>
                <w:color w:val="auto"/>
              </w:rPr>
            </w:pPr>
            <w:r>
              <w:rPr>
                <w:rFonts w:ascii="Times New Roman" w:cs="Times New Roman" w:eastAsia="Times New Roman" w:hAnsi="Times New Roman"/>
                <w:sz w:val="14"/>
                <w:szCs w:val="14"/>
                <w:color w:val="auto"/>
              </w:rPr>
              <w:t>Aileen Stockburger</w:t>
            </w:r>
            <w:r>
              <w:rPr>
                <w:rFonts w:ascii="Times New Roman" w:cs="Times New Roman" w:eastAsia="Times New Roman" w:hAnsi="Times New Roman"/>
                <w:sz w:val="22"/>
                <w:szCs w:val="22"/>
                <w:color w:val="auto"/>
                <w:vertAlign w:val="superscript"/>
              </w:rPr>
              <w:t>(3)</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130,919</w:t>
            </w:r>
          </w:p>
        </w:tc>
        <w:tc>
          <w:tcPr>
            <w:tcW w:w="340" w:type="dxa"/>
            <w:vAlign w:val="bottom"/>
          </w:tcPr>
          <w:p>
            <w:pPr>
              <w:spacing w:after="0"/>
              <w:rPr>
                <w:sz w:val="17"/>
                <w:szCs w:val="17"/>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00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Simon Sharon</w:t>
            </w:r>
            <w:r>
              <w:rPr>
                <w:rFonts w:ascii="Times New Roman" w:cs="Times New Roman" w:eastAsia="Times New Roman" w:hAnsi="Times New Roman"/>
                <w:sz w:val="22"/>
                <w:szCs w:val="22"/>
                <w:color w:val="auto"/>
                <w:vertAlign w:val="superscript"/>
              </w:rPr>
              <w:t>(3)</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224,870</w:t>
            </w:r>
          </w:p>
        </w:tc>
        <w:tc>
          <w:tcPr>
            <w:tcW w:w="34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000" w:type="dxa"/>
            <w:vAlign w:val="bottom"/>
            <w:gridSpan w:val="2"/>
          </w:tcPr>
          <w:p>
            <w:pPr>
              <w:spacing w:after="0" w:line="197" w:lineRule="exact"/>
              <w:rPr>
                <w:sz w:val="20"/>
                <w:szCs w:val="20"/>
                <w:color w:val="auto"/>
              </w:rPr>
            </w:pPr>
            <w:r>
              <w:rPr>
                <w:rFonts w:ascii="Times New Roman" w:cs="Times New Roman" w:eastAsia="Times New Roman" w:hAnsi="Times New Roman"/>
                <w:sz w:val="14"/>
                <w:szCs w:val="14"/>
                <w:color w:val="auto"/>
              </w:rPr>
              <w:t>Tal Wenderow</w:t>
            </w:r>
            <w:r>
              <w:rPr>
                <w:rFonts w:ascii="Times New Roman" w:cs="Times New Roman" w:eastAsia="Times New Roman" w:hAnsi="Times New Roman"/>
                <w:sz w:val="22"/>
                <w:szCs w:val="22"/>
                <w:color w:val="auto"/>
                <w:vertAlign w:val="superscript"/>
              </w:rPr>
              <w:t>(3)</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129,328</w:t>
            </w:r>
          </w:p>
        </w:tc>
        <w:tc>
          <w:tcPr>
            <w:tcW w:w="340" w:type="dxa"/>
            <w:vAlign w:val="bottom"/>
          </w:tcPr>
          <w:p>
            <w:pPr>
              <w:spacing w:after="0"/>
              <w:rPr>
                <w:sz w:val="17"/>
                <w:szCs w:val="17"/>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00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Rachel Vaknin</w:t>
            </w:r>
            <w:r>
              <w:rPr>
                <w:rFonts w:ascii="Times New Roman" w:cs="Times New Roman" w:eastAsia="Times New Roman" w:hAnsi="Times New Roman"/>
                <w:sz w:val="22"/>
                <w:szCs w:val="22"/>
                <w:color w:val="auto"/>
                <w:vertAlign w:val="superscript"/>
              </w:rPr>
              <w:t>(3)</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162,763</w:t>
            </w:r>
          </w:p>
        </w:tc>
        <w:tc>
          <w:tcPr>
            <w:tcW w:w="34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000" w:type="dxa"/>
            <w:vAlign w:val="bottom"/>
            <w:gridSpan w:val="2"/>
          </w:tcPr>
          <w:p>
            <w:pPr>
              <w:spacing w:after="0" w:line="197" w:lineRule="exact"/>
              <w:rPr>
                <w:sz w:val="20"/>
                <w:szCs w:val="20"/>
                <w:color w:val="auto"/>
              </w:rPr>
            </w:pPr>
            <w:r>
              <w:rPr>
                <w:rFonts w:ascii="Times New Roman" w:cs="Times New Roman" w:eastAsia="Times New Roman" w:hAnsi="Times New Roman"/>
                <w:sz w:val="14"/>
                <w:szCs w:val="14"/>
                <w:color w:val="auto"/>
              </w:rPr>
              <w:t>Juan Diaz-Cartelle</w:t>
            </w:r>
            <w:r>
              <w:rPr>
                <w:rFonts w:ascii="Times New Roman" w:cs="Times New Roman" w:eastAsia="Times New Roman" w:hAnsi="Times New Roman"/>
                <w:sz w:val="22"/>
                <w:szCs w:val="22"/>
                <w:color w:val="auto"/>
                <w:vertAlign w:val="superscript"/>
              </w:rPr>
              <w:t>(3)</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112,062</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00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David J. Wilson</w:t>
            </w:r>
            <w:r>
              <w:rPr>
                <w:rFonts w:ascii="Times New Roman" w:cs="Times New Roman" w:eastAsia="Times New Roman" w:hAnsi="Times New Roman"/>
                <w:sz w:val="22"/>
                <w:szCs w:val="22"/>
                <w:color w:val="auto"/>
                <w:vertAlign w:val="superscript"/>
              </w:rPr>
              <w:t>(3)</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30,000</w:t>
            </w: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302"/>
        </w:trPr>
        <w:tc>
          <w:tcPr>
            <w:tcW w:w="7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 current directors and executive officers as a group (10 persons)</w:t>
            </w:r>
            <w:r>
              <w:rPr>
                <w:rFonts w:ascii="Times New Roman" w:cs="Times New Roman" w:eastAsia="Times New Roman" w:hAnsi="Times New Roman"/>
                <w:sz w:val="22"/>
                <w:szCs w:val="22"/>
                <w:color w:val="auto"/>
                <w:vertAlign w:val="superscript"/>
              </w:rPr>
              <w:t>(4)</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2,696,414</w:t>
            </w:r>
          </w:p>
        </w:tc>
        <w:tc>
          <w:tcPr>
            <w:tcW w:w="340" w:type="dxa"/>
            <w:vAlign w:val="bottom"/>
          </w:tcPr>
          <w:p>
            <w:pPr>
              <w:spacing w:after="0"/>
              <w:rPr>
                <w:sz w:val="24"/>
                <w:szCs w:val="24"/>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179133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Less than 1%</w:t>
      </w:r>
    </w:p>
    <w:p>
      <w:pPr>
        <w:spacing w:after="0" w:line="18" w:lineRule="exact"/>
        <w:rPr>
          <w:sz w:val="20"/>
          <w:szCs w:val="20"/>
          <w:color w:val="auto"/>
        </w:rPr>
      </w:pPr>
    </w:p>
    <w:p>
      <w:pPr>
        <w:jc w:val="both"/>
        <w:ind w:left="260" w:hanging="257"/>
        <w:spacing w:after="0" w:line="246" w:lineRule="auto"/>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Schedule 13G filed on January 23, 2026 by Mitchell P. Kopin, Daniel B. Asher and Intracoastal Capital LLC (“Intracoastal” and with Mr. Kopin and Mr. Asher, the “Reporting Persons”), each of the Reporting Persons may have been deemed to have beneficial ownership of 6,002,185 shares of our common stock issuable upon exercise of a warrant held by Intracoastal (the “Intracoastal Warrant”) and all such shares of common stock represented beneficial ownership of approximately 8.2% of the Common Stock, based on (1) 67,158,044 shares of Common Stock outstanding as of November 14, 2025, as reported by the Company, plus (2) 6,002,185 shares of Common Stock issuable upon exercise of the Intracoastal Warrant. The principal business office of Mr. Kopin and Intracoastal is 245 Palm Trail, Delray Beach, Florida 33483. The principal business office of Mr. Asher is 1011 Lake Street, Suite 311, Oak Park, Illinois 60301.</w:t>
      </w:r>
    </w:p>
    <w:p>
      <w:pPr>
        <w:spacing w:after="0" w:line="1" w:lineRule="exact"/>
        <w:rPr>
          <w:rFonts w:ascii="Times New Roman" w:cs="Times New Roman" w:eastAsia="Times New Roman" w:hAnsi="Times New Roman"/>
          <w:sz w:val="14"/>
          <w:szCs w:val="14"/>
          <w:color w:val="auto"/>
        </w:rPr>
      </w:pPr>
    </w:p>
    <w:p>
      <w:pPr>
        <w:jc w:val="both"/>
        <w:ind w:left="260" w:hanging="257"/>
        <w:spacing w:after="0" w:line="246" w:lineRule="auto"/>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136,847 shares of our common stock owned by MEDX Venture Group, LLC, and (ii) 1,361,580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ind w:left="260" w:hanging="257"/>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options to acquire shares of our common stock.</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of our common stock issuable upon the exercise of options as set forth in footnotes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219075</wp:posOffset>
            </wp:positionV>
            <wp:extent cx="716470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BOARD OF DIRECTORS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seven directors serving on our Board. The following table lists the names, ages and positions of the individuals who serve as directors of the Company, as of October 15, 2026: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140" w:type="dxa"/>
            <w:vAlign w:val="bottom"/>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20" w:type="dxa"/>
            <w:vAlign w:val="bottom"/>
          </w:tcPr>
          <w:p>
            <w:pPr>
              <w:spacing w:after="0"/>
              <w:rPr>
                <w:sz w:val="15"/>
                <w:szCs w:val="15"/>
                <w:color w:val="auto"/>
              </w:rPr>
            </w:pPr>
          </w:p>
        </w:tc>
        <w:tc>
          <w:tcPr>
            <w:tcW w:w="6640" w:type="dxa"/>
            <w:vAlign w:val="bottom"/>
          </w:tcPr>
          <w:p>
            <w:pPr>
              <w:ind w:left="30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43"/>
        </w:trPr>
        <w:tc>
          <w:tcPr>
            <w:tcW w:w="20" w:type="dxa"/>
            <w:vAlign w:val="bottom"/>
          </w:tcPr>
          <w:p>
            <w:pPr>
              <w:spacing w:after="0"/>
              <w:rPr>
                <w:sz w:val="12"/>
                <w:szCs w:val="12"/>
                <w:color w:val="auto"/>
              </w:rPr>
            </w:pPr>
          </w:p>
        </w:tc>
        <w:tc>
          <w:tcPr>
            <w:tcW w:w="292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Harel Gadot</w:t>
            </w:r>
          </w:p>
        </w:tc>
        <w:tc>
          <w:tcPr>
            <w:tcW w:w="220" w:type="dxa"/>
            <w:vAlign w:val="bottom"/>
          </w:tcPr>
          <w:p>
            <w:pPr>
              <w:spacing w:after="0"/>
              <w:rPr>
                <w:sz w:val="12"/>
                <w:szCs w:val="12"/>
                <w:color w:val="auto"/>
              </w:rPr>
            </w:pPr>
          </w:p>
        </w:tc>
        <w:tc>
          <w:tcPr>
            <w:tcW w:w="126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9"/>
              </w:rPr>
              <w:t>54</w:t>
            </w:r>
          </w:p>
        </w:tc>
        <w:tc>
          <w:tcPr>
            <w:tcW w:w="220" w:type="dxa"/>
            <w:vAlign w:val="bottom"/>
          </w:tcPr>
          <w:p>
            <w:pPr>
              <w:spacing w:after="0"/>
              <w:rPr>
                <w:sz w:val="12"/>
                <w:szCs w:val="12"/>
                <w:color w:val="auto"/>
              </w:rPr>
            </w:pPr>
          </w:p>
        </w:tc>
        <w:tc>
          <w:tcPr>
            <w:tcW w:w="664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President, Chief Executive Officer and Chairman of the Board of Directors</w:t>
            </w:r>
          </w:p>
        </w:tc>
      </w:tr>
      <w:tr>
        <w:trPr>
          <w:trHeight w:val="196"/>
        </w:trPr>
        <w:tc>
          <w:tcPr>
            <w:tcW w:w="3160" w:type="dxa"/>
            <w:vAlign w:val="bottom"/>
            <w:gridSpan w:val="3"/>
          </w:tcPr>
          <w:p>
            <w:pPr>
              <w:spacing w:after="0" w:line="197" w:lineRule="exact"/>
              <w:rPr>
                <w:sz w:val="20"/>
                <w:szCs w:val="20"/>
                <w:color w:val="auto"/>
              </w:rPr>
            </w:pPr>
            <w:r>
              <w:rPr>
                <w:rFonts w:ascii="Times New Roman" w:cs="Times New Roman" w:eastAsia="Times New Roman" w:hAnsi="Times New Roman"/>
                <w:sz w:val="14"/>
                <w:szCs w:val="14"/>
                <w:color w:val="auto"/>
              </w:rPr>
              <w:t>Scott Burell</w:t>
            </w:r>
            <w:r>
              <w:rPr>
                <w:rFonts w:ascii="Times New Roman" w:cs="Times New Roman" w:eastAsia="Times New Roman" w:hAnsi="Times New Roman"/>
                <w:sz w:val="22"/>
                <w:szCs w:val="22"/>
                <w:color w:val="auto"/>
                <w:vertAlign w:val="superscript"/>
              </w:rPr>
              <w:t>(1)(2)</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w:t>
            </w:r>
          </w:p>
        </w:tc>
        <w:tc>
          <w:tcPr>
            <w:tcW w:w="68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Director</w:t>
            </w:r>
          </w:p>
        </w:tc>
      </w:tr>
      <w:tr>
        <w:trPr>
          <w:trHeight w:val="196"/>
        </w:trPr>
        <w:tc>
          <w:tcPr>
            <w:tcW w:w="3160" w:type="dxa"/>
            <w:vAlign w:val="bottom"/>
            <w:gridSpan w:val="3"/>
          </w:tcPr>
          <w:p>
            <w:pPr>
              <w:spacing w:after="0" w:line="197" w:lineRule="exact"/>
              <w:rPr>
                <w:sz w:val="20"/>
                <w:szCs w:val="20"/>
                <w:color w:val="auto"/>
              </w:rPr>
            </w:pPr>
            <w:r>
              <w:rPr>
                <w:rFonts w:ascii="Times New Roman" w:cs="Times New Roman" w:eastAsia="Times New Roman" w:hAnsi="Times New Roman"/>
                <w:sz w:val="14"/>
                <w:szCs w:val="14"/>
                <w:color w:val="auto"/>
              </w:rPr>
              <w:t>Martin Madden</w:t>
            </w:r>
            <w:r>
              <w:rPr>
                <w:rFonts w:ascii="Times New Roman" w:cs="Times New Roman" w:eastAsia="Times New Roman" w:hAnsi="Times New Roman"/>
                <w:sz w:val="22"/>
                <w:szCs w:val="22"/>
                <w:color w:val="auto"/>
                <w:vertAlign w:val="superscript"/>
              </w:rPr>
              <w:t>(1)(3)</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66</w:t>
            </w:r>
          </w:p>
        </w:tc>
        <w:tc>
          <w:tcPr>
            <w:tcW w:w="68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Director</w:t>
            </w:r>
          </w:p>
        </w:tc>
      </w:tr>
      <w:tr>
        <w:trPr>
          <w:trHeight w:val="196"/>
        </w:trPr>
        <w:tc>
          <w:tcPr>
            <w:tcW w:w="3160" w:type="dxa"/>
            <w:vAlign w:val="bottom"/>
            <w:gridSpan w:val="3"/>
          </w:tcPr>
          <w:p>
            <w:pPr>
              <w:spacing w:after="0" w:line="197" w:lineRule="exact"/>
              <w:rPr>
                <w:sz w:val="20"/>
                <w:szCs w:val="20"/>
                <w:color w:val="auto"/>
              </w:rPr>
            </w:pPr>
            <w:r>
              <w:rPr>
                <w:rFonts w:ascii="Times New Roman" w:cs="Times New Roman" w:eastAsia="Times New Roman" w:hAnsi="Times New Roman"/>
                <w:sz w:val="14"/>
                <w:szCs w:val="14"/>
                <w:color w:val="auto"/>
              </w:rPr>
              <w:t>Prattipati Laxminarain</w:t>
            </w:r>
            <w:r>
              <w:rPr>
                <w:rFonts w:ascii="Times New Roman" w:cs="Times New Roman" w:eastAsia="Times New Roman" w:hAnsi="Times New Roman"/>
                <w:sz w:val="22"/>
                <w:szCs w:val="22"/>
                <w:color w:val="auto"/>
                <w:vertAlign w:val="superscript"/>
              </w:rPr>
              <w:t>(2)</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69</w:t>
            </w:r>
          </w:p>
        </w:tc>
        <w:tc>
          <w:tcPr>
            <w:tcW w:w="68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Director</w:t>
            </w:r>
          </w:p>
        </w:tc>
      </w:tr>
      <w:tr>
        <w:trPr>
          <w:trHeight w:val="196"/>
        </w:trPr>
        <w:tc>
          <w:tcPr>
            <w:tcW w:w="3160" w:type="dxa"/>
            <w:vAlign w:val="bottom"/>
            <w:gridSpan w:val="3"/>
          </w:tcPr>
          <w:p>
            <w:pPr>
              <w:spacing w:after="0" w:line="197" w:lineRule="exact"/>
              <w:rPr>
                <w:sz w:val="20"/>
                <w:szCs w:val="20"/>
                <w:color w:val="auto"/>
              </w:rPr>
            </w:pPr>
            <w:r>
              <w:rPr>
                <w:rFonts w:ascii="Times New Roman" w:cs="Times New Roman" w:eastAsia="Times New Roman" w:hAnsi="Times New Roman"/>
                <w:sz w:val="14"/>
                <w:szCs w:val="14"/>
                <w:color w:val="auto"/>
              </w:rPr>
              <w:t>Aileen Stockburger</w:t>
            </w:r>
            <w:r>
              <w:rPr>
                <w:rFonts w:ascii="Times New Roman" w:cs="Times New Roman" w:eastAsia="Times New Roman" w:hAnsi="Times New Roman"/>
                <w:sz w:val="22"/>
                <w:szCs w:val="22"/>
                <w:color w:val="auto"/>
                <w:vertAlign w:val="superscript"/>
              </w:rPr>
              <w:t>(3)</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64</w:t>
            </w:r>
          </w:p>
        </w:tc>
        <w:tc>
          <w:tcPr>
            <w:tcW w:w="68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Director</w:t>
            </w:r>
          </w:p>
        </w:tc>
      </w:tr>
      <w:tr>
        <w:trPr>
          <w:trHeight w:val="196"/>
        </w:trPr>
        <w:tc>
          <w:tcPr>
            <w:tcW w:w="3160" w:type="dxa"/>
            <w:vAlign w:val="bottom"/>
            <w:gridSpan w:val="3"/>
          </w:tcPr>
          <w:p>
            <w:pPr>
              <w:spacing w:after="0" w:line="197" w:lineRule="exact"/>
              <w:rPr>
                <w:sz w:val="20"/>
                <w:szCs w:val="20"/>
                <w:color w:val="auto"/>
              </w:rPr>
            </w:pPr>
            <w:r>
              <w:rPr>
                <w:rFonts w:ascii="Times New Roman" w:cs="Times New Roman" w:eastAsia="Times New Roman" w:hAnsi="Times New Roman"/>
                <w:sz w:val="14"/>
                <w:szCs w:val="14"/>
                <w:color w:val="auto"/>
              </w:rPr>
              <w:t>Tal Wenderow</w:t>
            </w:r>
            <w:r>
              <w:rPr>
                <w:rFonts w:ascii="Times New Roman" w:cs="Times New Roman" w:eastAsia="Times New Roman" w:hAnsi="Times New Roman"/>
                <w:sz w:val="22"/>
                <w:szCs w:val="22"/>
                <w:color w:val="auto"/>
                <w:vertAlign w:val="superscript"/>
              </w:rPr>
              <w:t>(2)</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52</w:t>
            </w:r>
          </w:p>
        </w:tc>
        <w:tc>
          <w:tcPr>
            <w:tcW w:w="68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Director</w:t>
            </w:r>
          </w:p>
        </w:tc>
      </w:tr>
      <w:tr>
        <w:trPr>
          <w:trHeight w:val="303"/>
        </w:trPr>
        <w:tc>
          <w:tcPr>
            <w:tcW w:w="3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David J. Wilson</w:t>
            </w:r>
            <w:r>
              <w:rPr>
                <w:rFonts w:ascii="Times New Roman" w:cs="Times New Roman" w:eastAsia="Times New Roman" w:hAnsi="Times New Roman"/>
                <w:sz w:val="22"/>
                <w:szCs w:val="22"/>
                <w:color w:val="auto"/>
                <w:vertAlign w:val="superscript"/>
              </w:rPr>
              <w:t>(1)(3)</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59</w:t>
            </w:r>
          </w:p>
        </w:tc>
        <w:tc>
          <w:tcPr>
            <w:tcW w:w="68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45085</wp:posOffset>
            </wp:positionV>
            <wp:extent cx="179133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59" w:lineRule="exact"/>
        <w:rPr>
          <w:sz w:val="20"/>
          <w:szCs w:val="20"/>
          <w:color w:val="auto"/>
        </w:rPr>
      </w:pPr>
    </w:p>
    <w:p>
      <w:pPr>
        <w:ind w:left="260" w:hanging="257"/>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Audit Committee.</w:t>
      </w:r>
    </w:p>
    <w:p>
      <w:pPr>
        <w:spacing w:after="0" w:line="17"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Corporate Governance Committee.</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Compensation Committee.</w:t>
      </w:r>
    </w:p>
    <w:p>
      <w:pPr>
        <w:spacing w:after="0" w:line="1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Because we have a classified Board, with each of our directors serving a staggered three-year term, only our Class II Directors are standing for election at our 2026 Annual Meeting. The following table shows the current composition of the three classes of our Board: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Class I Directors (terms scheduled to expire in 2028):</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Harel Gadot</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Martin Madden</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Tal Wenderow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Class II Directors (term scheduled to expire in 2026, next expiration in 2029):</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Scott Burell</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Aileen Stockburger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Class III Directors (term scheduled to expire in 2027):</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David J. Wilson</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Prattipati Laxminarain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independent members of our Board, as determined by the Board in accordance with the existing Nasdaq Listing rules, are Messrs. Burell, Madden, Laxminarain, Wenderow and Wilson, and Ms.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Stockburger.</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Board held six meetings during the fiscal year ended December 31, 2025. Each of our then-directors attended all such meetings of the Board, except on two occasions when Mr. Laxminarain was absent, and as a result Mr. Laxminarain attended fewer than 75% of the aggregate of the meetings of the Board and of the committees on which he served during 2025. While we encourage our directors to attend the Company’s annual shareholder meeting, we do not have a policy requiring that they do so. All of our then-directors attended in person or by telephone the Company’s 2025 annual stockholder meeting. The Board also acted by unanimous written consent eight times during the fiscal year ended December 31, 2025.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Committees of the Board of Directors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Presently, the Board has three standing committees – the Audit Committee, the Compensation Committee, and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Audit Committee</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Audit Committee is composed of Messrs. Burell, Madden and Wilson.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four meetings and acted by unanimous written consent one time during the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208280</wp:posOffset>
            </wp:positionV>
            <wp:extent cx="716470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6" w:name="page7"/>
    <w:bookmarkEnd w:id="6"/>
    <w:p>
      <w:pPr>
        <w:jc w:val="both"/>
        <w:spacing w:after="0" w:line="253" w:lineRule="auto"/>
        <w:rPr>
          <w:sz w:val="20"/>
          <w:szCs w:val="20"/>
          <w:color w:val="auto"/>
        </w:rPr>
      </w:pPr>
      <w:r>
        <w:rPr>
          <w:rFonts w:ascii="Times New Roman" w:cs="Times New Roman" w:eastAsia="Times New Roman" w:hAnsi="Times New Roman"/>
          <w:sz w:val="14"/>
          <w:szCs w:val="14"/>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Committee</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Compensation Committee is composed of Mr. Madden (Chairman), Ms. Stockburger and Mr. Wilson. Each of the members of the Compensation Committee is independent. The Compensation Committee acts pursuant to a written charter which is available through our website at www.microbotmedical.com. The Compensation Committee held three meetings during the fiscal year ended December 31, 2025 and acted by unanimous written consent three times.</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Corporate Governance Committee</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Corporate Governance Committee is composed of Messrs. Laxminarain, Burell and Wenderow. Each of the members of the Corporate Governance Committee is independent. The Corporate Governance Committee acts pursuant to a written charter which is available through our website at www.microbotmedical.com. The Corporate Governance Committee acted by unanimous written consent one time during the fiscal year ended December 31, 2025.</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www.microbotmedical.com.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members of the Corporate Governance Committee have approved the nomination of the Class II directors standing for reelection at the 2026 Annual Meeting.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 Oversight and Qualifications</w:t>
      </w:r>
    </w:p>
    <w:p>
      <w:pPr>
        <w:spacing w:after="0" w:line="1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206375</wp:posOffset>
            </wp:positionV>
            <wp:extent cx="716470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7" w:name="page8"/>
    <w:bookmarkEnd w:id="7"/>
    <w:p>
      <w:pPr>
        <w:jc w:val="both"/>
        <w:spacing w:after="0" w:line="272" w:lineRule="auto"/>
        <w:rPr>
          <w:sz w:val="20"/>
          <w:szCs w:val="20"/>
          <w:color w:val="auto"/>
        </w:rPr>
      </w:pPr>
      <w:r>
        <w:rPr>
          <w:rFonts w:ascii="Times New Roman" w:cs="Times New Roman" w:eastAsia="Times New Roman" w:hAnsi="Times New Roman"/>
          <w:sz w:val="14"/>
          <w:szCs w:val="14"/>
          <w:color w:val="auto"/>
        </w:rPr>
        <w:t>We believe each of our directors brings valuable skills, experience, judgment, and perspectives to our company. The Board took the following qualifications into consideration, among other things, when nominating or appointing our current directors:</w:t>
      </w:r>
    </w:p>
    <w:p>
      <w:pPr>
        <w:spacing w:after="0" w:line="1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i w:val="1"/>
          <w:iCs w:val="1"/>
          <w:color w:val="auto"/>
        </w:rPr>
        <w:t>Harel Gadot</w:t>
      </w:r>
      <w:r>
        <w:rPr>
          <w:rFonts w:ascii="Times New Roman" w:cs="Times New Roman" w:eastAsia="Times New Roman" w:hAnsi="Times New Roman"/>
          <w:sz w:val="14"/>
          <w:szCs w:val="14"/>
          <w:color w:val="auto"/>
        </w:rPr>
        <w:t>, became President, Chief Executive Officer and Chairman of the Company’s Board following the consummation of the Company’s business combination with Microbot Medical in 2016. Mr.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Gadot is a co-founder of Microbot Medical Ltd., an Israel corporation and our predecessor company and currently a wholly-owned subsidiary (“Microbot Israel”), and has served as Microbot Israel’s Chief Executive Officer since Microbot Israel was founded in November 2010. He has been the Chairman of Microbot Israel’s board of directors since July 2014. He is the founder of XACT Robotics Ltd., an Israel-based private company that ceased operations and is in insolvency proceedings in Israel, and was its Chairman from August 2013 until September 2023. Mr. Gadot served as Chairman of MEDX Xelerator L.P., a medical device and digital health Israeli incubator, from July 2016 until September 2023.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He is a member of the Board of Directors of BrenX Ltd. (Nasdaq:BRNX). Mr. Gadot holds a B.Sc. 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i w:val="1"/>
          <w:iCs w:val="1"/>
          <w:color w:val="auto"/>
        </w:rPr>
        <w:t>Scott R. Burell</w:t>
      </w:r>
      <w:r>
        <w:rPr>
          <w:rFonts w:ascii="Times New Roman" w:cs="Times New Roman" w:eastAsia="Times New Roman" w:hAnsi="Times New Roman"/>
          <w:sz w:val="14"/>
          <w:szCs w:val="14"/>
          <w:color w:val="auto"/>
        </w:rPr>
        <w:t>, became a director of the Company in November 2016. Since August 2018, Mr. Burell has been the Chief Financial Officer and Secretary of AIVITA Biomedical, Inc., an Irvine California-based immuno-oncology company focused on the advancement of commercial and clinical-stage programs utilizing curative and regenerative medicines. From November 2006 until its sale to Invitae Corp. (NASDAQ: NVTA)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i w:val="1"/>
          <w:iCs w:val="1"/>
          <w:color w:val="auto"/>
        </w:rPr>
        <w:t>Martin Madden</w:t>
      </w:r>
      <w:r>
        <w:rPr>
          <w:rFonts w:ascii="Times New Roman" w:cs="Times New Roman" w:eastAsia="Times New Roman" w:hAnsi="Times New Roman"/>
          <w:sz w:val="14"/>
          <w:szCs w:val="14"/>
          <w:color w:val="auto"/>
        </w:rPr>
        <w:t>, has been a director of the Company since February 6, 2017. Mr. Madden has held various positions at Johnson &amp; Johnson and its affiliates from 1986 to January 2017, most recently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 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 &amp; Johnson’s Global Surgery Group, Ethicon, Ethicon Endo-Surgery,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208915</wp:posOffset>
            </wp:positionV>
            <wp:extent cx="716470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8" w:name="page9"/>
    <w:bookmarkEnd w:id="8"/>
    <w:p>
      <w:pPr>
        <w:jc w:val="both"/>
        <w:spacing w:after="0" w:line="252" w:lineRule="auto"/>
        <w:rPr>
          <w:sz w:val="20"/>
          <w:szCs w:val="20"/>
          <w:color w:val="auto"/>
        </w:rPr>
      </w:pPr>
      <w:r>
        <w:rPr>
          <w:rFonts w:ascii="Times New Roman" w:cs="Times New Roman" w:eastAsia="Times New Roman" w:hAnsi="Times New Roman"/>
          <w:sz w:val="14"/>
          <w:szCs w:val="14"/>
          <w:i w:val="1"/>
          <w:iCs w:val="1"/>
          <w:color w:val="auto"/>
        </w:rPr>
        <w:t>Prattipati Laxminarain</w:t>
      </w:r>
      <w:r>
        <w:rPr>
          <w:rFonts w:ascii="Times New Roman" w:cs="Times New Roman" w:eastAsia="Times New Roman" w:hAnsi="Times New Roman"/>
          <w:sz w:val="14"/>
          <w:szCs w:val="14"/>
          <w:color w:val="auto"/>
        </w:rPr>
        <w:t>, has been a director of the Company since December 6, 2017. From April 2006 through October 2017, Mr. Laxminarain served as Worldwide President at Codman Neuro, a global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neurosurgery and neurovascular company that offers a portfolio of devices for hydrocephalus management, neuro intensive care and cranial surgery and other technologies, and which was part of DePuy Synthes Companies of Johnson &amp; Johnson. Mr. Laxminarain is currently the CEO of Deinde Medical Corporation, and is a Board Member of Oculogica Inc. and GT Medical Inc. He was also a director at Millar Inc., which specializes in the design, development, and manufacturing of advanced pressure sensing technologies for medical devices, life sciences, and industrial applications.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competes.</w:t>
      </w:r>
    </w:p>
    <w:p>
      <w:pPr>
        <w:spacing w:after="0" w:line="1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i w:val="1"/>
          <w:iCs w:val="1"/>
          <w:color w:val="auto"/>
        </w:rPr>
        <w:t xml:space="preserve">Aileen Stockburger </w:t>
      </w:r>
      <w:r>
        <w:rPr>
          <w:rFonts w:ascii="Times New Roman" w:cs="Times New Roman" w:eastAsia="Times New Roman" w:hAnsi="Times New Roman"/>
          <w:sz w:val="14"/>
          <w:szCs w:val="14"/>
          <w:color w:val="auto"/>
        </w:rPr>
        <w:t>was appointed by the Board on March 26, 2020 to fill a vacancy on the Board and to serve as a Class II director of the Company, with a term commencing on April 1, 2020. Since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the Chair of Next Science Limited, which was a medical technology company formerly listed on the ASX and headquartered in Sydney, Australia, with a primary focus in the development and continued commercialization of its proprietary technology to reduce the impact of biofilm based infections in human health until the sale of all of its assets.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i w:val="1"/>
          <w:iCs w:val="1"/>
          <w:color w:val="auto"/>
        </w:rPr>
        <w:t xml:space="preserve">Tal Wenderow </w:t>
      </w:r>
      <w:r>
        <w:rPr>
          <w:rFonts w:ascii="Times New Roman" w:cs="Times New Roman" w:eastAsia="Times New Roman" w:hAnsi="Times New Roman"/>
          <w:sz w:val="14"/>
          <w:szCs w:val="14"/>
          <w:color w:val="auto"/>
        </w:rPr>
        <w:t>was appointed by the Board on July 29, 2020 to fill a vacancy on the Board and to serve as a Class I director of the Company, with a term commencing on August 1, 2020. In May 2025, 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became the Founding Managing Partner of Star51 Capital, a new investment vehicle focused on the intersection of Medtech &amp; AI. From June 2024 to December 2024, Mr. Wenderow served as interim CEO of Sensory Cloud Inc., a health technology company pioneering treatments for respiratory human illnesses of the airway lining. Since September 2021, Mr. Wenderow serves as the Venture Partner at Genesis MedTech, a global medical device company. Previously, from February 2019, Mr. Wenderow served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i w:val="1"/>
          <w:iCs w:val="1"/>
          <w:color w:val="auto"/>
        </w:rPr>
        <w:t>David J. Wilson</w:t>
      </w:r>
      <w:r>
        <w:rPr>
          <w:rFonts w:ascii="Times New Roman" w:cs="Times New Roman" w:eastAsia="Times New Roman" w:hAnsi="Times New Roman"/>
          <w:sz w:val="14"/>
          <w:szCs w:val="14"/>
          <w:color w:val="auto"/>
        </w:rPr>
        <w:t>, was elected at our December 17, 2024 Annual Meeting of Stockholders as a Class III director for a three-year term, was subsequently appointed by the Board of Directors of the Company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serve as a member of the Company’s Audit Committee and Compensation Committee. Since March 2022, Mr. Wilson has been the Chief Executive Officer and a director of InnovHeart Corporation, a private company developing transcatheter mitral valve replacement systems to treat patients suffering from mitral valve disease. From September 2017 to October 2021, he was the President of Global Plasma at Haemonetics Corporation where he led the global commercialization of a next generation plasma collection system. He dedicated two decades in roles of increasing responsibility with various Johnson and Johnson (J&amp;J) companies, including as the Worldwide President of Cordis. In this role, he led the global integration of Cordis into Cardinal Health and rejuvenated the product portfolio through business development deals. Mr. Wilson held other leadership roles at J&amp;J companies, namely President of Mentor, Vice President of Ethicon R&amp;D and Vice President of Ethicon Biosurgicals. Earlier in his tenure with J&amp;J, he attained senior leadership roles at Cordis Endovascular as Vice President of R&amp;D and Regional Director of Sales. He is the holder of 10 medical device patents and has served as a Board member of several educational and healthcare institutions in the US. His education includes a Bachelor of Mechanical Engineering from Auburn University, a Master of Science in Biomedical Engineering from the University of Alabama at Birmingham and a Master of Business Administration from Columbia University. The Company believes that Mr. Wilson is qualified to serve as a member of the Board due to his experience as a healthcare and medical device executive, including extensive experience in general management, research and development, marketing, sales and supply chain management.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Officers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Following are the name, age and other information for our executive officers. All company officers have been appointed to serve until their successors are elected and qualified or until their earlier resignation or removal. Information regarding Harel Gadot, our Chairman, President and Chief Executive Officer, is set forth above under “Board of Directors.”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140" w:type="dxa"/>
            <w:vAlign w:val="bottom"/>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20" w:type="dxa"/>
            <w:vAlign w:val="bottom"/>
          </w:tcPr>
          <w:p>
            <w:pPr>
              <w:spacing w:after="0"/>
              <w:rPr>
                <w:sz w:val="15"/>
                <w:szCs w:val="15"/>
                <w:color w:val="auto"/>
              </w:rPr>
            </w:pPr>
          </w:p>
        </w:tc>
        <w:tc>
          <w:tcPr>
            <w:tcW w:w="6640" w:type="dxa"/>
            <w:vAlign w:val="bottom"/>
          </w:tcPr>
          <w:p>
            <w:pPr>
              <w:ind w:left="30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43"/>
        </w:trPr>
        <w:tc>
          <w:tcPr>
            <w:tcW w:w="20" w:type="dxa"/>
            <w:vAlign w:val="bottom"/>
          </w:tcPr>
          <w:p>
            <w:pPr>
              <w:spacing w:after="0"/>
              <w:rPr>
                <w:sz w:val="12"/>
                <w:szCs w:val="12"/>
                <w:color w:val="auto"/>
              </w:rPr>
            </w:pPr>
          </w:p>
        </w:tc>
        <w:tc>
          <w:tcPr>
            <w:tcW w:w="292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Harel Gadot</w:t>
            </w:r>
          </w:p>
        </w:tc>
        <w:tc>
          <w:tcPr>
            <w:tcW w:w="220" w:type="dxa"/>
            <w:vAlign w:val="bottom"/>
          </w:tcPr>
          <w:p>
            <w:pPr>
              <w:spacing w:after="0"/>
              <w:rPr>
                <w:sz w:val="12"/>
                <w:szCs w:val="12"/>
                <w:color w:val="auto"/>
              </w:rPr>
            </w:pPr>
          </w:p>
        </w:tc>
        <w:tc>
          <w:tcPr>
            <w:tcW w:w="126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9"/>
              </w:rPr>
              <w:t>54</w:t>
            </w:r>
          </w:p>
        </w:tc>
        <w:tc>
          <w:tcPr>
            <w:tcW w:w="220" w:type="dxa"/>
            <w:vAlign w:val="bottom"/>
          </w:tcPr>
          <w:p>
            <w:pPr>
              <w:spacing w:after="0"/>
              <w:rPr>
                <w:sz w:val="12"/>
                <w:szCs w:val="12"/>
                <w:color w:val="auto"/>
              </w:rPr>
            </w:pPr>
          </w:p>
        </w:tc>
        <w:tc>
          <w:tcPr>
            <w:tcW w:w="664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President, Chief Executive Officer and Chairman of the Board of Directors</w:t>
            </w:r>
          </w:p>
        </w:tc>
      </w:tr>
      <w:tr>
        <w:trPr>
          <w:trHeight w:val="165"/>
        </w:trPr>
        <w:tc>
          <w:tcPr>
            <w:tcW w:w="3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Rachel Vaknin</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68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65"/>
        </w:trPr>
        <w:tc>
          <w:tcPr>
            <w:tcW w:w="3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Simon Sharon</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67</w:t>
            </w:r>
          </w:p>
        </w:tc>
        <w:tc>
          <w:tcPr>
            <w:tcW w:w="68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Chief Technology Officer and General Manager, Microbot Israel</w:t>
            </w:r>
          </w:p>
        </w:tc>
      </w:tr>
      <w:tr>
        <w:trPr>
          <w:trHeight w:val="179"/>
        </w:trPr>
        <w:tc>
          <w:tcPr>
            <w:tcW w:w="3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Juan Diaz-Cartelle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68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Chief Medical Officer</w:t>
            </w:r>
          </w:p>
        </w:tc>
      </w:tr>
    </w:tbl>
    <w:p>
      <w:pPr>
        <w:spacing w:after="0" w:line="1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Rachel Vaknin </w:t>
      </w:r>
      <w:r>
        <w:rPr>
          <w:rFonts w:ascii="Times New Roman" w:cs="Times New Roman" w:eastAsia="Times New Roman" w:hAnsi="Times New Roman"/>
          <w:sz w:val="14"/>
          <w:szCs w:val="14"/>
          <w:color w:val="auto"/>
        </w:rPr>
        <w:t>has served as the Company’s Chief Financial Officer since April 2022 and before that was its VP Finance since January 2022. From September 2017 to December 2021, Ms. Vaknin served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the Chief Financial Officer of Imagry, an Israeli-American autonomous technologies software provider. From April 2004 through December 2016, Ms. Vaknin was the FP&amp;A Department Manager at Mellanox Technologies Ltd., an Israeli-American multinational supplier of computer networking products acquired by Nvidia in 2020, where she was responsible, among other things, for managing FP&amp;A, leading teams with respect to preparing quarterly financial statements, obtaining and managing grant monies, and Sarbanes-Oxley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202565</wp:posOffset>
            </wp:positionV>
            <wp:extent cx="716470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9" w:name="page10"/>
    <w:bookmarkEnd w:id="9"/>
    <w:p>
      <w:pPr>
        <w:jc w:val="both"/>
        <w:spacing w:after="0" w:line="274" w:lineRule="auto"/>
        <w:rPr>
          <w:sz w:val="20"/>
          <w:szCs w:val="20"/>
          <w:color w:val="auto"/>
        </w:rPr>
      </w:pPr>
      <w:r>
        <w:rPr>
          <w:rFonts w:ascii="Times New Roman" w:cs="Times New Roman" w:eastAsia="Times New Roman" w:hAnsi="Times New Roman"/>
          <w:sz w:val="13"/>
          <w:szCs w:val="13"/>
          <w:i w:val="1"/>
          <w:iCs w:val="1"/>
          <w:color w:val="auto"/>
        </w:rPr>
        <w:t>Simon Sharon</w:t>
      </w:r>
      <w:r>
        <w:rPr>
          <w:rFonts w:ascii="Times New Roman" w:cs="Times New Roman" w:eastAsia="Times New Roman" w:hAnsi="Times New Roman"/>
          <w:sz w:val="13"/>
          <w:szCs w:val="13"/>
          <w:color w:val="auto"/>
        </w:rPr>
        <w:t>, has served as the Company’s Chief Technology Officer since April 2018 and as the General Manager of Microbot Israel since April 2021. From August 2016 to March 2018, Mr. Sharon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served as the Chief Technology Officer at MEDX Xelerator, an Israel-based medical device and digital health incubator. He was also a director until January 2024 of XACT Robotics Ltd., an Israel-based private company that ceased operations and is in insolvency proceedings in Israel.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spacing w:after="0" w:line="12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i w:val="1"/>
          <w:iCs w:val="1"/>
          <w:color w:val="auto"/>
        </w:rPr>
        <w:t>Dr. Juan Diaz-Cartelle</w:t>
      </w:r>
      <w:r>
        <w:rPr>
          <w:rFonts w:ascii="Times New Roman" w:cs="Times New Roman" w:eastAsia="Times New Roman" w:hAnsi="Times New Roman"/>
          <w:sz w:val="14"/>
          <w:szCs w:val="14"/>
          <w:color w:val="auto"/>
        </w:rPr>
        <w:t>, has served as the Company’s Chief Medical Officer since December 1, 2023. As CMO, Dr. Diaz-Cartelle leads the development and execution of the clinical strategy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including clinical trials and medical affairs activity, and is an integral part of the team leading its regulatory processes with the FDA and commercial efforts. Most recently, from May 2022 to November 2023, Dr. Diaz-Cartelle served as the Executive Medical Director at Haemonetics Corporation (NYSE: HAE), where he advised that company on new investments in the cardiovascular space, among other responsibilities. Prior to that, from June 2008 to May 2022, Dr. Diaz-Cartelle served as the Senior Medical Director for the Peripheral Interventional Division (Endovascular and Interventional Oncology) at Boston Scientific Corporation (NYSE: BSX), where he played a pivotal part in the development of global clinical strategy and study oversight, supporting commercial activities and future pipeline development. Dr. Diaz-Cartelle obtained his medical degree at the University of Navarra (Spain) and completed his specialty as Angiologist and Vascular Surgeon at Hospital General Universitario Gregorio Maranon in Madrid (Spain).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Section 16(a) Reports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Section 16(a) of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2025, all Section 16(a) filing requirements applicable to our officers, directors and greater than 10% beneficial owners have been met.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Code of Business Conduct and Ethics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Clawback Policy</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the fourth quarter of 2023, the Company adopted a clawback policy which implements the incentive-based compensation recovery provisions of the Dodd-Frank Wall Street Reform and Consumer Protection Act of 2010 as required under the listing standards of Nasdaq, and requires recovery of incentive-based compensation received by current or former executive officers during the three fiscal years preceding the date it is determined that the Company is required to prepare an accounting restatement.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Insider Trading Policy</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has adopted insider trading policies and procedures governing the purchase, sale, and/or other dispositions of its securities by directors, officers and employees, or the Company itself, that are reasonably designed to promote compliance with insider trading laws, rules and regulations, and any listing standards applicable to the Company. Such policies and procedures are filed as an exhibit to the Company’s Annual Report on Form 10-K for the fiscal year ended December 31, 2025, and are also included in the Company’s Code of Ethics and Conduct, and in its Blackout Period and Trading Window Policy, also filed as exhibits to such Form 10-K. Copies are also posted on our website at www.microbotmedical.com.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Hedging Policy</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Company’s Insider Trading Policy, which applies to the Company’s directors, officers and employees, prohibits such persons from engaging in transactions in publicly traded options and in certain forms of hedging transactions involving the Company’s securities. Although such types of hedging transactions in the Insider Trading Policy are not specified, the Company considers it to include, but not be limited to, prepaid variable forwards, equity swaps, collars and exchange funds.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 Involving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legal proceedings involving the nominees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EXECUTIVE COMPENSATION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information regarding each element of compensation that was paid or awarded to the named executive officers of the Company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Non-Equity</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5"/>
              </w:rPr>
              <w:t>Incentive Plan</w:t>
            </w: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Awards ($)</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5"/>
                <w:szCs w:val="15"/>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xml:space="preserve">Bonus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6"/>
              </w:rPr>
              <w:t xml:space="preserve">Awards </w:t>
            </w:r>
            <w:r>
              <w:rPr>
                <w:rFonts w:ascii="Times New Roman" w:cs="Times New Roman" w:eastAsia="Times New Roman" w:hAnsi="Times New Roman"/>
                <w:sz w:val="14"/>
                <w:szCs w:val="14"/>
                <w:b w:val="1"/>
                <w:bCs w:val="1"/>
                <w:u w:val="single" w:color="auto"/>
                <w:color w:val="auto"/>
                <w:w w:val="96"/>
              </w:rPr>
              <w:t>($</w:t>
            </w:r>
            <w:r>
              <w:rPr>
                <w:rFonts w:ascii="Times New Roman" w:cs="Times New Roman" w:eastAsia="Times New Roman" w:hAnsi="Times New Roman"/>
                <w:sz w:val="14"/>
                <w:szCs w:val="14"/>
                <w:b w:val="1"/>
                <w:bCs w:val="1"/>
                <w:color w:val="auto"/>
                <w:w w:val="96"/>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(1)</w:t>
            </w:r>
          </w:p>
        </w:tc>
        <w:tc>
          <w:tcPr>
            <w:tcW w:w="100" w:type="dxa"/>
            <w:vAlign w:val="bottom"/>
          </w:tcPr>
          <w:p>
            <w:pPr>
              <w:spacing w:after="0"/>
              <w:rPr>
                <w:sz w:val="15"/>
                <w:szCs w:val="15"/>
                <w:color w:val="auto"/>
              </w:rPr>
            </w:pPr>
          </w:p>
        </w:tc>
        <w:tc>
          <w:tcPr>
            <w:tcW w:w="940" w:type="dxa"/>
            <w:vAlign w:val="bottom"/>
            <w:gridSpan w:val="2"/>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156"/>
        </w:trPr>
        <w:tc>
          <w:tcPr>
            <w:tcW w:w="3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9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Harel Gadot</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552,892</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705,952</w:t>
            </w:r>
          </w:p>
        </w:tc>
        <w:tc>
          <w:tcPr>
            <w:tcW w:w="2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350,701</w:t>
            </w:r>
          </w:p>
        </w:tc>
        <w:tc>
          <w:tcPr>
            <w:tcW w:w="1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55,400</w:t>
            </w:r>
          </w:p>
        </w:tc>
        <w:tc>
          <w:tcPr>
            <w:tcW w:w="2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1,664,945</w:t>
            </w:r>
          </w:p>
        </w:tc>
        <w:tc>
          <w:tcPr>
            <w:tcW w:w="100" w:type="dxa"/>
            <w:vAlign w:val="bottom"/>
            <w:shd w:val="clear" w:color="auto" w:fill="CCEEFF"/>
          </w:tcPr>
          <w:p>
            <w:pPr>
              <w:spacing w:after="0"/>
              <w:rPr>
                <w:sz w:val="17"/>
                <w:szCs w:val="17"/>
                <w:color w:val="auto"/>
              </w:rPr>
            </w:pPr>
          </w:p>
        </w:tc>
      </w:tr>
      <w:tr>
        <w:trPr>
          <w:trHeight w:val="19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CEO, President &amp; Chairman</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2024</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520,249</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149,189</w:t>
            </w:r>
          </w:p>
        </w:tc>
        <w:tc>
          <w:tcPr>
            <w:tcW w:w="2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514,141</w:t>
            </w:r>
          </w:p>
        </w:tc>
        <w:tc>
          <w:tcPr>
            <w:tcW w:w="1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57,900</w:t>
            </w:r>
          </w:p>
        </w:tc>
        <w:tc>
          <w:tcPr>
            <w:tcW w:w="2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1,241,479</w:t>
            </w:r>
          </w:p>
        </w:tc>
        <w:tc>
          <w:tcPr>
            <w:tcW w:w="100" w:type="dxa"/>
            <w:vAlign w:val="bottom"/>
            <w:shd w:val="clear" w:color="auto" w:fill="CCEEFF"/>
          </w:tcPr>
          <w:p>
            <w:pPr>
              <w:spacing w:after="0"/>
              <w:rPr>
                <w:sz w:val="17"/>
                <w:szCs w:val="17"/>
                <w:color w:val="auto"/>
              </w:rPr>
            </w:pPr>
          </w:p>
        </w:tc>
      </w:tr>
      <w:tr>
        <w:trPr>
          <w:trHeight w:val="165"/>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Simon Sharon</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277,006</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145,362</w:t>
            </w:r>
          </w:p>
        </w:tc>
        <w:tc>
          <w:tcPr>
            <w:tcW w:w="2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72,874</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101,304</w:t>
            </w:r>
          </w:p>
        </w:tc>
        <w:tc>
          <w:tcPr>
            <w:tcW w:w="2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596,545</w:t>
            </w:r>
          </w:p>
        </w:tc>
        <w:tc>
          <w:tcPr>
            <w:tcW w:w="100" w:type="dxa"/>
            <w:vAlign w:val="bottom"/>
            <w:shd w:val="clear" w:color="auto" w:fill="CCEEFF"/>
          </w:tcPr>
          <w:p>
            <w:pPr>
              <w:spacing w:after="0"/>
              <w:rPr>
                <w:sz w:val="17"/>
                <w:szCs w:val="17"/>
                <w:color w:val="auto"/>
              </w:rPr>
            </w:pPr>
          </w:p>
        </w:tc>
      </w:tr>
      <w:tr>
        <w:trPr>
          <w:trHeight w:val="19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CTO and General Manager</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2024</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241,455</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84,754</w:t>
            </w:r>
          </w:p>
        </w:tc>
        <w:tc>
          <w:tcPr>
            <w:tcW w:w="2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123,785</w:t>
            </w:r>
          </w:p>
        </w:tc>
        <w:tc>
          <w:tcPr>
            <w:tcW w:w="1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89,435</w:t>
            </w:r>
          </w:p>
        </w:tc>
        <w:tc>
          <w:tcPr>
            <w:tcW w:w="2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539,429</w:t>
            </w:r>
          </w:p>
        </w:tc>
        <w:tc>
          <w:tcPr>
            <w:tcW w:w="100" w:type="dxa"/>
            <w:vAlign w:val="bottom"/>
            <w:shd w:val="clear" w:color="auto" w:fill="CCEEFF"/>
          </w:tcPr>
          <w:p>
            <w:pPr>
              <w:spacing w:after="0"/>
              <w:rPr>
                <w:sz w:val="17"/>
                <w:szCs w:val="17"/>
                <w:color w:val="auto"/>
              </w:rPr>
            </w:pPr>
          </w:p>
        </w:tc>
      </w:tr>
      <w:tr>
        <w:trPr>
          <w:trHeight w:val="165"/>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Juan Diaz-Cartelle</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364,808</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105,000</w:t>
            </w:r>
          </w:p>
        </w:tc>
        <w:tc>
          <w:tcPr>
            <w:tcW w:w="2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34,504</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27,600</w:t>
            </w:r>
          </w:p>
        </w:tc>
        <w:tc>
          <w:tcPr>
            <w:tcW w:w="2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531,912</w:t>
            </w:r>
          </w:p>
        </w:tc>
        <w:tc>
          <w:tcPr>
            <w:tcW w:w="100" w:type="dxa"/>
            <w:vAlign w:val="bottom"/>
            <w:shd w:val="clear" w:color="auto" w:fill="CCEEFF"/>
          </w:tcPr>
          <w:p>
            <w:pPr>
              <w:spacing w:after="0"/>
              <w:rPr>
                <w:sz w:val="17"/>
                <w:szCs w:val="17"/>
                <w:color w:val="auto"/>
              </w:rPr>
            </w:pPr>
          </w:p>
        </w:tc>
      </w:tr>
      <w:tr>
        <w:trPr>
          <w:trHeight w:val="165"/>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CMO</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2024</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26,478</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376,478</w:t>
            </w:r>
          </w:p>
        </w:tc>
        <w:tc>
          <w:tcPr>
            <w:tcW w:w="100" w:type="dxa"/>
            <w:vAlign w:val="bottom"/>
            <w:shd w:val="clear" w:color="auto" w:fill="CCEEFF"/>
          </w:tcPr>
          <w:p>
            <w:pPr>
              <w:spacing w:after="0"/>
              <w:rPr>
                <w:sz w:val="14"/>
                <w:szCs w:val="14"/>
                <w:color w:val="auto"/>
              </w:rPr>
            </w:pPr>
          </w:p>
        </w:tc>
      </w:tr>
      <w:tr>
        <w:trPr>
          <w:trHeight w:val="165"/>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Rachel Vaknin</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207,772</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88,736</w:t>
            </w:r>
          </w:p>
        </w:tc>
        <w:tc>
          <w:tcPr>
            <w:tcW w:w="2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63,915</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79,572</w:t>
            </w:r>
          </w:p>
        </w:tc>
        <w:tc>
          <w:tcPr>
            <w:tcW w:w="2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439,995</w:t>
            </w:r>
          </w:p>
        </w:tc>
        <w:tc>
          <w:tcPr>
            <w:tcW w:w="100" w:type="dxa"/>
            <w:vAlign w:val="bottom"/>
            <w:shd w:val="clear" w:color="auto" w:fill="CCEEFF"/>
          </w:tcPr>
          <w:p>
            <w:pPr>
              <w:spacing w:after="0"/>
              <w:rPr>
                <w:sz w:val="17"/>
                <w:szCs w:val="17"/>
                <w:color w:val="auto"/>
              </w:rPr>
            </w:pPr>
          </w:p>
        </w:tc>
      </w:tr>
      <w:tr>
        <w:trPr>
          <w:trHeight w:val="19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CFO</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2024</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162,793</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40,816</w:t>
            </w:r>
          </w:p>
        </w:tc>
        <w:tc>
          <w:tcPr>
            <w:tcW w:w="2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105,862</w:t>
            </w:r>
          </w:p>
        </w:tc>
        <w:tc>
          <w:tcPr>
            <w:tcW w:w="1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53,694</w:t>
            </w:r>
          </w:p>
        </w:tc>
        <w:tc>
          <w:tcPr>
            <w:tcW w:w="2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363,165</w:t>
            </w:r>
          </w:p>
        </w:tc>
        <w:tc>
          <w:tcPr>
            <w:tcW w:w="10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179133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153" w:lineRule="exact"/>
        <w:rPr>
          <w:sz w:val="20"/>
          <w:szCs w:val="20"/>
          <w:color w:val="auto"/>
        </w:rPr>
      </w:pPr>
    </w:p>
    <w:p>
      <w:pPr>
        <w:jc w:val="both"/>
        <w:ind w:left="260" w:hanging="257"/>
        <w:spacing w:after="0" w:line="251" w:lineRule="auto"/>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11 to the Consolidated Financial Statements of the Company for the fiscal year ended December 31, 2025 included elsewhere in the Company’s Annual Report on Form 10-K for the fiscal year ended December 31, 2025.</w:t>
      </w:r>
    </w:p>
    <w:p>
      <w:pPr>
        <w:spacing w:after="0" w:line="1"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bonus for the 2023 fiscal year, which amount was actually paid in 2024.</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Compensation includes contributions to the named executive officer’s 401(k) Plan, and a yearly automobile allowance.</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bonus of $397,837 for the 2024 fiscal year, which amount was actually paid in 2025, plus one-time bonuses aggregating $308,115.</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bonus of $85,335 for the 2024 fiscal year, which amount was actually paid in 2025, plus a one-time bonus of $60,027.</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bonus for the 2024 fiscal year, which amount was actually paid in 2025.</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bonus of $57,534 for the 2024 fiscal year, which amount was actually paid in 2025, plus a one-time bonus of $31,202.</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Compensation includes contributions to the named executive officer’s 401(k) Plan.</w:t>
      </w:r>
    </w:p>
    <w:p>
      <w:pPr>
        <w:spacing w:after="0" w:line="4" w:lineRule="exact"/>
        <w:rPr>
          <w:rFonts w:ascii="Times New Roman" w:cs="Times New Roman" w:eastAsia="Times New Roman" w:hAnsi="Times New Roman"/>
          <w:sz w:val="14"/>
          <w:szCs w:val="14"/>
          <w:color w:val="auto"/>
        </w:rPr>
      </w:pPr>
    </w:p>
    <w:p>
      <w:pPr>
        <w:ind w:left="260" w:hanging="257"/>
        <w:spacing w:after="0" w:line="252" w:lineRule="auto"/>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Compensation includes contributions or payments to the named executive officer’s convalescence pay, pension fund, work disability insurance, severance fund, education fund, and social security, and yearly automobile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211455</wp:posOffset>
            </wp:positionV>
            <wp:extent cx="716470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3"/>
        </w:trPr>
        <w:tc>
          <w:tcPr>
            <w:tcW w:w="2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8"/>
              </w:rPr>
              <w:t>Outstanding Equity Awards at Fiscal Year-End</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9080" w:type="dxa"/>
            <w:vAlign w:val="bottom"/>
            <w:gridSpan w:val="16"/>
          </w:tcPr>
          <w:p>
            <w:pPr>
              <w:spacing w:after="0"/>
              <w:rPr>
                <w:sz w:val="20"/>
                <w:szCs w:val="20"/>
                <w:color w:val="auto"/>
              </w:rPr>
            </w:pPr>
            <w:r>
              <w:rPr>
                <w:rFonts w:ascii="Times New Roman" w:cs="Times New Roman" w:eastAsia="Times New Roman" w:hAnsi="Times New Roman"/>
                <w:sz w:val="14"/>
                <w:szCs w:val="14"/>
                <w:color w:val="auto"/>
                <w:w w:val="99"/>
              </w:rPr>
              <w:t>The following table presents the outstanding equity awards held by each of the named executive officers as of the end of the fiscal year ended December 31, 2025.</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Option Awards</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Awards: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Awards:</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Market or</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Payout Value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Unearned</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of Unearned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Market value</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Shares, Units</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 Units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5"/>
              </w:rPr>
              <w:t>Shares or Units</w:t>
            </w: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of Shares of</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or Other</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or Other</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Unexercised</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of Stock That</w:t>
            </w: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Units of Stock</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Rights That</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Rights That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Have Not</w:t>
            </w: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That Have</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Have Not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3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Exercisable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Unexercisable</w:t>
            </w:r>
          </w:p>
        </w:tc>
        <w:tc>
          <w:tcPr>
            <w:tcW w:w="240" w:type="dxa"/>
            <w:vAlign w:val="bottom"/>
          </w:tcPr>
          <w:p>
            <w:pPr>
              <w:spacing w:after="0"/>
              <w:rPr>
                <w:sz w:val="15"/>
                <w:szCs w:val="15"/>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Not Vested</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Harel Gadot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120,847</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9/14/2027</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166,666</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9.64</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2/25/2030</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190,000</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8.48</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02/01/2031</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6.48</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01/26/2032</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160,000</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3.73</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12/21/2032</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62,000</w:t>
            </w:r>
          </w:p>
        </w:tc>
        <w:tc>
          <w:tcPr>
            <w:tcW w:w="3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18,000</w:t>
            </w: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2.43</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08/01/2033</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1.27</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02/22/2034</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1.27</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02/22/2034</w:t>
            </w: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79,567</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1.25</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02/26/2034</w:t>
            </w: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1.25</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02/26/2034</w:t>
            </w: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74,100</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2.04</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02/05/2035</w:t>
            </w: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1340" w:type="dxa"/>
            <w:vAlign w:val="bottom"/>
          </w:tcPr>
          <w:p>
            <w:pPr>
              <w:spacing w:after="0"/>
              <w:rPr>
                <w:sz w:val="14"/>
                <w:szCs w:val="14"/>
                <w:color w:val="auto"/>
              </w:rPr>
            </w:pPr>
          </w:p>
        </w:tc>
        <w:tc>
          <w:tcPr>
            <w:tcW w:w="1480" w:type="dxa"/>
            <w:vAlign w:val="bottom"/>
            <w:gridSpan w:val="3"/>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Simon Sharon</w:t>
            </w: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10,000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9.00</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08/13/2028</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14,170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5.95</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08/12/2029</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25,000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6.48</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01/26/2032</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32,375</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10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3.48</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12/21/2032</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13,562</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3,938</w:t>
            </w:r>
          </w:p>
        </w:tc>
        <w:tc>
          <w:tcPr>
            <w:tcW w:w="10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2.43</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08/01/2033</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1.27</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02/22/2034</w:t>
            </w: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10,937</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6,563</w:t>
            </w:r>
          </w:p>
        </w:tc>
        <w:tc>
          <w:tcPr>
            <w:tcW w:w="10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1.27</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02/22/2034</w:t>
            </w: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8,750</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1.25</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02/26/2034</w:t>
            </w: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14,218</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29,532</w:t>
            </w:r>
          </w:p>
        </w:tc>
        <w:tc>
          <w:tcPr>
            <w:tcW w:w="10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2.04</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02/05/2035</w:t>
            </w: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1340" w:type="dxa"/>
            <w:vAlign w:val="bottom"/>
          </w:tcPr>
          <w:p>
            <w:pPr>
              <w:spacing w:after="0"/>
              <w:rPr>
                <w:sz w:val="14"/>
                <w:szCs w:val="14"/>
                <w:color w:val="auto"/>
              </w:rPr>
            </w:pPr>
          </w:p>
        </w:tc>
        <w:tc>
          <w:tcPr>
            <w:tcW w:w="1480" w:type="dxa"/>
            <w:vAlign w:val="bottom"/>
            <w:gridSpan w:val="3"/>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Rachel Vaknin</w:t>
            </w: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20,000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6.48</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01/26/2032</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10,000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4.80</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07/18/2032</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13,000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3.73</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12/21/2032</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13,562</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3,938</w:t>
            </w:r>
          </w:p>
        </w:tc>
        <w:tc>
          <w:tcPr>
            <w:tcW w:w="10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2.43</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08/01/2033</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1.27</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02/22/2034</w:t>
            </w: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10,937</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6,563</w:t>
            </w:r>
          </w:p>
        </w:tc>
        <w:tc>
          <w:tcPr>
            <w:tcW w:w="10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1.27</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02/22/2034</w:t>
            </w: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4,375</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1.25</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02/26/2034</w:t>
            </w: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15,640</w:t>
            </w:r>
          </w:p>
        </w:tc>
        <w:tc>
          <w:tcPr>
            <w:tcW w:w="3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32,485</w:t>
            </w: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2.04</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02/05/2035</w:t>
            </w: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1340" w:type="dxa"/>
            <w:vAlign w:val="bottom"/>
          </w:tcPr>
          <w:p>
            <w:pPr>
              <w:spacing w:after="0"/>
              <w:rPr>
                <w:sz w:val="14"/>
                <w:szCs w:val="14"/>
                <w:color w:val="auto"/>
              </w:rPr>
            </w:pPr>
          </w:p>
        </w:tc>
        <w:tc>
          <w:tcPr>
            <w:tcW w:w="1480" w:type="dxa"/>
            <w:vAlign w:val="bottom"/>
            <w:gridSpan w:val="3"/>
          </w:tcPr>
          <w:p>
            <w:pPr>
              <w:spacing w:after="0"/>
              <w:rPr>
                <w:sz w:val="14"/>
                <w:szCs w:val="14"/>
                <w:color w:val="auto"/>
              </w:rPr>
            </w:pPr>
          </w:p>
        </w:tc>
        <w:tc>
          <w:tcPr>
            <w:tcW w:w="1020" w:type="dxa"/>
            <w:vAlign w:val="bottom"/>
            <w:gridSpan w:val="2"/>
          </w:tcPr>
          <w:p>
            <w:pPr>
              <w:spacing w:after="0"/>
              <w:rPr>
                <w:sz w:val="14"/>
                <w:szCs w:val="14"/>
                <w:color w:val="auto"/>
              </w:rPr>
            </w:pPr>
          </w:p>
        </w:tc>
        <w:tc>
          <w:tcPr>
            <w:tcW w:w="114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Juan Diaz-Cartelle</w:t>
            </w: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10,000</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1.29</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01/12/2033</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5,687</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11,813</w:t>
            </w:r>
          </w:p>
        </w:tc>
        <w:tc>
          <w:tcPr>
            <w:tcW w:w="10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1.27</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02/22/2034</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10,500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10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1.25</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02/26/2034</w:t>
            </w: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13,650</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28,350</w:t>
            </w: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2.04</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02/05/2035</w:t>
            </w: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Employment Agreements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Harel Gadot Employment Agreement</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entered into an employment agreement (the “Gadot Agreement”) with Harel Gadot on November 28, 2016, as amended most recently on January 26, 2022, to serve as the Company’s Chairman of the Board of Directors and Chief Executive Officer, on an indefinite basis subject to the termination provisions described in the Agreement. The salary is reviewed on an annual basis by the Compensation Committee of the Company to determine potential increases, taking into account such performance metrics and criteria as established by Mr. Gadot and the Company. For the fiscal year ending December 31, 2025, Mr. Gadot’s annual salary was $556,972, which was increased by 5% for the fiscal year ending December 31, 2026.</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Mr. Gadot shall also be entitled to receive a target annual cash bonus of up to a maximum amount of 75% of base salary, which maximum amount of $417,729 was paid in 2026 for the 2025 fiscal year. In February 2026, the Compensation Committee authorized the payment to Mr. Gadot of a special bonus in the amount of approximately $140,000.</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 Company. Since then, the Compensation Committee of the Board of Directors considers the granting to Mr. Gadot of additional compensatory options on an annual basis. In February 2025, the Company granted Mr. Gadot an aggregate of 228,000 options, and in February 2026, the Company granted Mr. Gadot 480,000 options.</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event Mr. Gadot’s employment is terminated by the Company for cause, Mr. Gadot would be entitled to receive any compensation then due and payable incurred up to the date of termination.</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16470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i w:val="1"/>
          <w:iCs w:val="1"/>
          <w:color w:val="auto"/>
        </w:rPr>
        <w:t>Rachel Vaknin Employment Agreement</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Company entered into an employment agreement, dated November 22, 2021, amended as of May 15, 2023, on February 5, 2025 and on February 18, 2026 (as amended, the “Vaknin Agreement”), with Ms. Vaknin,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For the fiscal year ending December 31, 2025, Ms. Vaknin’s annual salary was 720,000 NIS which was increased by 5% for the fiscal year ending December 31, 2026. On August 6, 2026, the Company entered into Addendum #4 to Employment Agreement with Ms. Vaknin, to increase Ms. Vaknin’s annual base salary to 864,000 NIS, commencing as of August 1, 2026.</w:t>
      </w:r>
    </w:p>
    <w:p>
      <w:pPr>
        <w:spacing w:after="0" w:line="14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Ms. Vaknin shall also be entitled to receive a target annual cash bonus, based on certain milestones, of up to a maximum amount of 50% (increased from 35% in February 2026) of her annual salary. For the 2025 fiscal year, Ms. Vaknin received a cash bonus of 252,000 NIS (approximately $82,000).</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Ms. Vaknin shall be further entitled to a monthly automobile allowance in an amount of NIS 5,000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In February 2025, the Company granted Ms. Vaknin an aggregate of 48,125 options, and in February 2026, the Company granted Ms. Vaknin 105,000 options.</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Either the Company or Ms. Vaknin may terminate the Vaknin Agreement at its discretion at any time by providing the other party with two months prior written notice of termination (the “Advance Notice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may terminate the Vaknin Agreement “For Cause” (as defined in the Vaknin Agreement) at any time by written notice without the Advance Notice Period.</w:t>
      </w:r>
    </w:p>
    <w:p>
      <w:pPr>
        <w:spacing w:after="0" w:line="1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Simon Sharon Employment Agreement</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entered into an employment agreement, dated as of March 31, 2018 and amended pursuant to a First Amendment to Employment Agreement dated as of April 19, 2021, as further amended as of May 15, 2023, on February 5, 2025 and on February 18, 2026 (as so amended, the “Sharon Agreement”), with Mr. Sharon, to serve as the Company’s Chief Technology Officer and the General Manager of Microbot Israel, on an indefinite basis subject to the termination provisions described in the Sharon Agreement.</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salary is reviewed on an annual basis by the Compensation Committee of the Company to determine potential increases taking into account such performance metrics and criteria as established by the Company.</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Pursuant to the terms of the Sharon Agreement, for the fiscal year ending December 31, 2025, Mr. Sharon’s annual salary was 960,000 NIS, which was increased by 5% for the fiscal year ending December 31, 2026.</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Mr. Sharon shall also be entitled to receive a target annual cash bonus, based on certain milestones, of up to a maximum amount of 50% of his annual salary (increased from 35% in February 2026). For the 2025 fiscal year, Mr. Sharon received a cash bonus of approximately $109,000.</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 Since then, the Compensation Committee of the Board of Directors considers the granting to Mr. Sharon of additional compensatory options on an annual basis. In February 2025, the Company granted Mr. Sharon an aggregate of 43,750 options and in February 2026, the Company granted Mr. Sharon 105,000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716470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3" w:name="page14"/>
    <w:bookmarkEnd w:id="13"/>
    <w:p>
      <w:pPr>
        <w:jc w:val="both"/>
        <w:spacing w:after="0" w:line="255" w:lineRule="auto"/>
        <w:rPr>
          <w:sz w:val="20"/>
          <w:szCs w:val="20"/>
          <w:color w:val="auto"/>
        </w:rPr>
      </w:pPr>
      <w:r>
        <w:rPr>
          <w:rFonts w:ascii="Times New Roman" w:cs="Times New Roman" w:eastAsia="Times New Roman" w:hAnsi="Times New Roman"/>
          <w:sz w:val="14"/>
          <w:szCs w:val="14"/>
          <w:color w:val="auto"/>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Either the Company or Mr. Sharon may terminate the Sharon Agreement without cause (as defined in the Sharon Agreement) by providing the other party with ninety days prior written notice.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may terminate the Sharon Agreement for cause at any time by written notice without any advance notice.</w:t>
      </w:r>
    </w:p>
    <w:p>
      <w:pPr>
        <w:spacing w:after="0" w:line="1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Juan Diaz-Cartelle Employment Agreement</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entered into an employment agreement, effective as of December 1, 2023 and as amended on February 5, 2025 and February 18, 2026 (as so amended, the “Diaz-Cartelle Agreement”), with Dr. Diaz-Cartelle, to serve as Chief Medical Officer on an indefinite basis subject to the termination provisions described in the Diaz-Cartelle Agreement. Pursuant to the terms of the Agreement, Dr. Diaz-Cartelle shall receive an annual base salary, which shall be reviewed on an annual basis by the Company’s Compensation Committee, which may provide for increases as it may determine, taking into account such performance metrics and criteria of Dr. Diaz-Cartelle and the Company in its sole discretion. Pursuant to the terms of the Diaz-Cartelle Agreement, for the fiscal year ending December 31, 2025, Dr. Diaz-Cartelle’s annual salary was $367,500, which was increased by 5% for the fiscal year ending December 31, 2026.</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Dr. Diaz-Cartelle shall also be entitled to receive a target annual cash bonus, based on corporate performance factors established and assessed by the Compensation Committee, of up to a maximum amount of 50% (up from 35% in February 2026) of his annual base salary, provided that he is employed by the Company as of December 31st of the year to which the Target Bonus relates in order to receive the Target Bonus. For the 2025 fiscal year, Dr. Diaz-Cartelle received a cash bonus of approximately $128,000.</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Dr. Diaz-Cartelle shall be entitled to receive incentive equity awards on an annual basis at the discretion of the Compensation Committee, and in February 2025, the Company granted Dr. Diaz-Cartelle an aggregate of 42,000 options and in February 2026, the Company granted Dr. Diaz-Cartelle 105,000 options.</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Subject to the terms and conditions of the Agreement, either the Company or Dr. Diaz-Cartelle shall have the right to earlier terminate Dr. Diaz-Cartelle’s employment at any time for any reason or no reason upon at least one month prior written notice.</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may terminate the Agreement for “Cause” (as defined in the Diaz-Cartelle Agreement) at any time by written notice, subject to Dr. Diaz-Cartelle’s right to cure as provided in the Diaz-Cartelle Agreement. Upon Dr. Diaz-Cartelle’s termination of employment for Cause, or if Dr. Diaz-Cartelle shall terminate without Good Reason (as defined below), Dr. Diaz-Cartelle shall forfeit the right to receive any and all further payments under the Diaz-Cartelle Agreement, other than the right to receive any compensation then due and payable to him through to the date of termination.</w:t>
      </w:r>
    </w:p>
    <w:p>
      <w:pPr>
        <w:spacing w:after="0" w:line="1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Dr. Diaz-Cartelle may terminate the Agreement with “Good Reason” (as defined in the Diaz-Cartelle Agreement) at any time by written notice, subject to the Company’s right to cure as provided in the Diaz-Cartelle Agreement. In the event of the termination of Dr. Diaz-Cartelle’s employment by the Company without Cause or upon Dr. Diaz-Cartelle’s voluntary termination of his employment for Good Reason, (i) all amounts of base salary accrued but unpaid as of the termination date shall be paid by the Company within thirty days following the date of termination, (ii) an amount equal to the base salary on the date of termination for a period of one month (in the event such termination is on or prior to the one year anniversary of the Diaz-Cartelle Agreement) or two months (in the event such termination is subsequent to the one year anniversary of the Diaz-Cartelle Agreement) shall be paid by the Company in twelve equal monthly installments, (iii) the dollar value of unused and accrued vacation days shall be paid by the Company; and (iv) applicable premiums (inclusive of premiums for his dependents) shall be paid by the Company pursuant to the Consolidated Omnibus Budget Reconciliation Act of 1986, as amended, for twelve months from the date of termination for any benefits plan sponsored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207645</wp:posOffset>
            </wp:positionV>
            <wp:extent cx="716470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4" w:name="page15"/>
    <w:bookmarkEnd w:id="14"/>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may terminate the Diaz-Cartelle Agreement as a result of any mental or physical disability or illness which results in (i) Dr. Diaz-Cartelle being unable to substantially perform his duties for a continuous period of 150 days or for periods aggregating 180 days within any period of 365 days or (ii) Dr. Diaz-Cartelle being subject to a permanent or indefinite inability to perform essential functions based on the reasonable opinion of a qualified medical provider chosen in good faith by the Company. Termination will be effective on the date designated by the Company, and Dr. Diaz-Cartelle will be paid any unpaid earned base salary, earned target bonus (if any), reimbursement of business expenses and accrued vacation, if any, and benefits through the date of termination.</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Diaz-Cartelle Agreement contains customary non-competition and non-solicit provisions pursuant to which Dr. Diaz-Cartelle agrees not to compete and solicit with the Company. Dr. Diaz-Cartelle also agreed to customary terms regarding non-disparagement, confidentiality and ownership of intellectual property.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Policies and Practices Related to the Grant of Certain Equity Awards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The Compensation Committee generally grants stock options to our executive officers, including our named executive officers, on an annual basis, typically during the first quarter of the fiscal year in connection with its annual review of executive compensation. Option grants may also be made on other dates, such as upon the hiring or promotion of an executive officer or in other circumstances the Compensation Committee considers appropriate. Annual option grants to our non-employee directors are generally, but not always, approved </w:t>
      </w:r>
      <w:r>
        <w:rPr>
          <w:rFonts w:ascii="Times New Roman" w:cs="Times New Roman" w:eastAsia="Times New Roman" w:hAnsi="Times New Roman"/>
          <w:sz w:val="14"/>
          <w:szCs w:val="14"/>
          <w:b w:val="1"/>
          <w:bCs w:val="1"/>
          <w:color w:val="auto"/>
        </w:rPr>
        <w:t>by</w:t>
      </w:r>
      <w:r>
        <w:rPr>
          <w:rFonts w:ascii="Times New Roman" w:cs="Times New Roman" w:eastAsia="Times New Roman" w:hAnsi="Times New Roman"/>
          <w:sz w:val="14"/>
          <w:szCs w:val="14"/>
          <w:color w:val="auto"/>
        </w:rPr>
        <w:t xml:space="preserve"> the Board or the Compensation Committee at a Board meeting scheduled immediately after the Company’s annual meeting of stockholders.</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Board and the Compensation Committee take material nonpublic information into account when determining the timing and terms of stock option awards, and the Company has not timed the disclosure of material nonpublic information for the purpose of affecting the value of executive compensation.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Pay Versus Performance</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required by Item 402(v) of Regulation S-K, we are providing the following information about the relationship between executive compensation actually paid and certain financial performance of the Company. As a smaller reporting company, we have elected to provide scaled disclosure as permitted under Item 402(v)(8) of Regulation S-K. The Compensation Committee did not consider the pay versus performance disclosure below in making its pay decisions for any of the years shown.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 of Initial Fixed</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Average Summary</w:t>
            </w: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$100 Investment</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Compensation Table</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5"/>
              </w:rPr>
              <w:t>Average Compensation</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Based on Total</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Compensation Table</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Compensation Actually</w:t>
            </w: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Total for Non-PEO</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Actually Paid to Non-</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Shareholder Return</w:t>
            </w: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Net Loss ($ in</w:t>
            </w:r>
          </w:p>
        </w:tc>
      </w:tr>
      <w:tr>
        <w:trPr>
          <w:trHeight w:val="182"/>
        </w:trPr>
        <w:tc>
          <w:tcPr>
            <w:tcW w:w="17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Total for PEO ($)(1)</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 to PEO ($)(1)(2)</w:t>
            </w: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NEOs ($)(3)</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PEO NEOs ($)(2)(3)</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320" w:type="dxa"/>
            <w:vAlign w:val="bottom"/>
          </w:tcPr>
          <w:p>
            <w:pPr>
              <w:spacing w:after="0"/>
              <w:rPr>
                <w:sz w:val="15"/>
                <w:szCs w:val="15"/>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thousands)(5)</w:t>
            </w:r>
          </w:p>
        </w:tc>
      </w:tr>
      <w:tr>
        <w:trPr>
          <w:trHeight w:val="156"/>
        </w:trPr>
        <w:tc>
          <w:tcPr>
            <w:tcW w:w="1460" w:type="dxa"/>
            <w:vAlign w:val="bottom"/>
            <w:tcBorders>
              <w:top w:val="single" w:sz="8" w:color="auto"/>
            </w:tcBorders>
            <w:shd w:val="clear" w:color="auto" w:fill="CCEEFF"/>
          </w:tcPr>
          <w:p>
            <w:pPr>
              <w:ind w:left="600"/>
              <w:spacing w:after="0" w:line="156" w:lineRule="exact"/>
              <w:rPr>
                <w:sz w:val="20"/>
                <w:szCs w:val="20"/>
                <w:color w:val="auto"/>
              </w:rPr>
            </w:pPr>
            <w:r>
              <w:rPr>
                <w:rFonts w:ascii="Times New Roman" w:cs="Times New Roman" w:eastAsia="Times New Roman" w:hAnsi="Times New Roman"/>
                <w:sz w:val="14"/>
                <w:szCs w:val="14"/>
                <w:color w:val="auto"/>
              </w:rPr>
              <w:t>2025</w:t>
            </w:r>
          </w:p>
        </w:tc>
        <w:tc>
          <w:tcPr>
            <w:tcW w:w="2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1,664,945</w:t>
            </w:r>
          </w:p>
        </w:tc>
        <w:tc>
          <w:tcPr>
            <w:tcW w:w="34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1,858,423</w:t>
            </w:r>
          </w:p>
        </w:tc>
        <w:tc>
          <w:tcPr>
            <w:tcW w:w="2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522,817</w:t>
            </w:r>
          </w:p>
        </w:tc>
        <w:tc>
          <w:tcPr>
            <w:tcW w:w="3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581,181</w:t>
            </w:r>
          </w:p>
        </w:tc>
        <w:tc>
          <w:tcPr>
            <w:tcW w:w="24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66.45</w:t>
            </w:r>
          </w:p>
        </w:tc>
        <w:tc>
          <w:tcPr>
            <w:tcW w:w="32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ind w:left="800"/>
              <w:spacing w:after="0" w:line="156" w:lineRule="exact"/>
              <w:rPr>
                <w:sz w:val="20"/>
                <w:szCs w:val="20"/>
                <w:color w:val="auto"/>
              </w:rPr>
            </w:pPr>
            <w:r>
              <w:rPr>
                <w:rFonts w:ascii="Times New Roman" w:cs="Times New Roman" w:eastAsia="Times New Roman" w:hAnsi="Times New Roman"/>
                <w:sz w:val="14"/>
                <w:szCs w:val="14"/>
                <w:color w:val="auto"/>
                <w:w w:val="83"/>
              </w:rPr>
              <w:t>(13,142)</w:t>
            </w:r>
          </w:p>
        </w:tc>
        <w:tc>
          <w:tcPr>
            <w:tcW w:w="100" w:type="dxa"/>
            <w:vAlign w:val="bottom"/>
            <w:tcBorders>
              <w:top w:val="single" w:sz="8" w:color="CCEEFF"/>
            </w:tcBorders>
            <w:shd w:val="clear" w:color="auto" w:fill="CCEEFF"/>
          </w:tcPr>
          <w:p>
            <w:pPr>
              <w:spacing w:after="0"/>
              <w:rPr>
                <w:sz w:val="13"/>
                <w:szCs w:val="13"/>
                <w:color w:val="auto"/>
              </w:rPr>
            </w:pPr>
          </w:p>
        </w:tc>
      </w:tr>
      <w:tr>
        <w:trPr>
          <w:trHeight w:val="165"/>
        </w:trPr>
        <w:tc>
          <w:tcPr>
            <w:tcW w:w="14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2024</w:t>
            </w:r>
          </w:p>
        </w:tc>
        <w:tc>
          <w:tcPr>
            <w:tcW w:w="240" w:type="dxa"/>
            <w:vAlign w:val="bottom"/>
          </w:tcPr>
          <w:p>
            <w:pPr>
              <w:spacing w:after="0"/>
              <w:rPr>
                <w:sz w:val="14"/>
                <w:szCs w:val="14"/>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1,241,479</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842,682</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426,357</w:t>
            </w:r>
          </w:p>
        </w:tc>
        <w:tc>
          <w:tcPr>
            <w:tcW w:w="3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364,133</w:t>
            </w: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37.21</w:t>
            </w:r>
          </w:p>
        </w:tc>
        <w:tc>
          <w:tcPr>
            <w:tcW w:w="320" w:type="dxa"/>
            <w:vAlign w:val="bottom"/>
          </w:tcPr>
          <w:p>
            <w:pPr>
              <w:spacing w:after="0"/>
              <w:rPr>
                <w:sz w:val="14"/>
                <w:szCs w:val="14"/>
                <w:color w:val="auto"/>
              </w:rPr>
            </w:pPr>
          </w:p>
        </w:tc>
        <w:tc>
          <w:tcPr>
            <w:tcW w:w="13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(11,443)</w:t>
            </w:r>
          </w:p>
        </w:tc>
      </w:tr>
      <w:tr>
        <w:trPr>
          <w:trHeight w:val="165"/>
        </w:trPr>
        <w:tc>
          <w:tcPr>
            <w:tcW w:w="14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1,284,123</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679,963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321,708</w:t>
            </w:r>
          </w:p>
        </w:tc>
        <w:tc>
          <w:tcPr>
            <w:tcW w:w="34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271,711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54.49</w:t>
            </w:r>
          </w:p>
        </w:tc>
        <w:tc>
          <w:tcPr>
            <w:tcW w:w="3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(10,740)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179133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153" w:lineRule="exact"/>
        <w:rPr>
          <w:sz w:val="20"/>
          <w:szCs w:val="20"/>
          <w:color w:val="auto"/>
        </w:rPr>
      </w:pPr>
    </w:p>
    <w:p>
      <w:pPr>
        <w:ind w:left="260" w:hanging="257"/>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Harel Gadot served as our principal executive officer (“PEO”) for each of the years presented.</w:t>
      </w:r>
    </w:p>
    <w:p>
      <w:pPr>
        <w:spacing w:after="0" w:line="17" w:lineRule="exact"/>
        <w:rPr>
          <w:rFonts w:ascii="Times New Roman" w:cs="Times New Roman" w:eastAsia="Times New Roman" w:hAnsi="Times New Roman"/>
          <w:sz w:val="14"/>
          <w:szCs w:val="14"/>
          <w:color w:val="auto"/>
        </w:rPr>
      </w:pPr>
    </w:p>
    <w:p>
      <w:pPr>
        <w:jc w:val="both"/>
        <w:ind w:left="260" w:hanging="257"/>
        <w:spacing w:after="0" w:line="246" w:lineRule="auto"/>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as “compensation actually paid” are computed in accordance with Item 402(v) of Regulation S-K and do not reflect the actual amount of compensation earned by or paid to the applicable executives during the applicable year. Compensation actually paid was calculated by deducting from the Summary Compensation Table total the grant date fair value of option awards granted during the year, and adding (i) the year-end fair value of awards granted during the year that remained outstanding and unvested, (ii) for awards granted and vested in the same year, the fair value as of the vesting date, (iii) the change in fair value during the year of awards granted in prior years that remained outstanding and unvested, (iv) for prior-year awards that vested during the year, the change in fair value from the prior year-end to the vesting date, and deducting (v) the prior year-end fair value of any awards forfeited during the year. Fair values were calculated using assumptions consistent with those used to determine grant date fair value under ASC Topic 718.</w:t>
      </w:r>
    </w:p>
    <w:p>
      <w:pPr>
        <w:spacing w:after="0" w:line="1" w:lineRule="exact"/>
        <w:rPr>
          <w:rFonts w:ascii="Times New Roman" w:cs="Times New Roman" w:eastAsia="Times New Roman" w:hAnsi="Times New Roman"/>
          <w:sz w:val="14"/>
          <w:szCs w:val="14"/>
          <w:color w:val="auto"/>
        </w:rPr>
      </w:pPr>
    </w:p>
    <w:p>
      <w:pPr>
        <w:ind w:left="260" w:hanging="257"/>
        <w:spacing w:after="0" w:line="246" w:lineRule="auto"/>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non-PEO named executive officers were Rachel Vaknin, Simon Sharon and Juan Diaz-Cartelle for 2025 and 2024, and Rachel Vaknin, Simon Sharon, Juan Diaz-Cartelle and Eyal Morag for 2023.</w:t>
      </w:r>
    </w:p>
    <w:p>
      <w:pPr>
        <w:ind w:left="260" w:hanging="257"/>
        <w:spacing w:after="0" w:line="246" w:lineRule="auto"/>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shareholder return assumes an initial investment of $100 in our common stock on December 31, 2022 and the reinvestment of any dividends, and is calculated on a cumulative basis through the end of each year presented, giving effect to any stock splits.</w:t>
      </w:r>
    </w:p>
    <w:p>
      <w:pPr>
        <w:ind w:left="260" w:hanging="257"/>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net loss as reported in our audited consolidated financial statements for the applicable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219075</wp:posOffset>
            </wp:positionV>
            <wp:extent cx="716470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i w:val="1"/>
          <w:iCs w:val="1"/>
          <w:color w:val="auto"/>
        </w:rPr>
        <w:t>Relationship Between Compensation Actually Paid and Performance</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a commercial-stage medical device company that is not yet generating recurring, material revenue, we do not use net loss or total shareholder return as performance measures in our executive compensation program. A significant portion of our executives’ compensation consists of stock options, the value of which is directly tied to our stock price. Compensation actually paid did not track our net loss, which was driven primarily by research and development, general and administrative expenses, and regulatory activities.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Indemnification Agreements</w:t>
      </w:r>
    </w:p>
    <w:p>
      <w:pPr>
        <w:spacing w:after="0" w:line="1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Limits on Liability and Indemnification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provide directors and officers insurance for our current directors and officers.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Compensation</w:t>
      </w:r>
    </w:p>
    <w:p>
      <w:pPr>
        <w:spacing w:after="0" w:line="1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Company has an amended compensation package for the non-management members of its Board, pursuant to which, commencing 2026, each such Board member would receive for his or her services $40,000 per annum. Furthermore, each member of the Audit Committee of the Board receives an additional $10,000 per annum ($20,000 if Chairman), each member of the Compensation Committee of the Board receives an additional $7,500 per annum ($15,000 if Chairman) and each member of the Corporate Governance and Nominating Committee of the Board receives an additional $5,000 per annum ($10,000 if Chairman). Board members are also entitled to receive equity awards. Upon joining the Board, a member would receive an initial grant of stock options with an additional grant of stock options each year thereafter. The number of options shall be determined by the Compensation Committee or the Board based on, among other factors, a market competitive percentage of the Corporation’s issued and outstanding shares of common stock from time to time. For the 2025 fiscal year, in March 2026 the independent members of the Board were each granted 20,000 options.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cash and equity-based compensation information for our outside directors, for the year ended December 31,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earned or</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6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1" w:lineRule="exact"/>
              <w:rPr>
                <w:sz w:val="20"/>
                <w:szCs w:val="20"/>
                <w:color w:val="auto"/>
              </w:rPr>
            </w:pPr>
            <w:r>
              <w:rPr>
                <w:rFonts w:ascii="Times New Roman" w:cs="Times New Roman" w:eastAsia="Times New Roman" w:hAnsi="Times New Roman"/>
                <w:sz w:val="14"/>
                <w:szCs w:val="14"/>
                <w:b w:val="1"/>
                <w:bCs w:val="1"/>
                <w:color w:val="auto"/>
              </w:rPr>
              <w:t>paid in</w:t>
            </w:r>
          </w:p>
        </w:tc>
        <w:tc>
          <w:tcPr>
            <w:tcW w:w="82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5"/>
              </w:rPr>
              <w:t>Incentive Plan</w:t>
            </w:r>
          </w:p>
        </w:tc>
        <w:tc>
          <w:tcPr>
            <w:tcW w:w="1160" w:type="dxa"/>
            <w:vAlign w:val="bottom"/>
            <w:gridSpan w:val="3"/>
          </w:tcPr>
          <w:p>
            <w:pPr>
              <w:jc w:val="right"/>
              <w:ind w:right="160"/>
              <w:spacing w:after="0" w:line="141"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1160" w:type="dxa"/>
            <w:vAlign w:val="bottom"/>
            <w:gridSpan w:val="2"/>
          </w:tcPr>
          <w:p>
            <w:pPr>
              <w:jc w:val="right"/>
              <w:ind w:right="460"/>
              <w:spacing w:after="0" w:line="141"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120" w:type="dxa"/>
            <w:vAlign w:val="bottom"/>
            <w:gridSpan w:val="2"/>
          </w:tcPr>
          <w:p>
            <w:pPr>
              <w:ind w:left="17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7"/>
                <w:szCs w:val="17"/>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40" w:type="dxa"/>
            <w:vAlign w:val="bottom"/>
          </w:tcPr>
          <w:p>
            <w:pPr>
              <w:spacing w:after="0"/>
              <w:rPr>
                <w:sz w:val="17"/>
                <w:szCs w:val="17"/>
                <w:color w:val="auto"/>
              </w:rPr>
            </w:pPr>
          </w:p>
        </w:tc>
        <w:tc>
          <w:tcPr>
            <w:tcW w:w="820" w:type="dxa"/>
            <w:vAlign w:val="bottom"/>
            <w:gridSpan w:val="3"/>
          </w:tcPr>
          <w:p>
            <w:pPr>
              <w:jc w:val="right"/>
              <w:ind w:right="200"/>
              <w:spacing w:after="0" w:line="207" w:lineRule="exact"/>
              <w:rPr>
                <w:sz w:val="20"/>
                <w:szCs w:val="20"/>
                <w:color w:val="auto"/>
              </w:rPr>
            </w:pPr>
            <w:r>
              <w:rPr>
                <w:rFonts w:ascii="Times New Roman" w:cs="Times New Roman" w:eastAsia="Times New Roman" w:hAnsi="Times New Roman"/>
                <w:sz w:val="14"/>
                <w:szCs w:val="14"/>
                <w:b w:val="1"/>
                <w:bCs w:val="1"/>
                <w:color w:val="auto"/>
                <w:w w:val="94"/>
              </w:rPr>
              <w:t>Awards</w:t>
            </w:r>
            <w:r>
              <w:rPr>
                <w:rFonts w:ascii="Times New Roman" w:cs="Times New Roman" w:eastAsia="Times New Roman" w:hAnsi="Times New Roman"/>
                <w:sz w:val="22"/>
                <w:szCs w:val="22"/>
                <w:b w:val="1"/>
                <w:bCs w:val="1"/>
                <w:color w:val="auto"/>
                <w:w w:val="94"/>
                <w:vertAlign w:val="superscript"/>
              </w:rPr>
              <w:t>(1)</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7"/>
                <w:szCs w:val="17"/>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Scott Burell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105,000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55,557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160,557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Martin Madden</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105,000</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55,557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Prattipati Laxminarain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78,750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55,557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134,307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Aileen Stockburger</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74,500</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55,557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Tal Wenderow</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70,000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55,557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125,557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J. Wilson</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52,500</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29,451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81,951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96520</wp:posOffset>
            </wp:positionV>
            <wp:extent cx="179133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140" w:lineRule="exact"/>
        <w:rPr>
          <w:sz w:val="20"/>
          <w:szCs w:val="20"/>
          <w:color w:val="auto"/>
        </w:rPr>
      </w:pPr>
    </w:p>
    <w:p>
      <w:pPr>
        <w:jc w:val="both"/>
        <w:ind w:left="260" w:hanging="257"/>
        <w:spacing w:after="0" w:line="259" w:lineRule="auto"/>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11 to the Consolidated Financial Statements of the Company included in the Company’s Annual Report on Form 10-K for the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221615</wp:posOffset>
            </wp:positionV>
            <wp:extent cx="716470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t>CERTAIN RELATIONSHIPS AND RELATED TRANSACTIONS</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related party transactions or any other transactions or relationships required to be disclosed pursuant to Item 404 of Regulation S-K.</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PRINCIPAL ACCOUNTANT FEES AND SERVICES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Audit and Tax Fees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Board, upon the recommendation of the Audit Committee, has selected the independent accounting firm of Brightman Almagor Zohar &amp; Co., a Firm in the Deloitte Global Network, to audit the accounts of the Company for the year ending December 31, 2026.</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Audit Committee considered the tax compliance services provided by Brightman Almagor Zohar &amp; Co. and Deloitte Israel &amp; Co., concluded that provision of such services is compatible with maintaining the independence of the independent accountants, and approved the provision by Brightman Almagor Zohar &amp; Co. of tax compliance services with respect to the year ending December 31, 2026.</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Audit Committee received the following information concerning the fees of the independent accountants for the years ended December 31, 2025 and 2024, has considered whether the provision of these services is compatible with independence of the independent accountants, and concluded that it is: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9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39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6"/>
        </w:trPr>
        <w:tc>
          <w:tcPr>
            <w:tcW w:w="3980" w:type="dxa"/>
            <w:vAlign w:val="bottom"/>
            <w:tcBorders>
              <w:bottom w:val="single" w:sz="8" w:color="CCEEFF"/>
            </w:tcBorders>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r>
      <w:tr>
        <w:trPr>
          <w:trHeight w:val="176"/>
        </w:trPr>
        <w:tc>
          <w:tcPr>
            <w:tcW w:w="3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Audit Fees</w:t>
            </w:r>
            <w:r>
              <w:rPr>
                <w:rFonts w:ascii="Times New Roman" w:cs="Times New Roman" w:eastAsia="Times New Roman" w:hAnsi="Times New Roman"/>
                <w:sz w:val="20"/>
                <w:szCs w:val="20"/>
                <w:color w:val="auto"/>
                <w:vertAlign w:val="superscript"/>
              </w:rPr>
              <w:t>(1)</w:t>
            </w:r>
          </w:p>
        </w:tc>
        <w:tc>
          <w:tcPr>
            <w:tcW w:w="4320" w:type="dxa"/>
            <w:vAlign w:val="bottom"/>
            <w:gridSpan w:val="2"/>
            <w:shd w:val="clear" w:color="auto" w:fill="CCEEFF"/>
          </w:tcPr>
          <w:p>
            <w:pPr>
              <w:jc w:val="right"/>
              <w:ind w:right="115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shd w:val="clear" w:color="auto" w:fill="CCEEFF"/>
          </w:tcPr>
          <w:p>
            <w:pPr>
              <w:spacing w:after="0"/>
              <w:rPr>
                <w:sz w:val="15"/>
                <w:szCs w:val="15"/>
                <w:color w:val="auto"/>
              </w:rPr>
            </w:pPr>
          </w:p>
        </w:tc>
      </w:tr>
      <w:tr>
        <w:trPr>
          <w:trHeight w:val="165"/>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Tax Fees</w:t>
            </w:r>
          </w:p>
        </w:tc>
        <w:tc>
          <w:tcPr>
            <w:tcW w:w="3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96"/>
        </w:trPr>
        <w:tc>
          <w:tcPr>
            <w:tcW w:w="39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All Other Fees</w:t>
            </w:r>
            <w:r>
              <w:rPr>
                <w:rFonts w:ascii="Times New Roman" w:cs="Times New Roman" w:eastAsia="Times New Roman" w:hAnsi="Times New Roman"/>
                <w:sz w:val="22"/>
                <w:szCs w:val="22"/>
                <w:color w:val="auto"/>
                <w:vertAlign w:val="superscript"/>
              </w:rPr>
              <w:t>(2)</w:t>
            </w:r>
          </w:p>
        </w:tc>
        <w:tc>
          <w:tcPr>
            <w:tcW w:w="30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110,000</w:t>
            </w:r>
          </w:p>
        </w:tc>
        <w:tc>
          <w:tcPr>
            <w:tcW w:w="6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179133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153" w:lineRule="exact"/>
        <w:rPr>
          <w:sz w:val="20"/>
          <w:szCs w:val="20"/>
          <w:color w:val="auto"/>
        </w:rPr>
      </w:pPr>
    </w:p>
    <w:p>
      <w:pPr>
        <w:ind w:left="260" w:hanging="257"/>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represents fees for the audit of our annual consolidated financial statements and reviews of the interim consolidated financial statements, and review of audit-related SEC filings.</w:t>
      </w:r>
    </w:p>
    <w:p>
      <w:pPr>
        <w:spacing w:after="0" w:line="17"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fees related to issuing Auditor consents and comfort letters, for Registration Statements on Forms S-1 and S-3, and transfer pricing study.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Audit and tax fees include administrative overhead charges and reimbursement for out-of-pocket expenses.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Pre-Approval Policies and Procedures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210185</wp:posOffset>
            </wp:positionV>
            <wp:extent cx="716470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4"/>
          <w:szCs w:val="14"/>
          <w:b w:val="1"/>
          <w:bCs w:val="1"/>
          <w:color w:val="auto"/>
        </w:rPr>
        <w:t>REPORT OF THE AUDIT COMMITTEE</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Audit Committee oversees our accounting and financial reporting processes and the audits of our financial statements on behalf of the Board and selects an independent public accounting firm to perform these audits. Management has the primary responsibility for establishing and maintaining adequate internal control over financial reporting, preparing the financial statements, and establishing and maintaining adequate controls over public reporting. Our independent registered public accounting firm for fiscal 2025, Deloitte, had responsibility for conducting an audit of our annual financial statements in accordance with the standards of the Public Company Accounting Oversight Board (United States) and expressing an opinion on the conformity of those audited financial statements with generally accepted accounting principles.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Audit Committee oversaw the independent public accounting firm’s qualifications and independence, as well as its performance. The Audit Committee assisted the Board in overseeing the preparation of the Company’s financial statements, the Company’s compliance with legal and regulatory requirements, and the performance of the Company’s internal audit function. The Audit Committee met with personnel of the Company and Deloitte to review the scope and the results of the annual audit, the amount of audit fees, the Company’s internal accounting controls, the Company’s financial statements contained in the Company’s Annual Report to Shareholders and other related matters.</w:t>
      </w:r>
    </w:p>
    <w:p>
      <w:pPr>
        <w:spacing w:after="0" w:line="1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Audit Committee has reviewed and discussed with management the financial statements for fiscal year 2025 audited by Deloitte, as well as management’s report on internal control over financial reporting, using the criteria set forth by the Committee of Sponsoring Organizations of the Treadway Commission (COSO) in Internal Control – Integrated Framework. The Audit Committee has discussed with Deloitte those matters required to be discussed by the applicable requirements of the PCAOB and the SEC. The Audit Committee has also discussed with Deloitte its report on internal control over financial reporting, has received the written disclosures and the letter from Deloitte required by Public Company Accounting Oversight Board Ethics and Independence Rule 3526, Communication with Audit Committees Concerning Independence (Rule 3526), and has discussed with Deloitte its independence.</w:t>
      </w:r>
    </w:p>
    <w:p>
      <w:pPr>
        <w:spacing w:after="0" w:line="14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Based upon such review and discussions, the Audit Committee recommended to the Board of Directors, and the Board approved the recommendation, that the audited financial statements be included in the Company’s Annual Report on Form 10-K for the fiscal year ended December 31, 2025 for filing with the SEC.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AUDIT COMMITTEE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Scott Burell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Martin Madden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David Wilson</w:t>
      </w:r>
    </w:p>
    <w:p>
      <w:pPr>
        <w:spacing w:after="0" w:line="15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color w:val="auto"/>
        </w:rPr>
        <w:t>The foregoing Audit Committee Report shall not be deemed incorporated by reference into any filing under the Securities Act of 1933 or the Securities Exchange Act of 1934, and shall not otherwise be deemed filed under these acts, except to the extent we specifically incorporate by reference into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193675</wp:posOffset>
            </wp:positionV>
            <wp:extent cx="716470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4"/>
          <w:szCs w:val="14"/>
          <w:b w:val="1"/>
          <w:bCs w:val="1"/>
          <w:color w:val="auto"/>
        </w:rPr>
        <w:t>PROPOSAL 1: NOMINEES FOR ELECTION OF CLASS II DIRECTORS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number of directors is currently fixed at seven. Both our restated certificate of incorporation, as amended to date, and our amended and restated by-laws provide for the classification of the Board into three classes (Class I, Class II and Class III), as nearly equal in number as possible, with the term of office of one class expiring each year.</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Unless otherwise instructed, the enclosed proxy will be voted to elect the nominees named below as Class II directors for a term of three years expiring at the 2029 Annual Meeting of Shareholders and until their successors are duly elected and qualified. Both Class II director nominees have been recommended by the Corporate Governance Committee because of their past experience serving on the Company’s Board, the breadth of their business expertise, sound judgment, and demonstrated leadership, among other things. Proxies cannot be voted for a greater number of persons than the number of nominees named below. It is expected that the nominees will be able to serve, but if any are unable to serve, the proxy will be voted for a substitute nominee or nominees designated by the Board.</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Corporate Governance Committee has recommended and the Board has nominated Scott Burell and Aileen Stockburger for election as the Company’s Class II directors to serve as Class II Directors until the 2029 Annual Meeting of Shareholders.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BOARD RECOMMENDS THAT YOU VOTE “FOR” THIS PROPOSAL 1 TO ELECT AS DIRECTORS THE TWO NOMINEES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223520</wp:posOffset>
            </wp:positionV>
            <wp:extent cx="716470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9" w:name="page20"/>
    <w:bookmarkEnd w:id="19"/>
    <w:p>
      <w:pPr>
        <w:ind w:left="120"/>
        <w:spacing w:after="0"/>
        <w:rPr>
          <w:sz w:val="20"/>
          <w:szCs w:val="20"/>
          <w:color w:val="auto"/>
        </w:rPr>
      </w:pPr>
      <w:r>
        <w:rPr>
          <w:rFonts w:ascii="Times New Roman" w:cs="Times New Roman" w:eastAsia="Times New Roman" w:hAnsi="Times New Roman"/>
          <w:sz w:val="13"/>
          <w:szCs w:val="13"/>
          <w:b w:val="1"/>
          <w:bCs w:val="1"/>
          <w:color w:val="auto"/>
        </w:rPr>
        <w:t>PROPOSAL 2: THE APPROVAL OF A NON-BINDING ADVISORY RESOLUTION SUPPORTING THE COMPENSATION OF THE COMPANY’S NAMED EXECUTIVE OFFICERS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“Say on Pay” Vote</w:t>
      </w:r>
    </w:p>
    <w:p>
      <w:pPr>
        <w:spacing w:after="0" w:line="1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Dodd-Frank Wall Street Reform and Consumer Protection Act of 2010 enables our shareholders to cast an advisory vote at the Annual Meeting to approve the compensation of our named executive officers as disclosed in this Proxy Statement. The vote on this resolution is not intended to address any specific element of compensation; rather the vote relates to the compensation of our named executive officers generally, as described in this Proxy Statement. Shareholders are urged to read carefully the information in the “Executive Compensation” section of this Proxy Statement before casting their vote. For purposes of this Proxy Statement, the following Company executives are referred to collectively as the “named executive officers”: Harel Gadot, Rachel Vaknin, Simon Sharon and Juan Diaz-Cartelle.</w:t>
      </w:r>
    </w:p>
    <w:p>
      <w:pPr>
        <w:spacing w:after="0" w:line="1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Board has decided that it is a matter of good corporate governance to hold the advisory vote on compensation once every year until the next advisory vote on frequency occurs. An advisory vote on the frequency of stockholder votes to approve executive compensation is required to be held at least once every six years. Accordingly, unless the Board modifies its policy on the frequency of future votes, we expect to have our next advisory vote on compensation at our 2027 meeting.</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Board believes that this advisory vote is an important means of obtaining feedback from our shareholders about executive compensation, which is set by the Compensation Committee and the independent directors and is designed to link pay with performance. Although this vote is non-binding, our Board and Compensation Committee value the opinions of our shareholders and will consider the outcome of this vote when making future compensation decisions affecting our executive officers.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Compensation Philosophy</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executive compensation program is designed to attract, reward and retain key employees, including our named executive officers, who are critical to the Company’s long-term success. Shareholders are urged to read the “Executive Compensation” section of this Proxy Statement for greater detail about the Company’s executive compensation programs, including information about the fiscal year 2025 compensation of the named executive officers.</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Company is asking the shareholders to indicate their support for the compensation of the Company’s named executive officers as described in this Proxy Statement by voting in favor of the following resolution:</w:t>
      </w:r>
    </w:p>
    <w:p>
      <w:pPr>
        <w:spacing w:after="0" w:line="127" w:lineRule="exact"/>
        <w:rPr>
          <w:sz w:val="20"/>
          <w:szCs w:val="20"/>
          <w:color w:val="auto"/>
        </w:rPr>
      </w:pPr>
    </w:p>
    <w:p>
      <w:pPr>
        <w:ind w:left="500" w:right="500"/>
        <w:spacing w:after="0" w:line="278" w:lineRule="auto"/>
        <w:rPr>
          <w:sz w:val="20"/>
          <w:szCs w:val="20"/>
          <w:color w:val="auto"/>
        </w:rPr>
      </w:pPr>
      <w:r>
        <w:rPr>
          <w:rFonts w:ascii="Times New Roman" w:cs="Times New Roman" w:eastAsia="Times New Roman" w:hAnsi="Times New Roman"/>
          <w:sz w:val="14"/>
          <w:szCs w:val="14"/>
          <w:b w:val="1"/>
          <w:bCs w:val="1"/>
          <w:color w:val="auto"/>
        </w:rPr>
        <w:t>RESOLVED</w:t>
      </w:r>
      <w:r>
        <w:rPr>
          <w:rFonts w:ascii="Times New Roman" w:cs="Times New Roman" w:eastAsia="Times New Roman" w:hAnsi="Times New Roman"/>
          <w:sz w:val="14"/>
          <w:szCs w:val="14"/>
          <w:color w:val="auto"/>
        </w:rPr>
        <w:t>, that the Shareholders approve the compensation of the named executive officers of Microbot Medical Inc., as disclosed in the “Executive Compensation” discussion,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Summary Compensation Table and the related compensation tables, notes and narrative in the Proxy Statement for the Company’s 2026 Annual Meeting of Shareholders.</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Even though this say-on-pay vote is advisory and therefore will not be binding on the Company, the Compensation Committee and the Board of Directors value the opinions of the Company’s shareholders. Accordingly, to the extent there is a significant vote against the compensation of the named executive officers, the Board of Directors will consider shareholder concerns and the Compensation Committee will evaluate what actions, if any, may be necessary or appropriate to address those concerns. You may vote “for,” “against,” or “abstain” from the proposal to approve on an advisory basis the compensation of our named executive officers.</w:t>
      </w:r>
    </w:p>
    <w:p>
      <w:pPr>
        <w:spacing w:after="0" w:line="13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color w:val="auto"/>
        </w:rPr>
        <w:t>THE BOARD RECOMMENDS A VOTE “FOR” THE ADVISORY RESOLUTION TO APPROVE THE COMPENSATION OF THE COMPANY’S NAMED EXECUTIVE OFFICERS AS PRESENTED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193675</wp:posOffset>
            </wp:positionV>
            <wp:extent cx="716470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0" w:name="page21"/>
    <w:bookmarkEnd w:id="20"/>
    <w:p>
      <w:pPr>
        <w:jc w:val="center"/>
        <w:spacing w:after="0" w:line="278" w:lineRule="auto"/>
        <w:rPr>
          <w:sz w:val="20"/>
          <w:szCs w:val="20"/>
          <w:color w:val="auto"/>
        </w:rPr>
      </w:pPr>
      <w:r>
        <w:rPr>
          <w:rFonts w:ascii="Times New Roman" w:cs="Times New Roman" w:eastAsia="Times New Roman" w:hAnsi="Times New Roman"/>
          <w:sz w:val="14"/>
          <w:szCs w:val="14"/>
          <w:b w:val="1"/>
          <w:bCs w:val="1"/>
          <w:color w:val="auto"/>
        </w:rPr>
        <w:t>PROPOSAL 3: AN AMENDMENT TO THE MICROBOT MEDICAL INC. 2020 OMNIBUS PERFORMANCE AWARD PLAN TO INCREASE THE NUMBER OF AUTHORIZED SHARES OF COMMON STOCK RESERVED FOR ISSUANCE BY 1,000,000 SHARES</w:t>
      </w:r>
    </w:p>
    <w:p>
      <w:pPr>
        <w:spacing w:after="0" w:line="1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We are asking you to approve an amendment to the Company’s 2020 Omnibus Performance Award Plan, as amended, a copy of which is attached as Exhibit A hereto (the “Plan Amendment”), to increase the number of shares of common stock authorized for issuance by an additional 1,000,000 shares, from 5,211,671 to 6,211,671 shares. On October 14, 2026, the Board approved the Plan Amendment to the Company’s 2020 Omnibus Performance Award Plan to authorize an increase of up to 1,000,000 additional shares of common stock for issuance, subject to stockholder approval. In this proxy statement, we refer to the Company’s current 2020 Omnibus Performance Award Plan (including a sub-plan for Israeli residents), as the “Current Plan,” and we refer to the Current Plan, as modified by the Plan Amendment, as the “Amended Plan.” We directed that the Amended Plan be submitted to our stockholders for their approval at the Annual Meeting. The Amended Plan does not contain any modifications, alterations or revisions of any other term or provision of our Current Plan except with respect to the increase in the share reserve.</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3"/>
          <w:szCs w:val="13"/>
          <w:color w:val="auto"/>
        </w:rPr>
        <w:t>The purposes of the Amended Plan are to enable the Company to continue to recruit and retain highly qualified employees, directors and consultants; continue to provide them with an incentive for productivity; and continue to provide them with an opportunity to share in the growth and value of the Company. The Board believes that the Amended Plan and the increase in the number of shares available for grant thereunder are important to allow us to continue to attract, motivate, reward and retain the talent critical to achieving our business goals. As of October 15, 2026, we had approximately 1,416,923 shares of common stock that remained available for issuance under the Current Plan. If Proposal No. 3 is approved, the Plan Amendment will become effective with respect to the increase in the number of authorized shares reserved for issuance upon stockholder approval at the Annual Meeting. Without approval by stockholders of the Plan Amendment, the Company will be unable to continue to grant equity awards once the share pool is depleted, potentially resulting in the loss of employees and difficulties in recruiting new employees. If the Plan Amendment is not approved, the Company will become increasingly reliant on cash-based compensation, which will deplete the company’s finite cash resources. Accordingly, our Board recommends the approval of the Plan Amendment.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closing stock price of a share of the Company’s common stock as reported on the Nasdaq Stock Market on October 15, 2026, the Record Date, was $0.95.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History of the Current Plan</w:t>
      </w:r>
    </w:p>
    <w:p>
      <w:pPr>
        <w:spacing w:after="0" w:line="174" w:lineRule="exact"/>
        <w:rPr>
          <w:sz w:val="20"/>
          <w:szCs w:val="20"/>
          <w:color w:val="auto"/>
        </w:rPr>
      </w:pPr>
    </w:p>
    <w:p>
      <w:pPr>
        <w:jc w:val="both"/>
        <w:ind w:firstLine="275"/>
        <w:spacing w:after="0" w:line="259" w:lineRule="auto"/>
        <w:rPr>
          <w:sz w:val="20"/>
          <w:szCs w:val="20"/>
          <w:color w:val="auto"/>
        </w:rPr>
      </w:pPr>
      <w:r>
        <w:rPr>
          <w:rFonts w:ascii="Times New Roman" w:cs="Times New Roman" w:eastAsia="Times New Roman" w:hAnsi="Times New Roman"/>
          <w:sz w:val="14"/>
          <w:szCs w:val="14"/>
          <w:color w:val="auto"/>
        </w:rPr>
        <w:t>On July 17, 2020, the Board adopted and unanimously recommended that the stockholders of the Company approve the Current Plan, which was subsequently approved by the Company’s stockholders at its 2020 Annual Meeting of Stockholders. In each of 2023, 2024 and 2025, the Board approved amendments to authorize aggregate increases of 3,791,019 additional shares of common stock for issuance, to 5,211,671. The shareholders of the Company approved these amendments at the Company’s annual meetings of stockholders in 2023, 2024 and 2025.</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purpose of the Current Plan is to provide for the success and enhance the value of the Company by linking participants’ personal interests with those of the Company’s stockholders, and employees, by providing participants with an incentive for outstanding performance, and to motivate, attract and retain the services of participants upon whom the success of the Company depends. The Plan is flexible in that it provides for the grant of stock options (“Options”), stock appreciation rights (“SARs”), shares of restricted stock (“Restricted Stock”), restricted stock units (“RSUs”), cash incentives, performance shares and performance units (“Performance Shares” and “Performance Units”), singularly or in combination as determined by the Compensation Committee of the Board of Directors. The Plan became effective as of July 17, 2020 (the “Effective Date”) and will expire on the ten year anniversary of the Effective Date.</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Current Plan made 5,211,671 shares of our common stock available for issuance to eligible participants (the “Current Share Pool”). The maximum number of shares of common stock that presently may be issued under the Current Plan in connection with awards is 5,211,671. On October 14, 2026, the Board approved and adopted the Plan Amendment, subject to stockholder approval at the Annual Meeting, to increase the number of authorized shares reserved for issuance pursuant to the Current Plan by 1,000,000 shares. No specific awards are planned at this time based on such increase in authorized shares, but the number was determined by considering potential awards over the next 12-24 months, taking into account historical practices and the Company’s expected expansion as it continues its initial growth as a commercial-stage company.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Remaining Share Reserve</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of October 15, 2026, there were 67,164,801 shares of our common stock outstanding, and the Company has awarded grants of stock options of approximately 3,794,748 shares pursuant to the Current Plan with approximately 1,416,923 authorized shares remaining under the Current Plan. The increase of 1,000,000 authorized shares of common stock available for grant under the Amended Plan will result in additional potential dilution of our outstanding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716470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1" w:name="page22"/>
    <w:bookmarkEnd w:id="21"/>
    <w:p>
      <w:pPr>
        <w:jc w:val="both"/>
        <w:spacing w:after="0" w:line="272" w:lineRule="auto"/>
        <w:rPr>
          <w:sz w:val="20"/>
          <w:szCs w:val="20"/>
          <w:color w:val="auto"/>
        </w:rPr>
      </w:pPr>
      <w:r>
        <w:rPr>
          <w:rFonts w:ascii="Times New Roman" w:cs="Times New Roman" w:eastAsia="Times New Roman" w:hAnsi="Times New Roman"/>
          <w:sz w:val="14"/>
          <w:szCs w:val="14"/>
          <w:color w:val="auto"/>
        </w:rPr>
        <w:t>With respect to options or stock appreciation rights that expire, terminate or are canceled or forfeited for any reason without having been exercised in full, the shares associated with such awards will again become available for grant under the Amended Plan.</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Awards that are assumed or substituted by us in connection with an acquisition will not reduce the Current Share Pool. In the event of any merger, consolidation, reorganization, recapitalization, stock split, reverse stock split, split up, spin-off, combination of shares, exchange of shares, stock dividend, dividend in kind, or other like change in capital structure (other than ordinary cash dividends) to our stockholders, or other similar corporate event or transaction that affects our common stock, the Compensation Committee shall make appropriate adjustments in the number and kind of shares authorized by the Amended Plan and covered under outstanding awards as it determines appropriate and equitable.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the Amended Plan</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following is a brief description of the Amended Plan. The full text of the Amended Plan is attached as Exhibit A to this Proxy Statement, and the following description is qualified in its entirety by reference to this Exhibit.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Administration of the Amended Plan</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Amended Plan will continue to be administered by the Compensation Committee of the Board of Directors of the Company (which consists exclusively of outside directors) and currently consists of Aileen Stockburger, David J. Wilson, and Martin Madden, or by such other committee consisting of not less than two non-employee directors appointed by the Board of Directors (the “Committee”).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Shares Subject to the Amended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Amended Plan authorizes the grant of awards relating to 6,211,671 shares of the Company’s common stock.</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If any corporate transaction occurs which causes a change in the capitalization of the Company, the Committee is authorized to make such adjustments to the number and class of shares of the Company’s Common Stock delivered, and the number and class and/or price of shares of the Company’s Common Stock subject to outstanding awards granted under the Amended Plan, as it deems appropriate and equitable to prevent dilution or enlargement of participants’ rights.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Eligibility and Participation</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Employees eligible to participate in the Amended Plan include management and key employees of the Company and its subsidiaries, as determined by the Committee, including employees who are members of the Board. Directors who are not employees (“Director Participants”) and Consultants to the Company also will be able to participate in the Amended Plan. As of the date of the 2026 Annual Meeting, it is anticipated that the approximate number of individuals who will be eligible to participate under the Amended Plan will be at least fifty.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Amendment and Termination of the Amended Plan</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no event may any award under the Amended Plan be granted on or after the tenth anniversary of the Effective Date. The Board may amend, modify or terminate the Amended Plan at any time; provided that no amendment requiring stockholder approval for the Amended Plan to continue to comply with Sections 409A or 422 of the Internal Revenue Code of 1986, as amended (the “Code”), shall be effective unless approved by stockholders, and no amendment, termination or modification shall materially and adversely affect any outstanding award without the consent of the participant.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Sub-Plans for Foreign Participants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order to comply with the laws, rules, regulations and/or taxes in countries other than the United States in which the Company operates or has employees, non-employee directors or consultants, or in order to comply with the requirements of any foreign securities exchange, the Committee, in its sole discretion, shall have the power and authority to:</w:t>
      </w:r>
    </w:p>
    <w:p>
      <w:pPr>
        <w:spacing w:after="0" w:line="131" w:lineRule="exact"/>
        <w:rPr>
          <w:sz w:val="20"/>
          <w:szCs w:val="20"/>
          <w:color w:val="auto"/>
        </w:rPr>
      </w:pPr>
    </w:p>
    <w:p>
      <w:pPr>
        <w:ind w:left="500" w:hanging="249"/>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which affiliates shall be covered by the Amended Plan;</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which individuals outside the United States are eligible to participate in the Amended Plan;</w:t>
      </w:r>
    </w:p>
    <w:p>
      <w:pPr>
        <w:spacing w:after="0" w:line="169"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the terms and conditions of any award granted to individuals outside the United States to comply with applicable foreign laws or listing requirements of any such foreign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164705"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2" w:name="page23"/>
    <w:bookmarkEnd w:id="22"/>
    <w:p>
      <w:pPr>
        <w:ind w:left="500" w:hanging="249"/>
        <w:spacing w:after="0" w:line="272" w:lineRule="auto"/>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subplans and modify exercise procedures and other terms and procedures, to the extent such actions may be necessary or advisable; provided, however, that no such subplans and/or modifications shall increase the share limitations in the Amended Plan; and</w:t>
      </w:r>
    </w:p>
    <w:p>
      <w:pPr>
        <w:spacing w:after="0" w:line="131"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any action, before or after an award is made, that it deems advisable to obtain approval or comply with any necessary local governmental regulatory exemptions or approvals or listing requirements of any such foreign securities exchange.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the date of adoption of the Current Plan, a sub-plan was adopted for Israeli residents eligible for awards under the Amended Plan, which is attached as Appendix A to the Amended Plan.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Awards Under the Amended Plan</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u w:val="single" w:color="auto"/>
          <w:color w:val="auto"/>
        </w:rPr>
        <w:t>Stock Options</w:t>
      </w:r>
      <w:r>
        <w:rPr>
          <w:rFonts w:ascii="Times New Roman" w:cs="Times New Roman" w:eastAsia="Times New Roman" w:hAnsi="Times New Roman"/>
          <w:sz w:val="14"/>
          <w:szCs w:val="14"/>
          <w:color w:val="auto"/>
        </w:rPr>
        <w:t>. The Committee may grant incentive stock options (“ISOs”), non qualified stock options (“non ISOs”), or a combination thereof under the Amended Plan. As described below, there are certain tax advantages to employees who receive ISOs; however, certain restrictions also apply to such grants. First, ISOs can be granted only to employees (not to non-employee directors or consultants), and the Option exercise price for each such ISO shall be at least equal to 100% of the fair market value of a share of the Company’s Common Stock on the date the Option is granted (110% in the case of an individual who is a 10% owner of the Company). Second, an ISO may not be exercised later than 10 years after the date of grant (5 years in the case of 10% owners of the Company.) ISOs also may not be exercised later than 3 months (one year in the case of a termination of employment due to disability) after the optionholder’s termination of employment other than due to his or her death. Lastly, Common Stock will be deemed to be acquired under an ISO only with respect to the first $100,000 worth of Common Stock (valued on the date of grant) first exercisable in any one calendar year. In other words, if under an ISO, the participant vests in the right to acquire more than $100,000 of shares of Common Stock in any one calendar year, the excess number of shares will not be deemed to have been acquired under an ISO.</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Options shall expire at such times as the Committee determines at the time of grant; provided, however, that no Option shall be exercisable later than the tenth anniversary of its grant. Options granted under the Amended Plan shall be exercisable at such times and subject to such restrictions and conditions as the Committee shall approve. 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all Options shall be forfeited.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Option exercise price is payable in cash, in shares of the Company’s Common Stock having a fair market value equal to the exercise price, by share withholding or a combination of the foregoing.</w:t>
      </w:r>
    </w:p>
    <w:p>
      <w:pPr>
        <w:spacing w:after="0" w:line="1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ISOs may be transferred only under the laws of descent and distribution and, during his or her lifetime, shall be exercisable only by the participant or his or her legal representative. Each stock option agreement shall specify the participant’s (or his or her beneficiary’s) rights in the event of retirement, death or other termination of employment.</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For the Option to qualify for the exception to the restrictions imposed on non-qualified deferred compensation under Section 409A of the Code, the exercise price (per share of Common Stock) of any Option must at all times be no less than the fair market value of one share of the underlying Common Stock determined on the date the Option is granted.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Options may be subject to time and other vesting requirements, such as the attainment of individual or Company-related performance goals and targets.</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u w:val="single" w:color="auto"/>
          <w:color w:val="auto"/>
        </w:rPr>
        <w:t>Stock Appreciation Rights</w:t>
      </w:r>
      <w:r>
        <w:rPr>
          <w:rFonts w:ascii="Times New Roman" w:cs="Times New Roman" w:eastAsia="Times New Roman" w:hAnsi="Times New Roman"/>
          <w:sz w:val="14"/>
          <w:szCs w:val="14"/>
          <w:color w:val="auto"/>
        </w:rPr>
        <w:t>. SARs granted under the Amended Plan may be in the form of freestanding SARs, tandem SARs or a combination thereof. The base value of a freestanding SAR shall be equal to the fair market value of a share of the Company’s Common Stock on the date of grant. The base value of a tandem SAR shall be equal to the exercise price of the related Option. The term of any SAR granted under the Amended Plan shall be determined by the Committee, provided that the term of any tandem SAR which is linked to an ISO may not exceed ten (10) years.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Freestanding SARs may be exercised upon such terms and conditions as are imposed by the Committee and set forth under the SAR award agreement. A tandem SAR may be exercised only with respect to the shares of Common Stock of the Company for which its related Option is exercisable. Tandem SARs granted in connection with an Option shall expire no later than the expiration of the Option, and may be exercised only when the fair market value of the shares subject to the Option exceeds the Option exercise price. Furthermore, the number of shares of the Company’s Common Stock that may be acquired under the related Option will be reduced, one for one, by the number of shares with respect to which the tandem SAR is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716470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3" w:name="page24"/>
    <w:bookmarkEnd w:id="23"/>
    <w:p>
      <w:pPr>
        <w:jc w:val="both"/>
        <w:spacing w:after="0" w:line="259" w:lineRule="auto"/>
        <w:rPr>
          <w:sz w:val="20"/>
          <w:szCs w:val="20"/>
          <w:color w:val="auto"/>
        </w:rPr>
      </w:pPr>
      <w:r>
        <w:rPr>
          <w:rFonts w:ascii="Times New Roman" w:cs="Times New Roman" w:eastAsia="Times New Roman" w:hAnsi="Times New Roman"/>
          <w:sz w:val="14"/>
          <w:szCs w:val="14"/>
          <w:color w:val="auto"/>
        </w:rPr>
        <w:t>Upon the exercise of a SAR, a participant will receive the difference between the fair market value of a share of the Company’s Common Stock on the date of exercise and the base value multiplied by the number of shares with respect to which the SAR is exercised. Payment due upon exercise may be in cash, in shares of the Company’s Common Stock having a fair market value equal to such cash amount, or in a combination of cash and shares, as determined by the Committee.</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SARs may only be transferred under the laws of descent and distribution and, during his or her lifetime, shall be exercisable only by the participant or his or her legal representative. Each SAR award agreement shall specify the participant’s (and his or her beneficiary’s) rights in the event of death or other termination of employment. 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all SARs shall be forfeited.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SARs may be subject to time and other vesting requirements, such as the attainment of individual or Company-related performance goals and targets.</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u w:val="single" w:color="auto"/>
          <w:color w:val="auto"/>
        </w:rPr>
        <w:t>Restricted Stock</w:t>
      </w:r>
      <w:r>
        <w:rPr>
          <w:rFonts w:ascii="Times New Roman" w:cs="Times New Roman" w:eastAsia="Times New Roman" w:hAnsi="Times New Roman"/>
          <w:sz w:val="14"/>
          <w:szCs w:val="14"/>
          <w:color w:val="auto"/>
        </w:rPr>
        <w:t>. Restricted Stock are shares of Common Stock transferred to a participant which are subject to forfeiture back to the Company in the event certain employment requirements or other vesting requirements are not met. The period during which such requirements are in effect is hereinafter referred to as the “restriction period.” Restricted Stock may be granted in such amounts and subject to such terms and conditions as determined by the Committee. The Committee shall impose such conditions and/or restrictions on any shares of Restricted Stock as it deems advisable.</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Restricted Stock may not be sold, transferred, pledged, assigned or otherwise alienated or hypothecated until the end of the applicable restriction period or upon earlier satisfaction of such other conditions specified by the Committee.</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Participants holding Restricted Stock may not exercise full voting rights with respect to those shares during the restriction period and shall not be credited with regular cash dividends paid with respect to such shares. Dividends or distributions credited during the restriction period shall be subject to the same restrictions on transferability and forfeitability as the shares of Restricted Stock with respect to which they were paid.</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All rights with respect to Restricted Stock shall be available only during a participant’s lifetime, and each Restricted Stock award agreement shall specify the participant’s (and his beneficiary’s) rights in the event of death or other termination of employment. 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prior to the end of the restriction period, all shares of Restricted Stock granted to such participant shall be forfeited.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shares of Restricted Stock may be subject to time and other vesting requirements, such as the attainment of individual or Company-related performance goals and targets.</w:t>
      </w:r>
    </w:p>
    <w:p>
      <w:pPr>
        <w:spacing w:after="0" w:line="17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3"/>
          <w:szCs w:val="13"/>
          <w:u w:val="single" w:color="auto"/>
          <w:color w:val="auto"/>
        </w:rPr>
        <w:t>Restricted Stock Units</w:t>
      </w:r>
      <w:r>
        <w:rPr>
          <w:rFonts w:ascii="Times New Roman" w:cs="Times New Roman" w:eastAsia="Times New Roman" w:hAnsi="Times New Roman"/>
          <w:sz w:val="13"/>
          <w:szCs w:val="13"/>
          <w:color w:val="auto"/>
        </w:rPr>
        <w:t>. Each RSU represents a promise by the Company to deliver to the participant one share of Common Stock at a predetermined date in the future. RSUs are subject to forfeiture in the event certain employment requirements or other vesting requirements are not met. The period during which such requirements are in effect is hereinafter referred to as the “restriction period.” RSUs may be granted in such amounts and subject to such terms and conditions as determined by the Committee. The Committee shall impose such conditions and/or restrictions on RSUs as it deems advisable.</w:t>
      </w:r>
    </w:p>
    <w:p>
      <w:pPr>
        <w:spacing w:after="0" w:line="1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All rights with respect to RSUs shall be available only during a participant’s lifetime, and each RSU award agreement shall specify the participant’s (and his beneficiary’s) rights in the event of death or other termination of employment. 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prior to the end of the restriction period, all RSUs granted to such participant shall be forfeited.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RSUs may be subject to time and other vesting requirements, such as the attainment of individual or Company-related performance goals and targets.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u w:val="single" w:color="auto"/>
          <w:color w:val="auto"/>
        </w:rPr>
        <w:t>Performance Shares and Performance Units</w:t>
      </w:r>
      <w:r>
        <w:rPr>
          <w:rFonts w:ascii="Times New Roman" w:cs="Times New Roman" w:eastAsia="Times New Roman" w:hAnsi="Times New Roman"/>
          <w:sz w:val="14"/>
          <w:szCs w:val="14"/>
          <w:color w:val="auto"/>
        </w:rPr>
        <w:t>. Performance Shares and Performance Unit awards may be granted in the amounts and subject to such terms and conditions as determined by the Committee. Performance Shares and Performance Units are, respectively, similar to shares of Restricted Stock and RSUs except that certain individual, financial or other Company-related goals and targets must be met in order for the Performance Shares and Units to become non-forfeitable. The Committee shall set performance goals which, depending on the extent to which they are met during the performance periods established by the Committee, will determine the number and/or value of Performance Shares/Units that will be paid to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7164705"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4" w:name="page25"/>
    <w:bookmarkEnd w:id="24"/>
    <w:p>
      <w:pPr>
        <w:jc w:val="both"/>
        <w:spacing w:after="0" w:line="277" w:lineRule="auto"/>
        <w:rPr>
          <w:sz w:val="20"/>
          <w:szCs w:val="20"/>
          <w:color w:val="auto"/>
        </w:rPr>
      </w:pPr>
      <w:r>
        <w:rPr>
          <w:rFonts w:ascii="Times New Roman" w:cs="Times New Roman" w:eastAsia="Times New Roman" w:hAnsi="Times New Roman"/>
          <w:sz w:val="13"/>
          <w:szCs w:val="13"/>
          <w:color w:val="auto"/>
        </w:rPr>
        <w:t>Participants shall receive payment of the value of Performance Shares or Performance Units earned in cash and/or shares of the Company’s Common Stock which have an aggregate fair market value equal to the value of the earned Performance Shares/Units after the end of the applicable performance period, in such combination as the Committee determines. Such shares may be granted subject to any restrictions deemed appropriate by the Committee. Prior to the beginning of each performance period, participants may elect to defer receipt of payout on such terms as the Committee deems appropriate. Subject to the provisions of an applicable plan award, participants may be entitled to have dividends declared with respect to Performance Shares earned in connection with Performance Share/Unit grants earned but not yet distributed held in their performance accounts, subject to the same restrictions as are applicable to dividends earned with respect to Restricted Stock, described above.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Performance Shares and Performance Units may also be subject to other vesting requirements, such as continued employment for specified periods of time.</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prior to the date such awards become vested all Performance Shares and Performance Units granted to such participant shall be forfeited.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Performance Shares and Performance Units may not be sold, transferred, pledged, assigned or otherwise alienated or hypothecated, other than by will or by the laws of descent and distribution.</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u w:val="single" w:color="auto"/>
          <w:color w:val="auto"/>
        </w:rPr>
        <w:t>Cash Incentives</w:t>
      </w:r>
      <w:r>
        <w:rPr>
          <w:rFonts w:ascii="Times New Roman" w:cs="Times New Roman" w:eastAsia="Times New Roman" w:hAnsi="Times New Roman"/>
          <w:sz w:val="14"/>
          <w:szCs w:val="14"/>
          <w:color w:val="auto"/>
        </w:rPr>
        <w:t>. Cash Incentives may be granted in the amounts and subject to such terms and conditions as determined by the Committee. Under the terms of a Cash Incentive grant, certain individual, financial or other Company-related goals and targets must be met in order for the Cash Incentives to become non-forfeitable and to determine the amount of the Cash Incentives to which the participant is entitled. The Committee shall set performance goals which, depending on the extent to which they are met during the performance periods established by the Committee, will determine the value of Cash Incentives that will be paid to participants.</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Participants shall receive payment of the Cash Incentives at the end of the applicable performance period. To the extent permitted by the Committee, prior to the beginning of each performance period, participants may elect to defer receipt of payout on such terms as the Committee deems appropriate.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Cash Incentives may be subject to time and other vesting requirements, such as the attainment of individual or Company-related performance goals and targets.</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all unpaid Cash Incentives granted to such participant shall be forfeited.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Rights to Cash Incentives may not be sold, transferred, pledged, assigned or otherwise alienated or hypothecated.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Merger, Consolidation, Sale of Assets or Change in Control of the Company</w:t>
      </w:r>
    </w:p>
    <w:p>
      <w:pPr>
        <w:spacing w:after="0" w:line="1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As of the effective date of a merger, consolidation, sale of generally all of the assets or the change in control of the Company (and if the merger or consolidation agreement does not provide for the continuation of such awards or the substitution of new awards or any other treatment) (1) any Option or SAR outstanding shall become immediately exercisable and (2) any restriction periods and restrictions imposed on Restricted Stock shall be deemed to have expired. Performance Shares or Performance Units payable after the date of such merger or consolidation shall be paid in cash as of the date they originally were to be paid unless, subject to the limitations imposed by Code Section 409A, the Company or its successor determines to pay such amounts as of an earlier date. Except as may be provided in a particular award, Performance Shares and Performance Units shall be pro-rated based on the attainment of the applicable performance goals at the target level if, as a result of the merger or consolidation, the value of such awards cannot be determined.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Amended Plan Benefits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As of October 15, 2026, approximately 3,794,748 shares subject to stock options and performance-based stock options have been granted under the Current Plan. Other than with respect to annual grants of stock options to our non-employee directors that will be made immediately following the date of the 2026 Annual Meeting, awards under the Current Plan are and the Amended Plan will be discretionary and are not subject to set benefits or amounts, and we have not approved any awards that are conditioned on stockholder approval of the Revised Plan. Accordingly, we cannot currently determine the benefits or number of shares subject to awards that may be granted in the future to executive officers, directors or employees under the Current Plan or the Revised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716470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Federal Income Tax Consequences of Awards Under the Amended Plan</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Company has been advised by its counsel that under currently applicable provisions of the Code, the following federal income tax consequences may be expected by a participant (including a Director Participant) and by the Company in respect of the grant and exercise of awards under the Amended Plan.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Federal Income Tax Consequences – Options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Consequences to the Optionholder (Other than Director Participants or Consultants)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u w:val="single" w:color="auto"/>
          <w:color w:val="auto"/>
        </w:rPr>
        <w:t>Grant</w:t>
      </w:r>
      <w:r>
        <w:rPr>
          <w:rFonts w:ascii="Times New Roman" w:cs="Times New Roman" w:eastAsia="Times New Roman" w:hAnsi="Times New Roman"/>
          <w:sz w:val="14"/>
          <w:szCs w:val="14"/>
          <w:color w:val="auto"/>
        </w:rPr>
        <w:t>. There are no federal income tax consequences to the optionholder solely by reason of the grant of ISOs under the Amended Plan. Similarly, the grant of non ISOs under the Amended Plan does not constitute a taxable event if the Option is not actively traded on an established securities market and certain other requirements are satisfied. In addition, so long as the exercise price of the Common Stock underlying the Option is no less than the fair market value of the Common Stock determined as of the date of grant, the special tax rules set forth under Section 409A of the Code (which relate to “non-qualified deferred compensation”) generally will not apply.</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u w:val="single" w:color="auto"/>
          <w:color w:val="auto"/>
        </w:rPr>
        <w:t>Exercise</w:t>
      </w:r>
      <w:r>
        <w:rPr>
          <w:rFonts w:ascii="Times New Roman" w:cs="Times New Roman" w:eastAsia="Times New Roman" w:hAnsi="Times New Roman"/>
          <w:sz w:val="14"/>
          <w:szCs w:val="14"/>
          <w:color w:val="auto"/>
        </w:rPr>
        <w:t>. The exercise of an ISO will not result in taxable income to the participant provided the participant was, without a break in service, an employee of the Company or a subsidiary during the period beginning on the date of the grant of the option and ending on the date three months prior to the date of exercise (one year prior to the date of exercise if the participant is disabled, as that term is defined in the Internal Revenue Code). The Company will not be entitled to a tax deduction upon the exercise of an ISO.</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excess of the fair market value of the shares at the time of the exercise of an ISO over the exercise price is an adjustment that is included in the calculation of the participant’s alternative minimum taxable income for the tax year in which the ISO is exercised. For purposes of determining the participant’s alternative minimum tax liability for the year of disposition of the shares acquired pursuant to the ISO exercise, the participant will have a basis in those shares equal to the fair market value of the shares at the time of exercise.</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Upon the exercise of a non ISO, the optionholder generally will recognize ordinary income in an amount equal to the excess of the fair market value of the shares of the Company’s Common Stock at the time of exercise over the amount paid as the exercise price. The ordinary income recognized in connection with the exercise by an optionholder of a non ISO by an employee will be subject to both wage and employment tax withholding.</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optionholder’s tax basis in the shares acquired pursuant to the exercise of an Option will be the amount paid upon exercise plus, in the case of a non ISO, the amount of ordinary income recognized by the optionholder upon exercise.</w:t>
      </w:r>
    </w:p>
    <w:p>
      <w:pPr>
        <w:spacing w:after="0" w:line="13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3"/>
          <w:szCs w:val="13"/>
          <w:u w:val="single" w:color="auto"/>
          <w:color w:val="auto"/>
        </w:rPr>
        <w:t>Qualifying Disposition</w:t>
      </w:r>
      <w:r>
        <w:rPr>
          <w:rFonts w:ascii="Times New Roman" w:cs="Times New Roman" w:eastAsia="Times New Roman" w:hAnsi="Times New Roman"/>
          <w:sz w:val="13"/>
          <w:szCs w:val="13"/>
          <w:color w:val="auto"/>
        </w:rPr>
        <w:t>. If an optionholder disposes of shares of the Company’s Common Stock acquired upon the exercise of an ISO in a taxable transaction, and such disposition occurs more than two years from the date on which the option is granted and more than one year after the date on which the shares are transferred to the optionholder pursuant to the exercise of the ISO, the optionholder will recognize long term capital gain or loss equal to the difference between the amount realized upon such disposition and the optionholder’s adjusted basis in such shares (generally the Option exercise price).</w:t>
      </w:r>
    </w:p>
    <w:p>
      <w:pPr>
        <w:spacing w:after="0" w:line="1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u w:val="single" w:color="auto"/>
          <w:color w:val="auto"/>
        </w:rPr>
        <w:t>Disqualifying Disposition</w:t>
      </w:r>
      <w:r>
        <w:rPr>
          <w:rFonts w:ascii="Times New Roman" w:cs="Times New Roman" w:eastAsia="Times New Roman" w:hAnsi="Times New Roman"/>
          <w:sz w:val="14"/>
          <w:szCs w:val="14"/>
          <w:color w:val="auto"/>
        </w:rPr>
        <w:t>. If the optionholder disposes of shares of the Company’s Common Stock acquired upon the exercise of an ISO (other than in certain tax free transactions) within two years from the date on which the ISO is granted or within one year after the transfer of the shares to the optionholder pursuant to the exercise of the ISO, then at the time of disposition the optionholder generally will recognize ordinary income equal to the lesser of (i) the excess of such shares’ fair market value on the date of exercise over the exercise price paid by the optionholder or (ii) the optionholder’s actual gain (i.e., the excess, if any, of the amount realized on the disposition over the exercise price paid by the optionholder). If the total amount realized on a taxable disposition (including return of capital and capital gain) exceeds the fair market value on the date of exercise, then the optionholder will recognize a capital gain in the amount of such excess. If the optionholder incurs a loss on the disposition (i.e., if the total amount realized is less than the exercise price paid by the optionholder) then the loss will be a capital loss.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u w:val="single" w:color="auto"/>
          <w:color w:val="auto"/>
        </w:rPr>
        <w:t>Other Dispositions</w:t>
      </w:r>
      <w:r>
        <w:rPr>
          <w:rFonts w:ascii="Times New Roman" w:cs="Times New Roman" w:eastAsia="Times New Roman" w:hAnsi="Times New Roman"/>
          <w:sz w:val="14"/>
          <w:szCs w:val="14"/>
          <w:color w:val="auto"/>
        </w:rPr>
        <w:t>. If an optionholder disposes of shares of the Company’s Common Stock acquired upon the exercise of a non ISO in a taxable transaction, the optionholder will recognize capital gain or loss in an amount equal to the difference between his basis (as discussed above) in the shares sold and the total amount realized upon the disposition. Any such capital gain or loss (and any capital gain or loss recognized on a disqualifying disposition of shares of the Company’s Common Stock acquired upon the exercise of ISOs as discussed above) will be long term depending on whether the shares of the Company’s Common Stock were held for more than one year from the date such shares were transferred to the 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716470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color w:val="auto"/>
        </w:rPr>
        <w:t>Consequences to the Company (Other than Awards to Director Participants and Consultants)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There are no federal income tax consequences to the Company by reason of the grant of ISOs or non ISOs (to the extent the grant of a non ISO is not a taxable event for the optionholder) or the exercise of ISOs (other than disqualifying dispositions).</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At the time the optionholder recognizes ordinary income from the exercise of a non ISO, the Company will be entitled to a federal income tax deduction in the amount of the ordinary income so recognized (as described above), provided that the Company timely satisfies its reporting and disclosure obligations described below. To the extent the optionholder recognizes ordinary income by reason of a disqualifying disposition of the stock acquired upon exercise of ISOs, the Company will be entitled to a corresponding deduction in the year in which the disposition occurs.</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Company will be required to report to the Internal Revenue Service any ordinary income recognized by an optionholder by reason of the exercise of a non ISO or the disqualifying disposition of the Company’s Common Stock acquired pursuant to an ISO.</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Consequences to Optionholder (Director Participants and Consultants)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u w:val="single" w:color="auto"/>
          <w:color w:val="auto"/>
        </w:rPr>
        <w:t>Grant</w:t>
      </w:r>
      <w:r>
        <w:rPr>
          <w:rFonts w:ascii="Times New Roman" w:cs="Times New Roman" w:eastAsia="Times New Roman" w:hAnsi="Times New Roman"/>
          <w:sz w:val="14"/>
          <w:szCs w:val="14"/>
          <w:color w:val="auto"/>
        </w:rPr>
        <w:t>. There are no federal income tax consequences to the optionholder solely by reason of the grant of non qualified stock options to a Director Participant or a Consultant under the Amended Plan if the Option is not actively traded on an established securities market and certain other requirements are satisfied. In addition, so long as the exercise price of the Common Stock underlying the Option is no less than the fair market value of the Common Stock determined as of the date of grant, the special tax rules set forth under Section 409A of the Code (which relate to “non-qualified deferred compensation”) generally will not apply.</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u w:val="single" w:color="auto"/>
          <w:color w:val="auto"/>
        </w:rPr>
        <w:t>Exercise</w:t>
      </w:r>
      <w:r>
        <w:rPr>
          <w:rFonts w:ascii="Times New Roman" w:cs="Times New Roman" w:eastAsia="Times New Roman" w:hAnsi="Times New Roman"/>
          <w:sz w:val="14"/>
          <w:szCs w:val="14"/>
          <w:color w:val="auto"/>
        </w:rPr>
        <w:t>. Upon the exercise of a non qualified stock option, the optionholder will generally recognize ordinary income in an amount equal to the excess of the fair market value of the shares of Company Common Stock at the time of exercise over the amount paid as the exercise price.</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optionholder’s tax basis in the shares acquired pursuant to the exercise of a non qualified stock option will be the amount paid upon exercise plus the amount of ordinary income recognized by the optionholder upon exercise.</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u w:val="single" w:color="auto"/>
          <w:color w:val="auto"/>
        </w:rPr>
        <w:t>Disposition</w:t>
      </w:r>
      <w:r>
        <w:rPr>
          <w:rFonts w:ascii="Times New Roman" w:cs="Times New Roman" w:eastAsia="Times New Roman" w:hAnsi="Times New Roman"/>
          <w:sz w:val="14"/>
          <w:szCs w:val="14"/>
          <w:color w:val="auto"/>
        </w:rPr>
        <w:t>. If an optionholder disposes of shares of Company Common Stock acquired upon exercise of a non qualified stock option in a taxable transaction, the optionholder will recognize capital gain or loss in an amount equal to the difference between his basis (as discussed above) in the shares sold and the amount realized upon disposition. Any such capital gain or loss will be long term or short term depending on whether the shares of Company Common Stock were held for more than one year from the date such shares were transferred to the optionholder.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Consequences to the Company (Grants to Director Participants and Consultants)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At the time the optionholder recognizes ordinary income from the exercise of a non qualified stock option, the Company will be entitled to a federal income tax deduction in the amount of the ordinary income so recognized (as described above).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Federal Income Tax Consequences – Stock Appreciation Rights (“SARs”)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Consequences on the recipient of the SAR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Grant</w:t>
      </w:r>
      <w:r>
        <w:rPr>
          <w:rFonts w:ascii="Times New Roman" w:cs="Times New Roman" w:eastAsia="Times New Roman" w:hAnsi="Times New Roman"/>
          <w:sz w:val="14"/>
          <w:szCs w:val="14"/>
          <w:color w:val="auto"/>
        </w:rPr>
        <w:t>. There is no federal income tax impact on the individual solely by reason of the grant of a SAR.</w:t>
      </w:r>
    </w:p>
    <w:p>
      <w:pPr>
        <w:spacing w:after="0" w:line="170"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3"/>
          <w:szCs w:val="13"/>
          <w:u w:val="single" w:color="auto"/>
          <w:color w:val="auto"/>
        </w:rPr>
        <w:t>Exercise</w:t>
      </w:r>
      <w:r>
        <w:rPr>
          <w:rFonts w:ascii="Times New Roman" w:cs="Times New Roman" w:eastAsia="Times New Roman" w:hAnsi="Times New Roman"/>
          <w:sz w:val="13"/>
          <w:szCs w:val="13"/>
          <w:color w:val="auto"/>
        </w:rPr>
        <w:t>. Upon the exercise of a SAR, the individual will generally recognize ordinary income in an amount equal to the excess of the fair market value of the cash or shares of stock received at the time of exercise over the base amount. The individual’s tax basis in the shares acquired pursuant to the exercise of a SAR option will be the amount of ordinary income recognized by the individual upon exercise.</w:t>
      </w:r>
    </w:p>
    <w:p>
      <w:pPr>
        <w:spacing w:after="0" w:line="1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u w:val="single" w:color="auto"/>
          <w:color w:val="auto"/>
        </w:rPr>
        <w:t>Disposition</w:t>
      </w:r>
      <w:r>
        <w:rPr>
          <w:rFonts w:ascii="Times New Roman" w:cs="Times New Roman" w:eastAsia="Times New Roman" w:hAnsi="Times New Roman"/>
          <w:sz w:val="14"/>
          <w:szCs w:val="14"/>
          <w:color w:val="auto"/>
        </w:rPr>
        <w:t>. If an individual disposes of shares of stock acquired upon exercise of a SAR in a taxable transaction, the individual will recognize capital gain or loss in an amount equal to the difference between his or her basis (as discussed above) in the shares sold and the amount realized upon disposition. Any capital gain or loss will be long term or short term depending on whether the shares of stock were held for more than one year from the date the shares were transferred to the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716470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color w:val="auto"/>
        </w:rPr>
        <w:t>Consequences to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the time the individual recognizes ordinary income from the exercise of a SAR, the company will be entitled to a federal income tax deduction in the amount of the ordinary income so recognized.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Federal Income Tax Consequences - Other Awards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Consequences to the Employee</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u w:val="single" w:color="auto"/>
          <w:color w:val="auto"/>
        </w:rPr>
        <w:t>Restricted Stock</w:t>
      </w:r>
      <w:r>
        <w:rPr>
          <w:rFonts w:ascii="Times New Roman" w:cs="Times New Roman" w:eastAsia="Times New Roman" w:hAnsi="Times New Roman"/>
          <w:sz w:val="14"/>
          <w:szCs w:val="14"/>
          <w:color w:val="auto"/>
        </w:rPr>
        <w:t>. An award payable in the form of the Company’s Common Stock generally will be includable in the participant’s gross income as of the date the grant is made or, if later, the earlier of the date the Common Stock awarded to the participant (i) is subsequently transferable by him or her or (ii) is not subject to a substantial risk of forfeiture. This determination is made by reference to all of the facts and circumstances of such award, and, in particular, the nature of the restrictions imposed with respect to the shares of Common Stock granted under the award. Nevertheless, so long as the sale of the Common Stock at a profit could subject the recipient to suit under Section 16(b) of the Securities Exchange Act of 1934, as amended (the “Exchange Act”), the Common Stock is considered to be subject to a “substantial risk of forfeiture” (see the discussion below, captioned “Restrictions on Resale”).</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At the time as the substantial risk of forfeiture terminates, the participant will recognize ordinary income to the extent of the excess of the fair market value of the Common Stock on the date the risk of forfeiture terminates over the participant’s cost (if any) of such Common Stock. Under certain circumstances, however, the participant may make a so-called “Section 83(b) election” to have such excess amount determined and includible in his or her gross income at the time of grant, regardless of any restrictions on subsequent transferability or substantial risks of forfeiture. As the value of the Common Stock for federal income tax purposes is determined as of the date it is included in the participant’s gross income, such an election may be worthwhile if significant appreciation is expected between the date of grant and the date the restrictions expire or are eliminated and if the participant is confident that application of the restrictions will not cause the Common Stock to be forfeited.</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u w:val="single" w:color="auto"/>
          <w:color w:val="auto"/>
        </w:rPr>
        <w:t>Restricted Stock Units</w:t>
      </w:r>
      <w:r>
        <w:rPr>
          <w:rFonts w:ascii="Times New Roman" w:cs="Times New Roman" w:eastAsia="Times New Roman" w:hAnsi="Times New Roman"/>
          <w:sz w:val="14"/>
          <w:szCs w:val="14"/>
          <w:color w:val="auto"/>
        </w:rPr>
        <w:t>. An award payable in the form of RSUs generally will be includable in the participant’s gross income as of the date the underlying shares of Common Stock are transferred to the participant or, if later, the earlier of the date the underlying Common Stock awarded to the participant (i) is subsequently transferable by him or her or (ii) is not subject to a substantial risk of forfeiture. This determination is made by reference to all of the facts and circumstances of such award, and, in particular, the nature of the restrictions imposed with respect to the shares of Common Stock granted under the award. Nevertheless, so long as the sale of the Common Stock at a profit could subject the recipient to suit under Section 16(b) of the Securities Exchange Act of 1934, as amended (the “Exchange Act”), the Common Stock is considered to be subject to a “substantial risk of forfeiture” (see the discussion below, captioned “Restrictions on Resale”).</w:t>
      </w:r>
    </w:p>
    <w:p>
      <w:pPr>
        <w:spacing w:after="0" w:line="14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At the time as the substantial risk of forfeiture terminates, the participant will recognize ordinary income to the extent of the excess of the fair market value of the Common Stock on the date of delivery to the participant (or, if later, the date the risk of forfeiture terminates) over the participant’s cost (if any) of such Common Stock. Under certain circumstances, however, the participant may make a so-called “Section 83(b) election” at the time of delivery of otherwise restricted shares of Common Stock to have such excess amount determined and includible in his or her gross income at the time of delivery, regardless of any restrictions on subsequent transferability or substantial risks of forfeiture. As the value of the Common Stock for federal income tax purposes is determined as of the date it is included in the participant’s gross income, such an election may be worthwhile if significant appreciation is expected between the date of grant and the date the restrictions expire or are eliminated and if the participant is confident that application of the restrictions will not cause the Common Stock to be forfeited.</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u w:val="single" w:color="auto"/>
          <w:color w:val="auto"/>
        </w:rPr>
        <w:t>Performance Shares and Performance Units</w:t>
      </w:r>
      <w:r>
        <w:rPr>
          <w:rFonts w:ascii="Times New Roman" w:cs="Times New Roman" w:eastAsia="Times New Roman" w:hAnsi="Times New Roman"/>
          <w:sz w:val="14"/>
          <w:szCs w:val="14"/>
          <w:color w:val="auto"/>
        </w:rPr>
        <w:t>. A participant who receives Performance Shares or Performance Units will not recognize any income for federal income tax purposes on the date of the grant of the award. The participant will recognize ordinary income for federal income tax purposes at the time of the receipt of the cash and/or Common Stock with respect to the Award in an amount equal to the sum of (i) the amount of cash received, plus (ii) the excess, if any, of the fair market value of the Common Stock on the date received over the participant’s cost of such Award, if any.</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u w:val="single" w:color="auto"/>
          <w:color w:val="auto"/>
        </w:rPr>
        <w:t>Disposition of Common Stock</w:t>
      </w:r>
      <w:r>
        <w:rPr>
          <w:rFonts w:ascii="Times New Roman" w:cs="Times New Roman" w:eastAsia="Times New Roman" w:hAnsi="Times New Roman"/>
          <w:sz w:val="14"/>
          <w:szCs w:val="14"/>
          <w:color w:val="auto"/>
        </w:rPr>
        <w:t>. If a participant disposes of shares of the Company’s Common Stock received under an award in a taxable transaction, the participant will recognize capital gain or loss in an amount equal to the difference between his basis (generally, the amount included as ordinary income pursuant to the award and the amount, if any, paid for such Common Stock) in the shares sold and the total amount realized upon the disposition. Any such capital gain or loss will be long term so long as the shares of the Company’s Common Stock were held for more than one year from the date such shares were granted to the participant.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Cash Incentives</w:t>
      </w:r>
      <w:r>
        <w:rPr>
          <w:rFonts w:ascii="Times New Roman" w:cs="Times New Roman" w:eastAsia="Times New Roman" w:hAnsi="Times New Roman"/>
          <w:sz w:val="14"/>
          <w:szCs w:val="14"/>
          <w:color w:val="auto"/>
        </w:rPr>
        <w:t>. Cash Incentives generally are included in the gross income of the participant at the time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color w:val="auto"/>
        </w:rPr>
        <w:t>Consequences to the Company</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At the time the participant recognizes ordinary income upon the receipt of an “Other Award” under the Amended Plan, the Company generally will be entitled to a federal income tax deduction in the amount of the ordinary income so recognized (as described above), provided that the Company timely reports to the Internal Revenue Service the ordinary income recognized by the participant pursuant to the award. Any dividends paid on restricted stock (prior to the earlier of (i) the date the restrictions lapse or (ii) the date a Section 83(b) election is made) will be deductible by the Company as a compensation expense.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Tax Consequences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foregoing discussion is not a complete description of the federal income tax aspects of awards made under the Amended Plan. In addition, administrative and judicial interpretations of the application of the federal income tax laws are subject to change. Furthermore, the foregoing discussion does not address state or local tax consequences, nor does it address the rules applicable to “non-qualified deferred compensation” as defined under Section 409A of the Code.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Israeli Tax Treatment</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following is a summary of the Israeli income tax consequences of certain transactions under the Amended Plan with regard to the granting of awards to Israeli participants. It is general and does not purport to be comprehensive.</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Generally, the Amended Plan provides for the granting of awards to employees, directors and consultants under either Section 102 or Section 3(i) of the ITO. The awards granted under the Amended Plan to employees and office holders, who are not controlling shareholders (as defined in the ITO) may be granted under the “capital gains tax route” under Section 102 of the ITO (the “Capital Gains Tax Route”) subject to applicable requirements. Awards granted to participants in the Amended Plan who are not eligible to receive awards under the Capital Gains Tax Route, including consultants, service providers and controlling shareholders, are generally subject to Section 3(i) of the ITO.</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Capital Gains Tax Route generally provides for a reduced tax rate of 25% (excluding Surtax, if applicable) on gains realized upon the sale of the Award’s underlying shares (or release of such underlying shares from trust), subject to the fulfillment of certain procedures and conditions including the deposit of such Awards (or shares issued upon their exercise or shares in case that a restricted stock was granted) for a requisite period of time with a trustee approved by the Israeli Tax Authority (currently, 24 months from the date of grant).</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Notwithstanding the above, in any event where the exercise price of the underlying shares subject to the Awards is less than the fair market value of the underlying shares at the time of grant of the Awards (calculated as the average value of a company’s shares on the 30 trading days preceding the date of grant), such amount will be deemed ordinary income of the Award holder, taxed at the applicable marginal tax rate (up to 47% in 2026, excluding Surtax, if applicable) together with health insurance and social security insurance payments, on the earlier of: (i) the date of sale of the underlying shares; or (ii) the date of the release of such underlying shares from trust (whether to the Award holder or to a third party).</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the event the requirements of Section 102 of the ITO for the allocation of Awards according to the Capital Gains Tax Route are not met, the benefit attributed to the Award holder as a result of the grant of such Awards will be taxed as ordinary income at applicable marginal tax rates (together with health insurance and social security insurance payments). For as long as the Award holder is not the record owner of the restricted stock or the shares issued upon exercise of Awards, such Award holder shall have none of the rights of a stockholder with respect to such shares.</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Under the Capital Gains Tax Route, a company, or its Israeli subsidiary, as the case may be, is generally not entitled to recognize a deduction for Israeli tax purposes on the gain recognized by the Award holder upon sale of the shares underlying the Awards (except for such amount that will be deemed ordinary income of the Award holder as explained above).</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Israeli subsidiary of the Company will be required to withhold applicable tax (and social security and national health insurance charges, if applicable) at source on behalf of the Award holder, subject to applicable law.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Restrictions on Resale</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With regard to officers or directors of the Company, neither the grant of an Option, nor the acquisition of shares of Common Stock upon the “in-the-money” or “at-the-money” exercise of an Option will be considered a “purchase” under the Section 16 of the Exchange Act and will not be matched with sales of shares of Common Stock occurring within six months of the grant of the Option so long as the Option was granted by the full Board of Directors of the Company or by a committee composed solely of two or more “Non-Employee” directors. In the case of an individual who is the direct or indirect beneficial owner of more than 10% of the Common Stock, the grant will not be matched with a sale only if the shares of Common Stock acquired by the exercise of the Option are not sold within 6 months of the date the Option is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16470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color w:val="auto"/>
        </w:rPr>
        <w:t>Aggregate Awards Granted</w:t>
      </w:r>
    </w:p>
    <w:p>
      <w:pPr>
        <w:spacing w:after="0" w:line="1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following table sets forth information with respect to the number of shares subject to outstanding awards previously granted to the following listed individuals and specified groups under the Current Plan since its inception through October 15, 2026:</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Number of Shares Underlying</w:t>
            </w:r>
          </w:p>
        </w:tc>
      </w:tr>
      <w:tr>
        <w:trPr>
          <w:trHeight w:val="182"/>
        </w:trPr>
        <w:tc>
          <w:tcPr>
            <w:tcW w:w="9260" w:type="dxa"/>
            <w:vAlign w:val="bottom"/>
            <w:gridSpan w:val="2"/>
          </w:tcPr>
          <w:p>
            <w:pPr>
              <w:ind w:left="3960"/>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202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156"/>
        </w:trPr>
        <w:tc>
          <w:tcPr>
            <w:tcW w:w="904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Named Executive Officers:</w:t>
            </w:r>
          </w:p>
        </w:tc>
        <w:tc>
          <w:tcPr>
            <w:tcW w:w="220" w:type="dxa"/>
            <w:vAlign w:val="bottom"/>
            <w:tcBorders>
              <w:top w:val="single" w:sz="8" w:color="CCEEFF"/>
            </w:tcBorders>
            <w:shd w:val="clear" w:color="auto" w:fill="CCEEFF"/>
          </w:tcPr>
          <w:p>
            <w:pPr>
              <w:spacing w:after="0"/>
              <w:rPr>
                <w:sz w:val="13"/>
                <w:szCs w:val="13"/>
                <w:color w:val="auto"/>
              </w:rPr>
            </w:pPr>
          </w:p>
        </w:tc>
        <w:tc>
          <w:tcPr>
            <w:tcW w:w="1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165"/>
        </w:trPr>
        <w:tc>
          <w:tcPr>
            <w:tcW w:w="9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Harel Gadot, </w:t>
            </w:r>
            <w:r>
              <w:rPr>
                <w:rFonts w:ascii="Times New Roman" w:cs="Times New Roman" w:eastAsia="Times New Roman" w:hAnsi="Times New Roman"/>
                <w:sz w:val="14"/>
                <w:szCs w:val="14"/>
                <w:i w:val="1"/>
                <w:iCs w:val="1"/>
                <w:color w:val="auto"/>
              </w:rPr>
              <w:t>CEO, President and Chairman</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1,489,567</w:t>
            </w:r>
          </w:p>
        </w:tc>
        <w:tc>
          <w:tcPr>
            <w:tcW w:w="100" w:type="dxa"/>
            <w:vAlign w:val="bottom"/>
          </w:tcPr>
          <w:p>
            <w:pPr>
              <w:spacing w:after="0"/>
              <w:rPr>
                <w:sz w:val="14"/>
                <w:szCs w:val="14"/>
                <w:color w:val="auto"/>
              </w:rPr>
            </w:pPr>
          </w:p>
        </w:tc>
      </w:tr>
      <w:tr>
        <w:trPr>
          <w:trHeight w:val="165"/>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Rachel Vaknin, </w:t>
            </w:r>
            <w:r>
              <w:rPr>
                <w:rFonts w:ascii="Times New Roman" w:cs="Times New Roman" w:eastAsia="Times New Roman" w:hAnsi="Times New Roman"/>
                <w:sz w:val="14"/>
                <w:szCs w:val="14"/>
                <w:i w:val="1"/>
                <w:iCs w:val="1"/>
                <w:color w:val="auto"/>
              </w:rPr>
              <w:t>Chief Financial Officer</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253,000</w:t>
            </w:r>
          </w:p>
        </w:tc>
        <w:tc>
          <w:tcPr>
            <w:tcW w:w="100" w:type="dxa"/>
            <w:vAlign w:val="bottom"/>
            <w:shd w:val="clear" w:color="auto" w:fill="CCEEFF"/>
          </w:tcPr>
          <w:p>
            <w:pPr>
              <w:spacing w:after="0"/>
              <w:rPr>
                <w:sz w:val="14"/>
                <w:szCs w:val="14"/>
                <w:color w:val="auto"/>
              </w:rPr>
            </w:pPr>
          </w:p>
        </w:tc>
      </w:tr>
      <w:tr>
        <w:trPr>
          <w:trHeight w:val="165"/>
        </w:trPr>
        <w:tc>
          <w:tcPr>
            <w:tcW w:w="9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Simon Sharon, </w:t>
            </w:r>
            <w:r>
              <w:rPr>
                <w:rFonts w:ascii="Times New Roman" w:cs="Times New Roman" w:eastAsia="Times New Roman" w:hAnsi="Times New Roman"/>
                <w:sz w:val="14"/>
                <w:szCs w:val="14"/>
                <w:i w:val="1"/>
                <w:iCs w:val="1"/>
                <w:color w:val="auto"/>
              </w:rPr>
              <w:t>General Manager and CTO</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270,000</w:t>
            </w:r>
          </w:p>
        </w:tc>
        <w:tc>
          <w:tcPr>
            <w:tcW w:w="100" w:type="dxa"/>
            <w:vAlign w:val="bottom"/>
          </w:tcPr>
          <w:p>
            <w:pPr>
              <w:spacing w:after="0"/>
              <w:rPr>
                <w:sz w:val="14"/>
                <w:szCs w:val="14"/>
                <w:color w:val="auto"/>
              </w:rPr>
            </w:pPr>
          </w:p>
        </w:tc>
      </w:tr>
      <w:tr>
        <w:trPr>
          <w:trHeight w:val="165"/>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Juan Diaz-Cartelle, </w:t>
            </w:r>
            <w:r>
              <w:rPr>
                <w:rFonts w:ascii="Times New Roman" w:cs="Times New Roman" w:eastAsia="Times New Roman" w:hAnsi="Times New Roman"/>
                <w:sz w:val="14"/>
                <w:szCs w:val="14"/>
                <w:i w:val="1"/>
                <w:iCs w:val="1"/>
                <w:color w:val="auto"/>
              </w:rPr>
              <w:t>Chief Medical Officer</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shd w:val="clear" w:color="auto" w:fill="CCEEFF"/>
          </w:tcPr>
          <w:p>
            <w:pPr>
              <w:spacing w:after="0"/>
              <w:rPr>
                <w:sz w:val="14"/>
                <w:szCs w:val="14"/>
                <w:color w:val="auto"/>
              </w:rPr>
            </w:pPr>
          </w:p>
        </w:tc>
      </w:tr>
      <w:tr>
        <w:trPr>
          <w:trHeight w:val="165"/>
        </w:trPr>
        <w:tc>
          <w:tcPr>
            <w:tcW w:w="9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All Current Executive Officers as a Group</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2,212,567</w:t>
            </w:r>
          </w:p>
        </w:tc>
        <w:tc>
          <w:tcPr>
            <w:tcW w:w="100" w:type="dxa"/>
            <w:vAlign w:val="bottom"/>
          </w:tcPr>
          <w:p>
            <w:pPr>
              <w:spacing w:after="0"/>
              <w:rPr>
                <w:sz w:val="14"/>
                <w:szCs w:val="14"/>
                <w:color w:val="auto"/>
              </w:rPr>
            </w:pPr>
          </w:p>
        </w:tc>
      </w:tr>
      <w:tr>
        <w:trPr>
          <w:trHeight w:val="165"/>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All Current Directors who are Not Executive Officers as a Group (6 persons)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652,130</w:t>
            </w:r>
          </w:p>
        </w:tc>
        <w:tc>
          <w:tcPr>
            <w:tcW w:w="100" w:type="dxa"/>
            <w:vAlign w:val="bottom"/>
            <w:shd w:val="clear" w:color="auto" w:fill="CCEEFF"/>
          </w:tcPr>
          <w:p>
            <w:pPr>
              <w:spacing w:after="0"/>
              <w:rPr>
                <w:sz w:val="14"/>
                <w:szCs w:val="14"/>
                <w:color w:val="auto"/>
              </w:rPr>
            </w:pPr>
          </w:p>
        </w:tc>
      </w:tr>
      <w:tr>
        <w:trPr>
          <w:trHeight w:val="165"/>
        </w:trPr>
        <w:tc>
          <w:tcPr>
            <w:tcW w:w="9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Each Director and Director Nominee:</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Scott Burell</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124,426</w:t>
            </w:r>
          </w:p>
        </w:tc>
        <w:tc>
          <w:tcPr>
            <w:tcW w:w="100" w:type="dxa"/>
            <w:vAlign w:val="bottom"/>
            <w:shd w:val="clear" w:color="auto" w:fill="CCEEFF"/>
          </w:tcPr>
          <w:p>
            <w:pPr>
              <w:spacing w:after="0"/>
              <w:rPr>
                <w:sz w:val="14"/>
                <w:szCs w:val="14"/>
                <w:color w:val="auto"/>
              </w:rPr>
            </w:pPr>
          </w:p>
        </w:tc>
      </w:tr>
      <w:tr>
        <w:trPr>
          <w:trHeight w:val="165"/>
        </w:trPr>
        <w:tc>
          <w:tcPr>
            <w:tcW w:w="9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Martin Madden</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124,426</w:t>
            </w:r>
          </w:p>
        </w:tc>
        <w:tc>
          <w:tcPr>
            <w:tcW w:w="100" w:type="dxa"/>
            <w:vAlign w:val="bottom"/>
          </w:tcPr>
          <w:p>
            <w:pPr>
              <w:spacing w:after="0"/>
              <w:rPr>
                <w:sz w:val="14"/>
                <w:szCs w:val="14"/>
                <w:color w:val="auto"/>
              </w:rPr>
            </w:pPr>
          </w:p>
        </w:tc>
      </w:tr>
      <w:tr>
        <w:trPr>
          <w:trHeight w:val="165"/>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Prattipati Laxminarain</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124,426</w:t>
            </w:r>
          </w:p>
        </w:tc>
        <w:tc>
          <w:tcPr>
            <w:tcW w:w="100" w:type="dxa"/>
            <w:vAlign w:val="bottom"/>
            <w:shd w:val="clear" w:color="auto" w:fill="CCEEFF"/>
          </w:tcPr>
          <w:p>
            <w:pPr>
              <w:spacing w:after="0"/>
              <w:rPr>
                <w:sz w:val="14"/>
                <w:szCs w:val="14"/>
                <w:color w:val="auto"/>
              </w:rPr>
            </w:pPr>
          </w:p>
        </w:tc>
      </w:tr>
      <w:tr>
        <w:trPr>
          <w:trHeight w:val="165"/>
        </w:trPr>
        <w:tc>
          <w:tcPr>
            <w:tcW w:w="9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Aileen Stockburger</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124,426</w:t>
            </w:r>
          </w:p>
        </w:tc>
        <w:tc>
          <w:tcPr>
            <w:tcW w:w="100" w:type="dxa"/>
            <w:vAlign w:val="bottom"/>
          </w:tcPr>
          <w:p>
            <w:pPr>
              <w:spacing w:after="0"/>
              <w:rPr>
                <w:sz w:val="14"/>
                <w:szCs w:val="14"/>
                <w:color w:val="auto"/>
              </w:rPr>
            </w:pPr>
          </w:p>
        </w:tc>
      </w:tr>
      <w:tr>
        <w:trPr>
          <w:trHeight w:val="165"/>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Tal Wenderow</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124,426</w:t>
            </w:r>
          </w:p>
        </w:tc>
        <w:tc>
          <w:tcPr>
            <w:tcW w:w="100" w:type="dxa"/>
            <w:vAlign w:val="bottom"/>
            <w:shd w:val="clear" w:color="auto" w:fill="CCEEFF"/>
          </w:tcPr>
          <w:p>
            <w:pPr>
              <w:spacing w:after="0"/>
              <w:rPr>
                <w:sz w:val="14"/>
                <w:szCs w:val="14"/>
                <w:color w:val="auto"/>
              </w:rPr>
            </w:pPr>
          </w:p>
        </w:tc>
      </w:tr>
      <w:tr>
        <w:trPr>
          <w:trHeight w:val="165"/>
        </w:trPr>
        <w:tc>
          <w:tcPr>
            <w:tcW w:w="9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J. Wilson</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30,000</w:t>
            </w:r>
          </w:p>
        </w:tc>
      </w:tr>
      <w:tr>
        <w:trPr>
          <w:trHeight w:val="165"/>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Each Associate of any of Such Directors, Executive Officer or Nominees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65"/>
        </w:trPr>
        <w:tc>
          <w:tcPr>
            <w:tcW w:w="9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Each Other Person who Received or is to Receive 5 Percent of Such Options, Warrants or Rights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65"/>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All Employees, including all Current Officers who are not Executive Officers, as a Group</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930,051</w:t>
            </w:r>
          </w:p>
        </w:tc>
        <w:tc>
          <w:tcPr>
            <w:tcW w:w="100" w:type="dxa"/>
            <w:vAlign w:val="bottom"/>
            <w:shd w:val="clear" w:color="auto" w:fill="CCEEFF"/>
          </w:tcPr>
          <w:p>
            <w:pPr>
              <w:spacing w:after="0"/>
              <w:rPr>
                <w:sz w:val="14"/>
                <w:szCs w:val="14"/>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 Table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about shares of our common stock that may be issued upon the exercise of options under all of our existing compensation plans as of December 31,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40" w:type="dxa"/>
            <w:vAlign w:val="bottom"/>
          </w:tcPr>
          <w:p>
            <w:pPr>
              <w:spacing w:after="0"/>
              <w:rPr>
                <w:sz w:val="14"/>
                <w:szCs w:val="14"/>
                <w:color w:val="auto"/>
              </w:rPr>
            </w:pPr>
          </w:p>
        </w:tc>
        <w:tc>
          <w:tcPr>
            <w:tcW w:w="2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Number of securities to be</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4740" w:type="dxa"/>
            <w:vAlign w:val="bottom"/>
          </w:tcPr>
          <w:p>
            <w:pPr>
              <w:spacing w:after="0"/>
              <w:rPr>
                <w:sz w:val="14"/>
                <w:szCs w:val="14"/>
                <w:color w:val="auto"/>
              </w:rPr>
            </w:pPr>
          </w:p>
        </w:tc>
        <w:tc>
          <w:tcPr>
            <w:tcW w:w="2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issued upon exercise of</w:t>
            </w:r>
          </w:p>
        </w:tc>
        <w:tc>
          <w:tcPr>
            <w:tcW w:w="160" w:type="dxa"/>
            <w:vAlign w:val="bottom"/>
          </w:tcPr>
          <w:p>
            <w:pPr>
              <w:spacing w:after="0"/>
              <w:rPr>
                <w:sz w:val="14"/>
                <w:szCs w:val="14"/>
                <w:color w:val="auto"/>
              </w:rPr>
            </w:pPr>
          </w:p>
        </w:tc>
        <w:tc>
          <w:tcPr>
            <w:tcW w:w="2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exercise price</w:t>
            </w: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4740" w:type="dxa"/>
            <w:vAlign w:val="bottom"/>
          </w:tcPr>
          <w:p>
            <w:pPr>
              <w:spacing w:after="0"/>
              <w:rPr>
                <w:sz w:val="14"/>
                <w:szCs w:val="14"/>
                <w:color w:val="auto"/>
              </w:rPr>
            </w:pPr>
          </w:p>
        </w:tc>
        <w:tc>
          <w:tcPr>
            <w:tcW w:w="2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outstanding options, warrants</w:t>
            </w:r>
          </w:p>
        </w:tc>
        <w:tc>
          <w:tcPr>
            <w:tcW w:w="160" w:type="dxa"/>
            <w:vAlign w:val="bottom"/>
          </w:tcPr>
          <w:p>
            <w:pPr>
              <w:spacing w:after="0"/>
              <w:rPr>
                <w:sz w:val="14"/>
                <w:szCs w:val="14"/>
                <w:color w:val="auto"/>
              </w:rPr>
            </w:pPr>
          </w:p>
        </w:tc>
        <w:tc>
          <w:tcPr>
            <w:tcW w:w="2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of outstanding options, warrants</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 securities remaining</w:t>
            </w:r>
          </w:p>
        </w:tc>
      </w:tr>
      <w:tr>
        <w:trPr>
          <w:trHeight w:val="182"/>
        </w:trPr>
        <w:tc>
          <w:tcPr>
            <w:tcW w:w="4740" w:type="dxa"/>
            <w:vAlign w:val="bottom"/>
          </w:tcPr>
          <w:p>
            <w:pPr>
              <w:spacing w:after="0"/>
              <w:rPr>
                <w:sz w:val="15"/>
                <w:szCs w:val="15"/>
                <w:color w:val="auto"/>
              </w:rPr>
            </w:pPr>
          </w:p>
        </w:tc>
        <w:tc>
          <w:tcPr>
            <w:tcW w:w="2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and rights</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available for future issuance</w:t>
            </w:r>
          </w:p>
        </w:tc>
      </w:tr>
      <w:tr>
        <w:trPr>
          <w:trHeight w:val="156"/>
        </w:trPr>
        <w:tc>
          <w:tcPr>
            <w:tcW w:w="474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Plan Category</w:t>
            </w:r>
          </w:p>
        </w:tc>
        <w:tc>
          <w:tcPr>
            <w:tcW w:w="19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165"/>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Equity compensation plans approved by security holders:</w:t>
            </w: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2017 Equity Incentive Plan</w:t>
            </w:r>
          </w:p>
        </w:tc>
        <w:tc>
          <w:tcPr>
            <w:tcW w:w="2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467,133</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36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156,585</w:t>
            </w:r>
          </w:p>
        </w:tc>
        <w:tc>
          <w:tcPr>
            <w:tcW w:w="100" w:type="dxa"/>
            <w:vAlign w:val="bottom"/>
            <w:shd w:val="clear" w:color="auto" w:fill="CCEEFF"/>
          </w:tcPr>
          <w:p>
            <w:pPr>
              <w:spacing w:after="0"/>
              <w:rPr>
                <w:sz w:val="14"/>
                <w:szCs w:val="14"/>
                <w:color w:val="auto"/>
              </w:rPr>
            </w:pPr>
          </w:p>
        </w:tc>
      </w:tr>
      <w:tr>
        <w:trPr>
          <w:trHeight w:val="165"/>
        </w:trPr>
        <w:tc>
          <w:tcPr>
            <w:tcW w:w="4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2020 Omnibus Performance Award Plan</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2,624,123</w:t>
            </w:r>
          </w:p>
        </w:tc>
        <w:tc>
          <w:tcPr>
            <w:tcW w:w="180" w:type="dxa"/>
            <w:vAlign w:val="bottom"/>
          </w:tcPr>
          <w:p>
            <w:pPr>
              <w:spacing w:after="0"/>
              <w:rPr>
                <w:sz w:val="14"/>
                <w:szCs w:val="14"/>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3.03</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2,587,548</w:t>
            </w:r>
          </w:p>
        </w:tc>
        <w:tc>
          <w:tcPr>
            <w:tcW w:w="100" w:type="dxa"/>
            <w:vAlign w:val="bottom"/>
          </w:tcPr>
          <w:p>
            <w:pPr>
              <w:spacing w:after="0"/>
              <w:rPr>
                <w:sz w:val="14"/>
                <w:szCs w:val="14"/>
                <w:color w:val="auto"/>
              </w:rPr>
            </w:pPr>
          </w:p>
        </w:tc>
      </w:tr>
      <w:tr>
        <w:trPr>
          <w:trHeight w:val="16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compensation plans not approved by security holders:</w:t>
            </w:r>
          </w:p>
        </w:tc>
        <w:tc>
          <w:tcPr>
            <w:tcW w:w="1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6"/>
        </w:trPr>
        <w:tc>
          <w:tcPr>
            <w:tcW w:w="4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Microbot Israel Employee Stock Option Plan(1)</w:t>
            </w:r>
          </w:p>
        </w:tc>
        <w:tc>
          <w:tcPr>
            <w:tcW w:w="2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14,359</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0.01</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56"/>
        </w:trPr>
        <w:tc>
          <w:tcPr>
            <w:tcW w:w="474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Total</w:t>
            </w:r>
          </w:p>
        </w:tc>
        <w:tc>
          <w:tcPr>
            <w:tcW w:w="19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3,105,615</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9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2,744,133</w:t>
            </w:r>
          </w:p>
        </w:tc>
        <w:tc>
          <w:tcPr>
            <w:tcW w:w="100" w:type="dxa"/>
            <w:vAlign w:val="bottom"/>
            <w:tcBorders>
              <w:top w:val="single" w:sz="8" w:color="CCEEFF"/>
            </w:tcBorders>
            <w:shd w:val="clear" w:color="auto" w:fill="CCEEFF"/>
          </w:tcPr>
          <w:p>
            <w:pPr>
              <w:spacing w:after="0"/>
              <w:rPr>
                <w:sz w:val="13"/>
                <w:szCs w:val="13"/>
                <w:color w:val="auto"/>
              </w:rPr>
            </w:pPr>
          </w:p>
        </w:tc>
      </w:tr>
    </w:tbl>
    <w:p>
      <w:pPr>
        <w:spacing w:after="0" w:line="153" w:lineRule="exact"/>
        <w:rPr>
          <w:sz w:val="20"/>
          <w:szCs w:val="20"/>
          <w:color w:val="auto"/>
        </w:rPr>
      </w:pPr>
    </w:p>
    <w:p>
      <w:pPr>
        <w:ind w:left="260" w:hanging="257"/>
        <w:spacing w:after="0" w:line="312" w:lineRule="auto"/>
        <w:tabs>
          <w:tab w:leader="none" w:pos="2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options were originally issued by Microbot Israel under its Employee Stock Option Plan, and represented the right to purchase an aggregate of 500,000 of Microbot Israel’s ordinary shares. As of the effective time of our combination with Microbot Israel, such options were retroactively adjusted to reflect such combination and now represent the right to purchase shares of our common stock.</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Required Vote</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affirmative vote of the holders of a majority of the votes cast by the stockholders entitled to vote at the Annual Meeting in person or by proxy and voting shall be sufficient for the approval of the Amended Plan.</w:t>
      </w:r>
    </w:p>
    <w:p>
      <w:pPr>
        <w:spacing w:after="0" w:line="1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THE BOARD RECOMMENDS THAT YOU VOTE “FOR” THIS PROPOSAL 3 TO APPROVE AN AMENDMENT TO THE MICROBOT MEDICAL INC. 2020 OMNIBUS PERFORMANCE AWARD PLAN TO INCREASE THE NUMBER OF AUTHORIZED SHARES OF COMMON STOCK RESERVED FOR ISSUANCE BY 1,000,000 SHARES, FROM 5,211,671 TO 6,211,671.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200660</wp:posOffset>
            </wp:positionV>
            <wp:extent cx="716470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4"/>
          <w:szCs w:val="14"/>
          <w:b w:val="1"/>
          <w:bCs w:val="1"/>
          <w:color w:val="auto"/>
        </w:rPr>
        <w:t>PROPOSAL 4: RATIFICATION OF INDEPENDENT REGISTERED ACCOUNTING FIRM</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is asking the stockholders to ratify the selection of Deloitte, or its U.S. affiliate, as the Company’s independent public accountants for the fiscal year ending December 31, 2026. The affirmative vote of the holders of a majority of the votes cast by the stockholders entitled to vote at the Annual Meeting in person or by proxy and voting will be required to ratify the selection of Deloitte or its U.S. affiliate.</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Although our governing documents do not require us to submit this matter to stockholders, the Board of Directors believes that asking stockholders to ratify the appointment of Deloitte, or its U.S. affiliate, is consistent with best practices in corporate governance. In the event the stockholders fail to ratify the appointment, the Audit Committee of the Board of Directors will consider it as a recommendation to select other auditors for the subsequent year, which the Audit Committee would then take under advisement. Even if the selection is ratified, the Audit Committee of the Board at its discretion could decide to terminate the engagement of Deloitte or its U.S. affiliate and engage another firm at any time if the Audit Committee determines that such a change would be necessary or desirable in the best interests of the Company and its stockholders.</w:t>
      </w:r>
    </w:p>
    <w:p>
      <w:pPr>
        <w:spacing w:after="0" w:line="14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We do not anticipate a representative from Deloitte will be present at the Annual Meeting. However, should a representative from Deloitte choose to attend, they will have the opportunity to participate and respond to appropriate questions that may be posed at the Annual Meeting and will have an opportunity to make a statement if he or she so desires.</w:t>
      </w:r>
    </w:p>
    <w:p>
      <w:pPr>
        <w:spacing w:after="0" w:line="12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color w:val="auto"/>
        </w:rPr>
        <w:t>THE BOARD RECOMMENDS THAT YOU VOTE “FOR” THIS PROPOSAL 4 TO RATIFY THE SELECTION OF DELOITTE OR ITS U.S. AFFILIATE AS THE COMPANY’S INDEPENDENT PUBLIC ACCOUNTANTS FOR THE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193675</wp:posOffset>
            </wp:positionV>
            <wp:extent cx="716470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4"/>
          <w:szCs w:val="14"/>
          <w:b w:val="1"/>
          <w:bCs w:val="1"/>
          <w:color w:val="auto"/>
        </w:rPr>
        <w:t>OTHER MATTERS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Shareholder Proposals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Shareholders who wish to present proposals for inclusion in the Company’s proxy materials for the 2027 Annual Meeting of Shareholders may do so by following the procedures prescribed in Rule 14a-8 under the Exchange Act. To be eligible, the Shareholder proposals must be received by our corporate secretary on or before July 5, 2027.</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Shareholders who wish to make a proposal at the 2027 Annual Meeting of Shareholders, other than one that will be included in our proxy materials, must notify us in a timely manner, but no later than September 18, 2027. If a Shareholder who wishes to present a proposal at the 2027 Annual Meeting of Shareholders fails to notify us by September 18, 2027, the proxies that management solicits for the meeting will confer discretionary authority to vote on the Shareholder’s proposal if it is properly brought before the meeting.</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addition, to comply with the universal proxy rules, shareholders who intend to solicit proxies in support of director nominees other than the Company’s nominees must provide notice that sets forth information required by Rule 14a-19 under the Exchange Act no later than October 15, 2027.</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Shareholder Nominations of Directors</w:t>
      </w:r>
    </w:p>
    <w:p>
      <w:pPr>
        <w:spacing w:after="0" w:line="1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 shareholder entitled to vote for the election of directors at a meeting may nominate persons for election as directors by giving timely notice thereof in proper written form to the secretary accompanied by a petition signed by at least 100 record holders of capital stock of the Company which shows the class and number of shares held by each person and which represent in the aggregate 1% or more of the outstanding shares entitled to vote in the election of directors. The submission must be in writing and delivered to Microbot Medical Inc., Attn: Secretary, Board of Directors, 175 Derby Street, Bld. 27, Hingham, MA 02043, in accordance with the advance notice procedures and other requirements set forth in Section 3.2 of our bylaws for nominees to be considered for nomination at the 2027 annual meeting. To be timely, such notice and petition must be received at the principal executive offices of the Company not less than 60 days nor more than 90 days prior to the meeting, except if less than 70 days notice of the date of the meeting is given to Shareholders, in which case the notice and petition must be received not later than the close of business on the tenth day following the day on which notice of the date of the meeting was mailed or public disclosure of such date was made. These requirements are separate from, and in addition to, the requirements discussed above to have the shareholder nomination or other proposals included in our proxy statement and form of proxy/voting instruction card pursuant to the SEC’s rules. Submissions must include the name, address and number of shares of common stock beneficially owned by each participant in the Nominating Shareholder group, a representation that the Nominating Shareholder meets the requirements described in the Board policy and will continue to meet them through the date of the annual meeting, a description of all arrangements or understandings between or among the Nominating Shareholder group (or any participant in the Nominating Shareholder group) and the candidate or any other person or entity regarding the candidate, all information regarding the candidate that the Company would be required to disclose in a proxy statement under SEC rules, including whether the candidate is independent or, if not, a description of the reasons why not, the consent of the candidate to serve as a director, and representations by the candidate regarding his or her performance of the duties of a director. Full details may be obtained from the secretary of the Board at the address above. The Corporate Governance Committee will consider and evaluate up to two candidates recommended in accordance with this policy in connection with any annual meeting. The Corporate Governance Committee will consider and evaluate candidates recommended by Shareholders on the same basis as candidates recommended by other sources.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Form 10-K</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Company’s Annual Report on Form 10-K for the fiscal year ended December 31, 2025, as filed with the SEC, is available without charge upon request by writing to Microbot Medical Inc. at 175 Derby Street, Bld. 27, Hingham, MA 02043, Attention: Investor Relations. A copy of this report is also available through our website at www.microbotmedical.com or, alternatively, at www.sec.gov.</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“Householding” of Proxy Materials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Some banks, brokers and other nominee record holders may be participating in the practice of “householding” proxy statements and annual reports. This means that only one copy of our proxy statement and annual report, or the notice of Internet availability of the proxy statement, to shareholders may have been sent to multiple shareholders in your household. The Company will promptly deliver a separate copy of either document to you if you contact the Secretary at the following address or telephone number: Microbot Medical Inc., 175 Derby Street, Bld. 27, Hingham, MA 02043; telephone:</w:t>
      </w:r>
    </w:p>
    <w:p>
      <w:pPr>
        <w:spacing w:after="0" w:line="1" w:lineRule="exact"/>
        <w:rPr>
          <w:sz w:val="20"/>
          <w:szCs w:val="20"/>
          <w:color w:val="auto"/>
        </w:rPr>
      </w:pPr>
    </w:p>
    <w:p>
      <w:pPr>
        <w:jc w:val="both"/>
        <w:ind w:firstLine="3"/>
        <w:spacing w:after="0" w:line="248" w:lineRule="auto"/>
        <w:tabs>
          <w:tab w:leader="none" w:pos="335"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875-3605. In addition, copies of both documents may be obtained from our website (www.microbotmedical.com, click on the button “Investors” and then “Presentation + Resources”). You may also request information from Sodali &amp; Co. LLC, our proxy solicitor, at the following address and telephone number: Sodali &amp; Co. LLC, 333 Ludlow Street, 5th Floor, South Tower, Stamford, CT 06902; Stockholders call toll free: 800-662-5200; MBOT@investor.sodali.com. If you want to receive separate copies of the proxy statement, annual report or notice of Internet availability to shareholders in the future, or if you are receiving multiple copies and would like to receive only one copy per household, you should contact your bank, broker or other nominee record holder, or you may contact the Company at the above address or telephone number.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Business</w:t>
      </w:r>
    </w:p>
    <w:p>
      <w:pPr>
        <w:spacing w:after="0" w:line="1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Board knows of no business that will come before the meeting for action except as described in the accompanying Notice of Meeting. However, as to any such business, the persons designated as proxies will have authority to act in their discretion.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order of the Board of Directors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Harel Gadot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716470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2" w:name="page33"/>
    <w:bookmarkEnd w:id="32"/>
    <w:p>
      <w:pPr>
        <w:ind w:left="10560"/>
        <w:spacing w:after="0"/>
        <w:rPr>
          <w:sz w:val="20"/>
          <w:szCs w:val="20"/>
          <w:color w:val="auto"/>
        </w:rPr>
      </w:pPr>
      <w:r>
        <w:rPr>
          <w:rFonts w:ascii="Times New Roman" w:cs="Times New Roman" w:eastAsia="Times New Roman" w:hAnsi="Times New Roman"/>
          <w:sz w:val="13"/>
          <w:szCs w:val="13"/>
          <w:b w:val="1"/>
          <w:bCs w:val="1"/>
          <w:color w:val="auto"/>
        </w:rPr>
        <w:t>EXHIBIT 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MICROBOT MEDICAL INC.</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2020 OMNIBUS PERFORMANCE AWARD PLAN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AMENDED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INTRODUCTION</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Microbot Medical Inc., a Delaware corporation (hereinafter referred to as the “Corporation”), hereby establishes an incentive compensation plan to be known as the “</w:t>
      </w:r>
      <w:r>
        <w:rPr>
          <w:rFonts w:ascii="Times New Roman" w:cs="Times New Roman" w:eastAsia="Times New Roman" w:hAnsi="Times New Roman"/>
          <w:sz w:val="14"/>
          <w:szCs w:val="14"/>
          <w:b w:val="1"/>
          <w:bCs w:val="1"/>
          <w:color w:val="auto"/>
        </w:rPr>
        <w:t>Microbot Medical Inc. 2020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Omnibus Performance Award Plan</w:t>
      </w:r>
      <w:r>
        <w:rPr>
          <w:rFonts w:ascii="Times New Roman" w:cs="Times New Roman" w:eastAsia="Times New Roman" w:hAnsi="Times New Roman"/>
          <w:sz w:val="14"/>
          <w:szCs w:val="14"/>
          <w:color w:val="auto"/>
        </w:rPr>
        <w:t>” (hereinafter referred to as the “Plan”), as set forth in this document. The Plan permits the grant of Cash Incentives, Non-Qualified Stock Options, Incentive Stock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Options, Stock Appreciation Rights, shares of Restricted Stock, Restricted Stock Units, Performance Units and Performance Shares.</w:t>
      </w:r>
    </w:p>
    <w:p>
      <w:pPr>
        <w:spacing w:after="0" w:line="13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Plan shall become effective on July 17, 2020. However, it shall be rendered null and void and have no effect, and all Plan Awards granted hereunder shall be cancelled, if the Plan is not approved by a majority vote of the Corporation’s stockholders within 12 months of the date the Plan is adopted by the Corporation’s Board of Directors.</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purpose of the Plan is to promote the success and enhance the value of the Corporation by linking the personal interests of Participants to those of the Corporation’s stockholders by providing Participants with an incentive for outstanding performance. The Plan is further intended to assist the Corporation in its ability to motivate, and retain the services of, Participants upon whose judgment, interest and special effort the successful conduct of its and its subsidiaries’ operations is largely dependent.</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Plan also provides pay systems that support the Corporation’s business strategy and emphasizes pay-for-performance by tying reward opportunities to carefully determined and articulated performance goals at corporate, operating unit, business unit and/or individual levels.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purposes of the Plan, the following terms shall be defined as follows unless the context clearly indicates otherwise:</w:t>
      </w:r>
    </w:p>
    <w:p>
      <w:pPr>
        <w:spacing w:after="0" w:line="170" w:lineRule="exact"/>
        <w:rPr>
          <w:sz w:val="20"/>
          <w:szCs w:val="20"/>
          <w:color w:val="auto"/>
        </w:rPr>
      </w:pPr>
    </w:p>
    <w:p>
      <w:pPr>
        <w:jc w:val="both"/>
        <w:ind w:firstLine="251"/>
        <w:spacing w:after="0" w:line="259" w:lineRule="auto"/>
        <w:tabs>
          <w:tab w:leader="none" w:pos="43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shall mean, as it relates to any limitations or requirements with respect to Incentive Stock Options, any Subsidiary or Parent of the Corporation. Affiliate otherwise means any entity that is part of a controlled group of corporations or limited liability entities or is under common control with the Corporation within the meaning of Code Sections 1563(a), 414(b) or 414(c), except that, in making any such determination, 50% shall be substituted for 80% under such Code Sections and the related regulations.</w:t>
      </w:r>
    </w:p>
    <w:p>
      <w:pPr>
        <w:spacing w:after="0" w:line="140" w:lineRule="exact"/>
        <w:rPr>
          <w:rFonts w:ascii="Times New Roman" w:cs="Times New Roman" w:eastAsia="Times New Roman" w:hAnsi="Times New Roman"/>
          <w:sz w:val="14"/>
          <w:szCs w:val="14"/>
          <w:color w:val="auto"/>
        </w:rPr>
      </w:pPr>
    </w:p>
    <w:p>
      <w:pPr>
        <w:ind w:firstLine="251"/>
        <w:spacing w:after="0" w:line="272" w:lineRule="auto"/>
        <w:tabs>
          <w:tab w:leader="none" w:pos="443"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“Applicable Law</w:t>
      </w:r>
      <w:r>
        <w:rPr>
          <w:rFonts w:ascii="Times New Roman" w:cs="Times New Roman" w:eastAsia="Times New Roman" w:hAnsi="Times New Roman"/>
          <w:sz w:val="14"/>
          <w:szCs w:val="14"/>
          <w:color w:val="auto"/>
        </w:rPr>
        <w:t>” shall mean the applicable provisions of the Code, the Securities Act, the Exchange Act and any other federal, state or foreign corporate, securities or tax or other laws, rules, requirements or regulations, the rules of any national securities exchange or automated quotation system on which the shares of Common Stock are listed, quoted or traded and any other applicable law.</w:t>
      </w:r>
    </w:p>
    <w:p>
      <w:pPr>
        <w:spacing w:after="0" w:line="131" w:lineRule="exact"/>
        <w:rPr>
          <w:rFonts w:ascii="Times New Roman" w:cs="Times New Roman" w:eastAsia="Times New Roman" w:hAnsi="Times New Roman"/>
          <w:sz w:val="14"/>
          <w:szCs w:val="14"/>
          <w:color w:val="auto"/>
        </w:rPr>
      </w:pPr>
    </w:p>
    <w:p>
      <w:pPr>
        <w:ind w:firstLine="251"/>
        <w:spacing w:after="0" w:line="272" w:lineRule="auto"/>
        <w:tabs>
          <w:tab w:leader="none" w:pos="43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“Award Agreement</w:t>
      </w:r>
      <w:r>
        <w:rPr>
          <w:rFonts w:ascii="Times New Roman" w:cs="Times New Roman" w:eastAsia="Times New Roman" w:hAnsi="Times New Roman"/>
          <w:sz w:val="14"/>
          <w:szCs w:val="14"/>
          <w:color w:val="auto"/>
        </w:rPr>
        <w:t>” shall mean the written agreement, executed by an appropriate officer of the Corporation and a Participant, pursuant to which a Plan Award is granted and containing the terms and conditions of the Plan Award.</w:t>
      </w:r>
    </w:p>
    <w:p>
      <w:pPr>
        <w:spacing w:after="0" w:line="131" w:lineRule="exact"/>
        <w:rPr>
          <w:rFonts w:ascii="Times New Roman" w:cs="Times New Roman" w:eastAsia="Times New Roman" w:hAnsi="Times New Roman"/>
          <w:sz w:val="14"/>
          <w:szCs w:val="14"/>
          <w:color w:val="auto"/>
        </w:rPr>
      </w:pPr>
    </w:p>
    <w:p>
      <w:pPr>
        <w:ind w:left="440" w:hanging="189"/>
        <w:spacing w:after="0"/>
        <w:tabs>
          <w:tab w:leader="none" w:pos="4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shall mean the Board of Directors of the Corporation.</w:t>
      </w:r>
    </w:p>
    <w:p>
      <w:pPr>
        <w:spacing w:after="0" w:line="169" w:lineRule="exact"/>
        <w:rPr>
          <w:rFonts w:ascii="Times New Roman" w:cs="Times New Roman" w:eastAsia="Times New Roman" w:hAnsi="Times New Roman"/>
          <w:sz w:val="14"/>
          <w:szCs w:val="14"/>
          <w:color w:val="auto"/>
        </w:rPr>
      </w:pPr>
    </w:p>
    <w:p>
      <w:pPr>
        <w:ind w:firstLine="251"/>
        <w:spacing w:after="0" w:line="272" w:lineRule="auto"/>
        <w:tabs>
          <w:tab w:leader="none" w:pos="44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“Cash Incentives</w:t>
      </w:r>
      <w:r>
        <w:rPr>
          <w:rFonts w:ascii="Times New Roman" w:cs="Times New Roman" w:eastAsia="Times New Roman" w:hAnsi="Times New Roman"/>
          <w:sz w:val="14"/>
          <w:szCs w:val="14"/>
          <w:color w:val="auto"/>
        </w:rPr>
        <w:t>” shall mean a Plan Award granting to the Participant the right to receive a certain amount of cash in the future subject to the satisfaction of certain time-vesting requirements and/or the attainment of one or more annual or multi-year performance goals and targets, all as described in Article IX, below.</w:t>
      </w:r>
    </w:p>
    <w:p>
      <w:pPr>
        <w:spacing w:after="0" w:line="131" w:lineRule="exact"/>
        <w:rPr>
          <w:rFonts w:ascii="Times New Roman" w:cs="Times New Roman" w:eastAsia="Times New Roman" w:hAnsi="Times New Roman"/>
          <w:sz w:val="14"/>
          <w:szCs w:val="14"/>
          <w:color w:val="auto"/>
        </w:rPr>
      </w:pPr>
    </w:p>
    <w:p>
      <w:pPr>
        <w:jc w:val="both"/>
        <w:ind w:firstLine="251"/>
        <w:spacing w:after="0" w:line="250" w:lineRule="auto"/>
        <w:tabs>
          <w:tab w:leader="none" w:pos="4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“Cause</w:t>
      </w:r>
      <w:r>
        <w:rPr>
          <w:rFonts w:ascii="Times New Roman" w:cs="Times New Roman" w:eastAsia="Times New Roman" w:hAnsi="Times New Roman"/>
          <w:sz w:val="14"/>
          <w:szCs w:val="14"/>
          <w:color w:val="auto"/>
        </w:rPr>
        <w:t>” shall, with respect to a Participant (i) have the same meaning as “cause” or “for cause” set forth in an employment, consulting, advisory or similar contract entered into by and between the Participant and the Corporation or any Affiliate or, in the absence of any such contract or defined terms, (ii) mean (A) the Participant’s willful or gross misconduct or willful or gross negligence in the performance of his duties for the Corporation or for any Affiliate, (B) the Participant’s intentional or habitual neglect of his duties for the Corporation or for any Affiliate, (C) the Participant’s (1) theft or misappropriation of funds or other property of the Corporation or of any Affiliate, (2) fraud, (3) criminal misconduct, (4) breach of fiduciary duty or dishonesty in the performance of his duties on behalf of the Corporation or any Affiliate, (5) commission of a felony, or crime of moral turpitude or (6) any other conduct reflecting adversely upon the Corporation or any Affiliate, (D) the Participant’s violation of any covenant not to compete, not to disclose confidential information or similar restriction with respect to the Corporation or any Affiliate or (E) the direct or indirect breach by the Participant of the terms of any employment, consulting, advisory or similar contract with the Corporation or any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207645</wp:posOffset>
            </wp:positionV>
            <wp:extent cx="716470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3" w:name="page34"/>
    <w:bookmarkEnd w:id="33"/>
    <w:p>
      <w:pPr>
        <w:ind w:left="440" w:hanging="189"/>
        <w:spacing w:after="0"/>
        <w:tabs>
          <w:tab w:leader="none" w:pos="4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 in Control of the Corporation</w:t>
      </w:r>
      <w:r>
        <w:rPr>
          <w:rFonts w:ascii="Times New Roman" w:cs="Times New Roman" w:eastAsia="Times New Roman" w:hAnsi="Times New Roman"/>
          <w:sz w:val="14"/>
          <w:szCs w:val="14"/>
          <w:color w:val="auto"/>
        </w:rPr>
        <w:t>” As used herein, a “Change in Control of the Corporation” shall be deemed to have occurred if:</w:t>
      </w:r>
    </w:p>
    <w:p>
      <w:pPr>
        <w:spacing w:after="0" w:line="169" w:lineRule="exact"/>
        <w:rPr>
          <w:rFonts w:ascii="Times New Roman" w:cs="Times New Roman" w:eastAsia="Times New Roman" w:hAnsi="Times New Roman"/>
          <w:sz w:val="14"/>
          <w:szCs w:val="14"/>
          <w:color w:val="auto"/>
        </w:rPr>
      </w:pPr>
    </w:p>
    <w:p>
      <w:pPr>
        <w:jc w:val="both"/>
        <w:ind w:firstLine="499"/>
        <w:spacing w:after="0" w:line="250" w:lineRule="auto"/>
        <w:tabs>
          <w:tab w:leader="none" w:pos="685"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(including any individual, firm, partnership or other entity) together with all Affiliates and Associates (as defined under Rule 12b-2 of the General Rules and Regulations promulgated under the Securities Exchange Act of 1934, as amended (the “</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xml:space="preserve">”)) of such person, </w:t>
      </w:r>
      <w:r>
        <w:rPr>
          <w:rFonts w:ascii="Times New Roman" w:cs="Times New Roman" w:eastAsia="Times New Roman" w:hAnsi="Times New Roman"/>
          <w:sz w:val="14"/>
          <w:szCs w:val="14"/>
          <w:u w:val="single" w:color="auto"/>
          <w:color w:val="auto"/>
        </w:rPr>
        <w:t>but excluding</w:t>
      </w:r>
      <w:r>
        <w:rPr>
          <w:rFonts w:ascii="Times New Roman" w:cs="Times New Roman" w:eastAsia="Times New Roman" w:hAnsi="Times New Roman"/>
          <w:sz w:val="14"/>
          <w:szCs w:val="14"/>
          <w:color w:val="auto"/>
        </w:rPr>
        <w:t xml:space="preserve"> (A) a trustee or other fiduciary holding securities under an employee benefit plan of the Corporation or any subsidiary of the Corporation, (B) a corporation owned, directly or indirectly, by the equity holders of the Corporation in substantially the same proportions as their ownership of the Corporation, (C) the Corporation or any subsidiary of the Corporation, (D) any person who is an equity holder of the Corporation on the Effective Date of the Plan, (E) the spouse, children, brother, sisters, nephews, nieces or estate (or a trust or trusts benefiting any one or more of such persons) of any person who is an equity holder of the Corporation on the Effective Date of the Plan, (F) a Participant or (G) the spouse, children or estate (or a trust or trusts benefiting any one or more of such persons) of a Participant, first becomes the Beneficial Owner (as defined in Rule 13d-3 promulgated under the Exchange Act), directly or indirectly, of securities of the Corporation representing more than 50% of the combined voting power of the Corporation’s then outstanding securities;</w:t>
      </w:r>
    </w:p>
    <w:p>
      <w:pPr>
        <w:spacing w:after="0" w:line="148" w:lineRule="exact"/>
        <w:rPr>
          <w:rFonts w:ascii="Times New Roman" w:cs="Times New Roman" w:eastAsia="Times New Roman" w:hAnsi="Times New Roman"/>
          <w:sz w:val="14"/>
          <w:szCs w:val="14"/>
          <w:color w:val="auto"/>
        </w:rPr>
      </w:pPr>
    </w:p>
    <w:p>
      <w:pPr>
        <w:jc w:val="both"/>
        <w:ind w:firstLine="499"/>
        <w:spacing w:after="0" w:line="259" w:lineRule="auto"/>
        <w:tabs>
          <w:tab w:leader="none" w:pos="70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consummation of a merger or consolidation of the Corporation with any </w:t>
      </w:r>
      <w:r>
        <w:rPr>
          <w:rFonts w:ascii="Times New Roman" w:cs="Times New Roman" w:eastAsia="Times New Roman" w:hAnsi="Times New Roman"/>
          <w:sz w:val="14"/>
          <w:szCs w:val="14"/>
          <w:u w:val="single" w:color="auto"/>
          <w:color w:val="auto"/>
        </w:rPr>
        <w:t>other</w:t>
      </w:r>
      <w:r>
        <w:rPr>
          <w:rFonts w:ascii="Times New Roman" w:cs="Times New Roman" w:eastAsia="Times New Roman" w:hAnsi="Times New Roman"/>
          <w:sz w:val="14"/>
          <w:szCs w:val="14"/>
          <w:color w:val="auto"/>
        </w:rPr>
        <w:t xml:space="preserve"> corporation, other than a merger or consolidation that would result in the voting securities of the Corporation outstanding immediately prior thereto continuing to represent (either by remaining outstanding or by being converted into voting securities of the surviving entity) 50% or more of the combined voting power of the voting securities of the Corporation or such surviving entity outstanding immediately after such merger or consolidation;</w:t>
      </w:r>
    </w:p>
    <w:p>
      <w:pPr>
        <w:spacing w:after="0" w:line="140" w:lineRule="exact"/>
        <w:rPr>
          <w:rFonts w:ascii="Times New Roman" w:cs="Times New Roman" w:eastAsia="Times New Roman" w:hAnsi="Times New Roman"/>
          <w:sz w:val="14"/>
          <w:szCs w:val="14"/>
          <w:color w:val="auto"/>
        </w:rPr>
      </w:pPr>
    </w:p>
    <w:p>
      <w:pPr>
        <w:ind w:firstLine="499"/>
        <w:spacing w:after="0" w:line="272" w:lineRule="auto"/>
        <w:tabs>
          <w:tab w:leader="none" w:pos="74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consummation of a plan of complete liquidation of the Corporation or an agreement for the sale or disposition by the Corporation of all or substantially all of the Corporation’s assets to a person or persons totally unrelated to any Participant or any equity holder of the Corporation (or to any Affiliates and Associates of any such Participant or equity holder).</w:t>
      </w:r>
    </w:p>
    <w:p>
      <w:pPr>
        <w:spacing w:after="0" w:line="131" w:lineRule="exact"/>
        <w:rPr>
          <w:rFonts w:ascii="Times New Roman" w:cs="Times New Roman" w:eastAsia="Times New Roman" w:hAnsi="Times New Roman"/>
          <w:sz w:val="14"/>
          <w:szCs w:val="14"/>
          <w:color w:val="auto"/>
        </w:rPr>
      </w:pPr>
    </w:p>
    <w:p>
      <w:pPr>
        <w:ind w:firstLine="499"/>
        <w:spacing w:after="0" w:line="272" w:lineRule="auto"/>
        <w:tabs>
          <w:tab w:leader="none" w:pos="736"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majority of the members of the Corporation’s Board of Directors is replaced, during any 12-month period, by directors whose appointment or election is not endorsed by a majority of the members of the Board of Directors before the date of such appointment or election.</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Notwithstanding the foregoing, with respect to Plan Awards constituting “non-qualified deferred compensation” pursuant to the provisions of Code Section 409A and the regulations promulgated thereunder, the term “Change in Control of the Corporation” shall be limited, if necessary, to satisfy the requirements set forth under forth Treas. Reg. §1.409A-3(i)(5). In no instance shall an Initial or Secondary Public Offering of the Corporation’s Common Stock be deemed to constitute a Change in Control of the Corporation.</w:t>
      </w:r>
    </w:p>
    <w:p>
      <w:pPr>
        <w:spacing w:after="0" w:line="140" w:lineRule="exact"/>
        <w:rPr>
          <w:sz w:val="20"/>
          <w:szCs w:val="20"/>
          <w:color w:val="auto"/>
        </w:rPr>
      </w:pPr>
    </w:p>
    <w:p>
      <w:pPr>
        <w:ind w:left="440" w:hanging="189"/>
        <w:spacing w:after="0"/>
        <w:tabs>
          <w:tab w:leader="none" w:pos="4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shall mean the Internal Revenue Code of 1986, as amended, and the rules and regulations thereunder.</w:t>
      </w:r>
    </w:p>
    <w:p>
      <w:pPr>
        <w:spacing w:after="0" w:line="169" w:lineRule="exact"/>
        <w:rPr>
          <w:rFonts w:ascii="Times New Roman" w:cs="Times New Roman" w:eastAsia="Times New Roman" w:hAnsi="Times New Roman"/>
          <w:sz w:val="14"/>
          <w:szCs w:val="14"/>
          <w:color w:val="auto"/>
        </w:rPr>
      </w:pPr>
    </w:p>
    <w:p>
      <w:pPr>
        <w:ind w:firstLine="251"/>
        <w:spacing w:after="0" w:line="272" w:lineRule="auto"/>
        <w:tabs>
          <w:tab w:leader="none" w:pos="423"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“Committee</w:t>
      </w:r>
      <w:r>
        <w:rPr>
          <w:rFonts w:ascii="Times New Roman" w:cs="Times New Roman" w:eastAsia="Times New Roman" w:hAnsi="Times New Roman"/>
          <w:sz w:val="14"/>
          <w:szCs w:val="14"/>
          <w:color w:val="auto"/>
        </w:rPr>
        <w:t>” shall, subject to the provisions of Section II(a) hereof, mean the Compensation Committee of the Board or such other Committee as the Board may appoint from time to time to administer the Plan, or the Board itself if no Compensation Committee or other appointed Committee exists.</w:t>
      </w:r>
    </w:p>
    <w:p>
      <w:pPr>
        <w:spacing w:after="0" w:line="131" w:lineRule="exact"/>
        <w:rPr>
          <w:rFonts w:ascii="Times New Roman" w:cs="Times New Roman" w:eastAsia="Times New Roman" w:hAnsi="Times New Roman"/>
          <w:sz w:val="14"/>
          <w:szCs w:val="14"/>
          <w:color w:val="auto"/>
        </w:rPr>
      </w:pPr>
    </w:p>
    <w:p>
      <w:pPr>
        <w:jc w:val="both"/>
        <w:ind w:firstLine="251"/>
        <w:spacing w:after="0" w:line="259" w:lineRule="auto"/>
        <w:tabs>
          <w:tab w:leader="none" w:pos="41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shall mean the common stock of the Corporation, $0.01 par value per share, as authorized from time to time. At all times, the Common Stock made available for grants hereunder shall be “</w:t>
      </w:r>
      <w:r>
        <w:rPr>
          <w:rFonts w:ascii="Times New Roman" w:cs="Times New Roman" w:eastAsia="Times New Roman" w:hAnsi="Times New Roman"/>
          <w:sz w:val="14"/>
          <w:szCs w:val="14"/>
          <w:u w:val="single" w:color="auto"/>
          <w:color w:val="auto"/>
        </w:rPr>
        <w:t>Service Recipient Stock</w:t>
      </w:r>
      <w:r>
        <w:rPr>
          <w:rFonts w:ascii="Times New Roman" w:cs="Times New Roman" w:eastAsia="Times New Roman" w:hAnsi="Times New Roman"/>
          <w:sz w:val="14"/>
          <w:szCs w:val="14"/>
          <w:color w:val="auto"/>
        </w:rPr>
        <w:t>” as defined in Treas. Reg. §1.409A-1(b)(5)(iii)(A) and the terms of the Plan and of any Award Agreement shall be deemed to be modified to the degree necessary to comply with this requirement.</w:t>
      </w:r>
    </w:p>
    <w:p>
      <w:pPr>
        <w:spacing w:after="0" w:line="140" w:lineRule="exact"/>
        <w:rPr>
          <w:rFonts w:ascii="Times New Roman" w:cs="Times New Roman" w:eastAsia="Times New Roman" w:hAnsi="Times New Roman"/>
          <w:sz w:val="14"/>
          <w:szCs w:val="14"/>
          <w:color w:val="auto"/>
        </w:rPr>
      </w:pPr>
    </w:p>
    <w:p>
      <w:pPr>
        <w:ind w:left="440" w:hanging="189"/>
        <w:spacing w:after="0"/>
        <w:tabs>
          <w:tab w:leader="none" w:pos="4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“Consultant</w:t>
      </w:r>
      <w:r>
        <w:rPr>
          <w:rFonts w:ascii="Times New Roman" w:cs="Times New Roman" w:eastAsia="Times New Roman" w:hAnsi="Times New Roman"/>
          <w:sz w:val="14"/>
          <w:szCs w:val="14"/>
          <w:color w:val="auto"/>
        </w:rPr>
        <w:t>” shall mean an individual who is in a Consulting Relationship with the Corporation or any Affiliate.</w:t>
      </w:r>
    </w:p>
    <w:p>
      <w:pPr>
        <w:spacing w:after="0" w:line="169" w:lineRule="exact"/>
        <w:rPr>
          <w:rFonts w:ascii="Times New Roman" w:cs="Times New Roman" w:eastAsia="Times New Roman" w:hAnsi="Times New Roman"/>
          <w:sz w:val="14"/>
          <w:szCs w:val="14"/>
          <w:color w:val="auto"/>
        </w:rPr>
      </w:pPr>
    </w:p>
    <w:p>
      <w:pPr>
        <w:jc w:val="both"/>
        <w:ind w:firstLine="251"/>
        <w:spacing w:after="0" w:line="259" w:lineRule="auto"/>
        <w:tabs>
          <w:tab w:leader="none" w:pos="41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Consulting Relationship</w:t>
      </w:r>
      <w:r>
        <w:rPr>
          <w:rFonts w:ascii="Times New Roman" w:cs="Times New Roman" w:eastAsia="Times New Roman" w:hAnsi="Times New Roman"/>
          <w:sz w:val="14"/>
          <w:szCs w:val="14"/>
          <w:color w:val="auto"/>
        </w:rPr>
        <w:t>” shall mean the relationship that exists between an individual and the Corporation (or any Affiliate) if (i) such individual or (ii) any entity of which such individual is an executive officer or owns a substantial equity interest has entered into a written consulting contract with the Corporation or any Affiliate and if, pursuant to such written consulting agreement, such individual or entity qualifies as a consultant under the applicable rules of the Securities and Exchange Commission for registration of shares on a Form S-8 Registration Statement.</w:t>
      </w:r>
    </w:p>
    <w:p>
      <w:pPr>
        <w:spacing w:after="0" w:line="140" w:lineRule="exact"/>
        <w:rPr>
          <w:rFonts w:ascii="Times New Roman" w:cs="Times New Roman" w:eastAsia="Times New Roman" w:hAnsi="Times New Roman"/>
          <w:sz w:val="14"/>
          <w:szCs w:val="14"/>
          <w:color w:val="auto"/>
        </w:rPr>
      </w:pPr>
    </w:p>
    <w:p>
      <w:pPr>
        <w:ind w:left="480" w:hanging="229"/>
        <w:spacing w:after="0"/>
        <w:tabs>
          <w:tab w:leader="none" w:pos="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Corporation</w:t>
      </w:r>
      <w:r>
        <w:rPr>
          <w:rFonts w:ascii="Times New Roman" w:cs="Times New Roman" w:eastAsia="Times New Roman" w:hAnsi="Times New Roman"/>
          <w:sz w:val="14"/>
          <w:szCs w:val="14"/>
          <w:color w:val="auto"/>
        </w:rPr>
        <w:t>” shall mean Microbot Medical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34" w:name="page35"/>
    <w:bookmarkEnd w:id="34"/>
    <w:p>
      <w:pPr>
        <w:ind w:left="-251" w:firstLine="251"/>
        <w:spacing w:after="0" w:line="272" w:lineRule="auto"/>
        <w:tabs>
          <w:tab w:leader="none" w:pos="19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“Disability</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Disabled</w:t>
      </w:r>
      <w:r>
        <w:rPr>
          <w:rFonts w:ascii="Times New Roman" w:cs="Times New Roman" w:eastAsia="Times New Roman" w:hAnsi="Times New Roman"/>
          <w:sz w:val="14"/>
          <w:szCs w:val="14"/>
          <w:color w:val="auto"/>
        </w:rPr>
        <w:t>” shall have the same meaning as the term “permanent and total disability” under Section 22(e)(3) of the Code or, with respect to Plan Awards constituting “non-qualified deferred compensation” pursuant to the provisions of Code Section 409A and the regulations promulgated thereunder, shall have the meaning set forth in Treas. Reg. §1.409A-3(i)(4)(i).</w:t>
      </w:r>
    </w:p>
    <w:p>
      <w:pPr>
        <w:spacing w:after="0" w:line="131" w:lineRule="exact"/>
        <w:rPr>
          <w:rFonts w:ascii="Times New Roman" w:cs="Times New Roman" w:eastAsia="Times New Roman" w:hAnsi="Times New Roman"/>
          <w:sz w:val="14"/>
          <w:szCs w:val="14"/>
          <w:color w:val="auto"/>
        </w:rPr>
      </w:pPr>
    </w:p>
    <w:p>
      <w:pPr>
        <w:ind w:left="189" w:hanging="189"/>
        <w:spacing w:after="0"/>
        <w:tabs>
          <w:tab w:leader="none" w:pos="189"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“DRO</w:t>
      </w:r>
      <w:r>
        <w:rPr>
          <w:rFonts w:ascii="Times New Roman" w:cs="Times New Roman" w:eastAsia="Times New Roman" w:hAnsi="Times New Roman"/>
          <w:sz w:val="14"/>
          <w:szCs w:val="14"/>
          <w:color w:val="auto"/>
        </w:rPr>
        <w:t>” shall mean a domestic relations order as defined by the Code or Title I of the Employee Retirement Income Security Act of 1974, as amended, and the rules and regulations thereunder.</w:t>
      </w:r>
    </w:p>
    <w:p>
      <w:pPr>
        <w:spacing w:after="0" w:line="169" w:lineRule="exact"/>
        <w:rPr>
          <w:rFonts w:ascii="Times New Roman" w:cs="Times New Roman" w:eastAsia="Times New Roman" w:hAnsi="Times New Roman"/>
          <w:sz w:val="14"/>
          <w:szCs w:val="14"/>
          <w:color w:val="auto"/>
        </w:rPr>
      </w:pPr>
    </w:p>
    <w:p>
      <w:pPr>
        <w:ind w:left="189" w:hanging="189"/>
        <w:spacing w:after="0"/>
        <w:tabs>
          <w:tab w:leader="none" w:pos="189"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“Employee</w:t>
      </w:r>
      <w:r>
        <w:rPr>
          <w:rFonts w:ascii="Times New Roman" w:cs="Times New Roman" w:eastAsia="Times New Roman" w:hAnsi="Times New Roman"/>
          <w:sz w:val="14"/>
          <w:szCs w:val="14"/>
          <w:color w:val="auto"/>
        </w:rPr>
        <w:t>” shall mean an employee (as determined in accordance with Section 3401(c) of the Code and the regulations promulgated thereunder) of the Corporation or of any Affiliate.</w:t>
      </w:r>
    </w:p>
    <w:p>
      <w:pPr>
        <w:spacing w:after="0" w:line="169" w:lineRule="exact"/>
        <w:rPr>
          <w:rFonts w:ascii="Times New Roman" w:cs="Times New Roman" w:eastAsia="Times New Roman" w:hAnsi="Times New Roman"/>
          <w:sz w:val="14"/>
          <w:szCs w:val="14"/>
          <w:color w:val="auto"/>
        </w:rPr>
      </w:pPr>
    </w:p>
    <w:p>
      <w:pPr>
        <w:ind w:left="189" w:hanging="189"/>
        <w:spacing w:after="0"/>
        <w:tabs>
          <w:tab w:leader="none" w:pos="189"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shall mean the Securities Exchange Act of 1934, as amended, and the rules and regulations thereunder.</w:t>
      </w:r>
    </w:p>
    <w:p>
      <w:pPr>
        <w:spacing w:after="0" w:line="169" w:lineRule="exact"/>
        <w:rPr>
          <w:rFonts w:ascii="Times New Roman" w:cs="Times New Roman" w:eastAsia="Times New Roman" w:hAnsi="Times New Roman"/>
          <w:sz w:val="14"/>
          <w:szCs w:val="14"/>
          <w:color w:val="auto"/>
        </w:rPr>
      </w:pPr>
    </w:p>
    <w:p>
      <w:pPr>
        <w:ind w:left="169" w:hanging="169"/>
        <w:spacing w:after="0"/>
        <w:tabs>
          <w:tab w:leader="none" w:pos="169"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“Fair Market Value</w:t>
      </w:r>
      <w:r>
        <w:rPr>
          <w:rFonts w:ascii="Times New Roman" w:cs="Times New Roman" w:eastAsia="Times New Roman" w:hAnsi="Times New Roman"/>
          <w:sz w:val="14"/>
          <w:szCs w:val="14"/>
          <w:color w:val="auto"/>
        </w:rPr>
        <w:t>” shall mean:</w:t>
      </w:r>
    </w:p>
    <w:p>
      <w:pPr>
        <w:spacing w:after="0" w:line="169" w:lineRule="exact"/>
        <w:rPr>
          <w:rFonts w:ascii="Times New Roman" w:cs="Times New Roman" w:eastAsia="Times New Roman" w:hAnsi="Times New Roman"/>
          <w:sz w:val="14"/>
          <w:szCs w:val="14"/>
          <w:color w:val="auto"/>
        </w:rPr>
      </w:pPr>
    </w:p>
    <w:p>
      <w:pPr>
        <w:jc w:val="both"/>
        <w:ind w:left="-251" w:firstLine="499"/>
        <w:spacing w:after="0" w:line="273" w:lineRule="auto"/>
        <w:tabs>
          <w:tab w:leader="none" w:pos="416"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the Corporation’s Common Stock is publicly traded, the Fair Market Value of such Common Stock on a Trading Day shall mean the closing price of the Common Stock on such Trading Day as reported by the national securities exchange on which the Common Stock then has its primary listing or by the quotation system on which the Common Stock is primarily quoted; provided, however, that, if no sale of shares of Common Stock shall have been reported on such Trading Day, then the immediately preceding Trading Day on which a sale of shares of Common Stock has been so reported shall be used. For purposes of this definition, a “Trading Day” shall mean, if the Common Stock is listed on any national securities exchange, a business day during which such exchange was open for trading and at least one trade of Common Stock was effected on such exchange on such business day, or, if the Common Stock is not listed on any national securities exchange but is traded in the over-the-counter market, a business day during which the over-the-counter market was open for trading and at least one “eligible dealer” quoted both a bid and asked price for the Common Stock. An “eligible dealer” for any day shall include any broker-dealer who quoted both a bid and asked price for such day but shall not include any broker-dealer who quoted only a bid or only an asked price for such day.</w:t>
      </w:r>
    </w:p>
    <w:p>
      <w:pPr>
        <w:spacing w:after="0" w:line="132" w:lineRule="exact"/>
        <w:rPr>
          <w:rFonts w:ascii="Times New Roman" w:cs="Times New Roman" w:eastAsia="Times New Roman" w:hAnsi="Times New Roman"/>
          <w:sz w:val="13"/>
          <w:szCs w:val="13"/>
          <w:color w:val="auto"/>
        </w:rPr>
      </w:pPr>
    </w:p>
    <w:p>
      <w:pPr>
        <w:jc w:val="both"/>
        <w:ind w:left="-251" w:firstLine="499"/>
        <w:spacing w:after="0" w:line="253" w:lineRule="auto"/>
        <w:tabs>
          <w:tab w:leader="none" w:pos="464"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the Corporation’s Common Stock is not publicly traded, the Fair Market Value of such Common Stock shall be determined by the Committee in good faith pursuant to the requirements of Treas. Reg. §1.409A-1(b)(5)(iv)(B). The Committee shall determine the Fair Market Value of such Common Stock by reference to the most recent valuation performed by an appraisal or valuation firm selected by the Corporation. If the most recent valuation performed by an appraisal or valuation firm selected by the Corporation is more than 12) months old, then the Committee shall select an appraisal or valuation firm to perform an updated valuation. The appraisal or valuation firm shall be independent of the Corporation and the Participant (or selling stockholder as the case may be). The selection of the appraisal or valuation firm by the Committee shall be final and binding on all persons. The Corporation shall pay the fees and expenses of the appraisal or valuation firm.</w:t>
      </w:r>
    </w:p>
    <w:p>
      <w:pPr>
        <w:spacing w:after="0" w:line="143" w:lineRule="exact"/>
        <w:rPr>
          <w:rFonts w:ascii="Times New Roman" w:cs="Times New Roman" w:eastAsia="Times New Roman" w:hAnsi="Times New Roman"/>
          <w:sz w:val="14"/>
          <w:szCs w:val="14"/>
          <w:color w:val="auto"/>
        </w:rPr>
      </w:pPr>
    </w:p>
    <w:p>
      <w:pPr>
        <w:ind w:left="189" w:hanging="189"/>
        <w:spacing w:after="0"/>
        <w:tabs>
          <w:tab w:leader="none" w:pos="189"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Freestanding SAR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Freestanding Stock Appreciation Right</w:t>
      </w:r>
      <w:r>
        <w:rPr>
          <w:rFonts w:ascii="Times New Roman" w:cs="Times New Roman" w:eastAsia="Times New Roman" w:hAnsi="Times New Roman"/>
          <w:sz w:val="14"/>
          <w:szCs w:val="14"/>
          <w:color w:val="auto"/>
        </w:rPr>
        <w:t>” shall mean an SAR that is granted independently of any Option.</w:t>
      </w:r>
    </w:p>
    <w:p>
      <w:pPr>
        <w:spacing w:after="0" w:line="169" w:lineRule="exact"/>
        <w:rPr>
          <w:rFonts w:ascii="Times New Roman" w:cs="Times New Roman" w:eastAsia="Times New Roman" w:hAnsi="Times New Roman"/>
          <w:sz w:val="14"/>
          <w:szCs w:val="14"/>
          <w:color w:val="auto"/>
        </w:rPr>
      </w:pPr>
    </w:p>
    <w:p>
      <w:pPr>
        <w:jc w:val="both"/>
        <w:ind w:left="-251" w:firstLine="251"/>
        <w:spacing w:after="0" w:line="255" w:lineRule="auto"/>
        <w:tabs>
          <w:tab w:leader="none" w:pos="16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“Good Reason</w:t>
      </w:r>
      <w:r>
        <w:rPr>
          <w:rFonts w:ascii="Times New Roman" w:cs="Times New Roman" w:eastAsia="Times New Roman" w:hAnsi="Times New Roman"/>
          <w:sz w:val="14"/>
          <w:szCs w:val="14"/>
          <w:color w:val="auto"/>
        </w:rPr>
        <w:t>” shall, with respect to a Participant (i) have the same meaning as “good reason” or similar term set forth in an employment, consulting, advisory or similar contract entered into by and between the Participant and the Corporation or any Affiliate (but only to the extent such meaning or meanings satisfy the requirements for “good reason” as set forth under Treas. Reg. §1.409A-1(n)(2) (ii)) or, (ii) in the absence of any such contract or defined term, have the “safe-harbor” meaning set forth in such regulation section, and, in the case of both clauses (i) and (ii), a termination of employment or other services shall be deemed to have occurred for Good Reason only if the procedural and time limitation provisions of Treas. Reg. §§1.409A-1(n)(2)(ii)(A), (B) and (C) are satisfied.</w:t>
      </w:r>
    </w:p>
    <w:p>
      <w:pPr>
        <w:spacing w:after="0" w:line="142" w:lineRule="exact"/>
        <w:rPr>
          <w:rFonts w:ascii="Times New Roman" w:cs="Times New Roman" w:eastAsia="Times New Roman" w:hAnsi="Times New Roman"/>
          <w:sz w:val="14"/>
          <w:szCs w:val="14"/>
          <w:color w:val="auto"/>
        </w:rPr>
      </w:pPr>
    </w:p>
    <w:p>
      <w:pPr>
        <w:ind w:left="-251" w:firstLine="251"/>
        <w:spacing w:after="0" w:line="272" w:lineRule="auto"/>
        <w:tabs>
          <w:tab w:leader="none" w:pos="19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Incentive Stock Option</w:t>
      </w:r>
      <w:r>
        <w:rPr>
          <w:rFonts w:ascii="Times New Roman" w:cs="Times New Roman" w:eastAsia="Times New Roman" w:hAnsi="Times New Roman"/>
          <w:sz w:val="14"/>
          <w:szCs w:val="14"/>
          <w:color w:val="auto"/>
        </w:rPr>
        <w:t>” shall mean a stock option satisfying the requirements for tax-favored treatment under Section 422 of the Code and which is intended by the Committee to be treated as an incentive stock option under Code Section 422.</w:t>
      </w:r>
    </w:p>
    <w:p>
      <w:pPr>
        <w:spacing w:after="0" w:line="131" w:lineRule="exact"/>
        <w:rPr>
          <w:rFonts w:ascii="Times New Roman" w:cs="Times New Roman" w:eastAsia="Times New Roman" w:hAnsi="Times New Roman"/>
          <w:sz w:val="14"/>
          <w:szCs w:val="14"/>
          <w:color w:val="auto"/>
        </w:rPr>
      </w:pPr>
    </w:p>
    <w:p>
      <w:pPr>
        <w:ind w:left="-251" w:firstLine="251"/>
        <w:spacing w:after="0" w:line="272" w:lineRule="auto"/>
        <w:tabs>
          <w:tab w:leader="none" w:pos="203"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“Initial or Secondary Public Offering</w:t>
      </w:r>
      <w:r>
        <w:rPr>
          <w:rFonts w:ascii="Times New Roman" w:cs="Times New Roman" w:eastAsia="Times New Roman" w:hAnsi="Times New Roman"/>
          <w:sz w:val="14"/>
          <w:szCs w:val="14"/>
          <w:color w:val="auto"/>
        </w:rPr>
        <w:t>” shall mean the completion of the sale of shares of the Corporation’s equity securities pursuant to an effective registration statement described under the Securities Act of 1933, as amended.</w:t>
      </w:r>
    </w:p>
    <w:p>
      <w:pPr>
        <w:spacing w:after="0" w:line="131" w:lineRule="exact"/>
        <w:rPr>
          <w:rFonts w:ascii="Times New Roman" w:cs="Times New Roman" w:eastAsia="Times New Roman" w:hAnsi="Times New Roman"/>
          <w:sz w:val="14"/>
          <w:szCs w:val="14"/>
          <w:color w:val="auto"/>
        </w:rPr>
      </w:pPr>
    </w:p>
    <w:p>
      <w:pPr>
        <w:ind w:left="229" w:hanging="229"/>
        <w:spacing w:after="0"/>
        <w:tabs>
          <w:tab w:leader="none" w:pos="229"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“Non-Employee Director</w:t>
      </w:r>
      <w:r>
        <w:rPr>
          <w:rFonts w:ascii="Times New Roman" w:cs="Times New Roman" w:eastAsia="Times New Roman" w:hAnsi="Times New Roman"/>
          <w:sz w:val="14"/>
          <w:szCs w:val="14"/>
          <w:color w:val="auto"/>
        </w:rPr>
        <w:t>” shall mean a member of the Board of Directors of the Corporation who is not an Employee.</w:t>
      </w:r>
    </w:p>
    <w:p>
      <w:pPr>
        <w:spacing w:after="0" w:line="169" w:lineRule="exact"/>
        <w:rPr>
          <w:rFonts w:ascii="Times New Roman" w:cs="Times New Roman" w:eastAsia="Times New Roman" w:hAnsi="Times New Roman"/>
          <w:sz w:val="14"/>
          <w:szCs w:val="14"/>
          <w:color w:val="auto"/>
        </w:rPr>
      </w:pPr>
    </w:p>
    <w:p>
      <w:pPr>
        <w:ind w:left="189" w:hanging="189"/>
        <w:spacing w:after="0"/>
        <w:tabs>
          <w:tab w:leader="none" w:pos="189"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“Non-Qualified Option</w:t>
      </w:r>
      <w:r>
        <w:rPr>
          <w:rFonts w:ascii="Times New Roman" w:cs="Times New Roman" w:eastAsia="Times New Roman" w:hAnsi="Times New Roman"/>
          <w:sz w:val="14"/>
          <w:szCs w:val="14"/>
          <w:color w:val="auto"/>
        </w:rPr>
        <w:t>” shall mean a stock option which does not satisfy the requirements for, or which is not intended to be eligible for, tax-favored treatment under Section 422 of the Code.</w:t>
      </w:r>
    </w:p>
    <w:p>
      <w:pPr>
        <w:spacing w:after="0" w:line="169" w:lineRule="exact"/>
        <w:rPr>
          <w:rFonts w:ascii="Times New Roman" w:cs="Times New Roman" w:eastAsia="Times New Roman" w:hAnsi="Times New Roman"/>
          <w:sz w:val="14"/>
          <w:szCs w:val="14"/>
          <w:color w:val="auto"/>
        </w:rPr>
      </w:pPr>
    </w:p>
    <w:p>
      <w:pPr>
        <w:ind w:left="-251" w:firstLine="251"/>
        <w:spacing w:after="0" w:line="272" w:lineRule="auto"/>
        <w:tabs>
          <w:tab w:leader="none" w:pos="19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w:t>
      </w:r>
      <w:r>
        <w:rPr>
          <w:rFonts w:ascii="Times New Roman" w:cs="Times New Roman" w:eastAsia="Times New Roman" w:hAnsi="Times New Roman"/>
          <w:sz w:val="14"/>
          <w:szCs w:val="14"/>
          <w:color w:val="auto"/>
        </w:rPr>
        <w:t>” shall mean a right to purchase shares of Common Stock at a specified exercise price that is granted under Article V. An Option shall be either a Non-Qualified Option or an Incentive Stock Option; provided, however, that Options granted to Non-Employee Directors and Consultants shall only be Non-Qualified Options.</w:t>
      </w:r>
    </w:p>
    <w:p>
      <w:pPr>
        <w:spacing w:after="0" w:line="131" w:lineRule="exact"/>
        <w:rPr>
          <w:rFonts w:ascii="Times New Roman" w:cs="Times New Roman" w:eastAsia="Times New Roman" w:hAnsi="Times New Roman"/>
          <w:sz w:val="14"/>
          <w:szCs w:val="14"/>
          <w:color w:val="auto"/>
        </w:rPr>
      </w:pPr>
    </w:p>
    <w:p>
      <w:pPr>
        <w:ind w:left="189" w:hanging="189"/>
        <w:spacing w:after="0"/>
        <w:tabs>
          <w:tab w:leader="none" w:pos="189"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“Optionee</w:t>
      </w:r>
      <w:r>
        <w:rPr>
          <w:rFonts w:ascii="Times New Roman" w:cs="Times New Roman" w:eastAsia="Times New Roman" w:hAnsi="Times New Roman"/>
          <w:sz w:val="14"/>
          <w:szCs w:val="14"/>
          <w:color w:val="auto"/>
        </w:rPr>
        <w:t>” shall mean a Participant who is granted an Option under the terms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220980</wp:posOffset>
            </wp:positionV>
            <wp:extent cx="716470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029"/>
          </w:cols>
          <w:pgMar w:left="551" w:top="561" w:right="319" w:bottom="1440" w:gutter="0" w:footer="0" w:header="0"/>
        </w:sectPr>
      </w:pPr>
    </w:p>
    <w:bookmarkStart w:id="35" w:name="page36"/>
    <w:bookmarkEnd w:id="35"/>
    <w:p>
      <w:pPr>
        <w:ind w:left="-251" w:firstLine="251"/>
        <w:spacing w:after="0" w:line="272" w:lineRule="auto"/>
        <w:tabs>
          <w:tab w:leader="none" w:pos="24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w:t>
      </w:r>
      <w:r>
        <w:rPr>
          <w:rFonts w:ascii="Times New Roman" w:cs="Times New Roman" w:eastAsia="Times New Roman" w:hAnsi="Times New Roman"/>
          <w:sz w:val="14"/>
          <w:szCs w:val="14"/>
          <w:color w:val="auto"/>
        </w:rPr>
        <w:t>” shall mean a parent corporation of the Corporation within the meaning of Section 424(e) of the Code. However, a corporation that otherwise qualifies as a Parent will not be so defined if the Plan Award it grants with Common Stock will render the Common Stock not to be Service Recipient Stock (as defined in Section I(j) hereof).</w:t>
      </w:r>
    </w:p>
    <w:p>
      <w:pPr>
        <w:spacing w:after="0" w:line="131" w:lineRule="exact"/>
        <w:rPr>
          <w:rFonts w:ascii="Times New Roman" w:cs="Times New Roman" w:eastAsia="Times New Roman" w:hAnsi="Times New Roman"/>
          <w:sz w:val="14"/>
          <w:szCs w:val="14"/>
          <w:color w:val="auto"/>
        </w:rPr>
      </w:pPr>
    </w:p>
    <w:p>
      <w:pPr>
        <w:ind w:left="269" w:hanging="269"/>
        <w:spacing w:after="0"/>
        <w:tabs>
          <w:tab w:leader="none" w:pos="269"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Participant</w:t>
      </w:r>
      <w:r>
        <w:rPr>
          <w:rFonts w:ascii="Times New Roman" w:cs="Times New Roman" w:eastAsia="Times New Roman" w:hAnsi="Times New Roman"/>
          <w:sz w:val="14"/>
          <w:szCs w:val="14"/>
          <w:color w:val="auto"/>
        </w:rPr>
        <w:t>” shall mean any Employee, Consultant, member of the Board of Directors or other person identified in Section IV(a), hereof, who is granted a Plan Award under the Plan.</w:t>
      </w:r>
    </w:p>
    <w:p>
      <w:pPr>
        <w:spacing w:after="0" w:line="169" w:lineRule="exact"/>
        <w:rPr>
          <w:rFonts w:ascii="Times New Roman" w:cs="Times New Roman" w:eastAsia="Times New Roman" w:hAnsi="Times New Roman"/>
          <w:sz w:val="14"/>
          <w:szCs w:val="14"/>
          <w:color w:val="auto"/>
        </w:rPr>
      </w:pPr>
    </w:p>
    <w:p>
      <w:pPr>
        <w:ind w:left="-251" w:firstLine="251"/>
        <w:spacing w:after="0" w:line="272" w:lineRule="auto"/>
        <w:tabs>
          <w:tab w:leader="none" w:pos="25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Performance Share</w:t>
      </w:r>
      <w:r>
        <w:rPr>
          <w:rFonts w:ascii="Times New Roman" w:cs="Times New Roman" w:eastAsia="Times New Roman" w:hAnsi="Times New Roman"/>
          <w:sz w:val="14"/>
          <w:szCs w:val="14"/>
          <w:color w:val="auto"/>
        </w:rPr>
        <w:t>” shall mean a Plan Award granted pursuant to the provisions of Article VII hereof, which is similar to Restricted Stock, but which Award is based upon any performance factor established by the Committee on or prior to the date of grant of such Plan Award, pursuant to the provisions of such Article.</w:t>
      </w:r>
    </w:p>
    <w:p>
      <w:pPr>
        <w:spacing w:after="0" w:line="131" w:lineRule="exact"/>
        <w:rPr>
          <w:rFonts w:ascii="Times New Roman" w:cs="Times New Roman" w:eastAsia="Times New Roman" w:hAnsi="Times New Roman"/>
          <w:sz w:val="14"/>
          <w:szCs w:val="14"/>
          <w:color w:val="auto"/>
        </w:rPr>
      </w:pPr>
    </w:p>
    <w:p>
      <w:pPr>
        <w:ind w:left="-251" w:firstLine="251"/>
        <w:spacing w:after="0" w:line="272" w:lineRule="auto"/>
        <w:tabs>
          <w:tab w:leader="none" w:pos="28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Performance Unit</w:t>
      </w:r>
      <w:r>
        <w:rPr>
          <w:rFonts w:ascii="Times New Roman" w:cs="Times New Roman" w:eastAsia="Times New Roman" w:hAnsi="Times New Roman"/>
          <w:sz w:val="14"/>
          <w:szCs w:val="14"/>
          <w:color w:val="auto"/>
        </w:rPr>
        <w:t>” shall mean a Plan Award granted pursuant to the provisions of Article VIII hereof, which is similar to a Restricted Stock Unit, but which Award is based upon any performance factor established by the Committee pursuant to the provisions of such Article.</w:t>
      </w:r>
    </w:p>
    <w:p>
      <w:pPr>
        <w:spacing w:after="0" w:line="131" w:lineRule="exact"/>
        <w:rPr>
          <w:rFonts w:ascii="Times New Roman" w:cs="Times New Roman" w:eastAsia="Times New Roman" w:hAnsi="Times New Roman"/>
          <w:sz w:val="14"/>
          <w:szCs w:val="14"/>
          <w:color w:val="auto"/>
        </w:rPr>
      </w:pPr>
    </w:p>
    <w:p>
      <w:pPr>
        <w:jc w:val="both"/>
        <w:ind w:left="-251" w:firstLine="251"/>
        <w:spacing w:after="0" w:line="259" w:lineRule="auto"/>
        <w:tabs>
          <w:tab w:leader="none" w:pos="24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Transferee</w:t>
      </w:r>
      <w:r>
        <w:rPr>
          <w:rFonts w:ascii="Times New Roman" w:cs="Times New Roman" w:eastAsia="Times New Roman" w:hAnsi="Times New Roman"/>
          <w:sz w:val="14"/>
          <w:szCs w:val="14"/>
          <w:color w:val="auto"/>
        </w:rPr>
        <w:t>” shall mean, with respect to a Participant, any “family member” (as defined under the instructions related to the Form S-8 Registration Statement under the Securities Act) of the Participant who has acquired a Plan Award from such Participant through a gift or pursuant to a DRO, or any other transferee specifically approved by the Committee after taking into account Applicable Law.</w:t>
      </w:r>
    </w:p>
    <w:p>
      <w:pPr>
        <w:spacing w:after="0" w:line="140" w:lineRule="exact"/>
        <w:rPr>
          <w:rFonts w:ascii="Times New Roman" w:cs="Times New Roman" w:eastAsia="Times New Roman" w:hAnsi="Times New Roman"/>
          <w:sz w:val="14"/>
          <w:szCs w:val="14"/>
          <w:color w:val="auto"/>
        </w:rPr>
      </w:pPr>
    </w:p>
    <w:p>
      <w:pPr>
        <w:ind w:left="-251" w:firstLine="251"/>
        <w:spacing w:after="0" w:line="272" w:lineRule="auto"/>
        <w:tabs>
          <w:tab w:leader="none" w:pos="213"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Plan Award</w:t>
      </w:r>
      <w:r>
        <w:rPr>
          <w:rFonts w:ascii="Times New Roman" w:cs="Times New Roman" w:eastAsia="Times New Roman" w:hAnsi="Times New Roman"/>
          <w:sz w:val="14"/>
          <w:szCs w:val="14"/>
          <w:color w:val="auto"/>
        </w:rPr>
        <w:t>” shall mean an Option, Performance Share, Performance Unit, share of Restricted Stock, Restricted Stock Unit, Cash Incentive or Stock Appreciation Right granted pursuant to the terms of the Plan (including any sub-plan).</w:t>
      </w:r>
    </w:p>
    <w:p>
      <w:pPr>
        <w:spacing w:after="0" w:line="131" w:lineRule="exact"/>
        <w:rPr>
          <w:rFonts w:ascii="Times New Roman" w:cs="Times New Roman" w:eastAsia="Times New Roman" w:hAnsi="Times New Roman"/>
          <w:sz w:val="14"/>
          <w:szCs w:val="14"/>
          <w:color w:val="auto"/>
        </w:rPr>
      </w:pPr>
    </w:p>
    <w:p>
      <w:pPr>
        <w:ind w:left="269" w:hanging="269"/>
        <w:spacing w:after="0"/>
        <w:tabs>
          <w:tab w:leader="none" w:pos="269"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Restricted Stock</w:t>
      </w:r>
      <w:r>
        <w:rPr>
          <w:rFonts w:ascii="Times New Roman" w:cs="Times New Roman" w:eastAsia="Times New Roman" w:hAnsi="Times New Roman"/>
          <w:sz w:val="14"/>
          <w:szCs w:val="14"/>
          <w:color w:val="auto"/>
        </w:rPr>
        <w:t>” shall mean a grant of one or more shares of Common Stock subject to certain restrictions as provided under Article VII hereof and the related Award Agreement.</w:t>
      </w:r>
    </w:p>
    <w:p>
      <w:pPr>
        <w:spacing w:after="0" w:line="169" w:lineRule="exact"/>
        <w:rPr>
          <w:rFonts w:ascii="Times New Roman" w:cs="Times New Roman" w:eastAsia="Times New Roman" w:hAnsi="Times New Roman"/>
          <w:sz w:val="14"/>
          <w:szCs w:val="14"/>
          <w:color w:val="auto"/>
        </w:rPr>
      </w:pPr>
    </w:p>
    <w:p>
      <w:pPr>
        <w:ind w:left="-251" w:firstLine="251"/>
        <w:spacing w:after="0" w:line="272" w:lineRule="auto"/>
        <w:tabs>
          <w:tab w:leader="none" w:pos="261"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Restricted Stock Unit</w:t>
      </w:r>
      <w:r>
        <w:rPr>
          <w:rFonts w:ascii="Times New Roman" w:cs="Times New Roman" w:eastAsia="Times New Roman" w:hAnsi="Times New Roman"/>
          <w:sz w:val="14"/>
          <w:szCs w:val="14"/>
          <w:color w:val="auto"/>
        </w:rPr>
        <w:t>” shall mean a right to receive one share of Common Stock at a date, and subject to any and all restrictions, set forth in the related Award Agreement, as provided in Article VIII, hereof.</w:t>
      </w:r>
    </w:p>
    <w:p>
      <w:pPr>
        <w:spacing w:after="0" w:line="131" w:lineRule="exact"/>
        <w:rPr>
          <w:rFonts w:ascii="Times New Roman" w:cs="Times New Roman" w:eastAsia="Times New Roman" w:hAnsi="Times New Roman"/>
          <w:sz w:val="14"/>
          <w:szCs w:val="14"/>
          <w:color w:val="auto"/>
        </w:rPr>
      </w:pPr>
    </w:p>
    <w:p>
      <w:pPr>
        <w:ind w:left="209" w:hanging="209"/>
        <w:spacing w:after="0"/>
        <w:tabs>
          <w:tab w:leader="none" w:pos="209"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shall mean the Securities Act of 1933, as amended, and the rules and regulations thereunder.</w:t>
      </w:r>
    </w:p>
    <w:p>
      <w:pPr>
        <w:spacing w:after="0" w:line="169" w:lineRule="exact"/>
        <w:rPr>
          <w:rFonts w:ascii="Times New Roman" w:cs="Times New Roman" w:eastAsia="Times New Roman" w:hAnsi="Times New Roman"/>
          <w:sz w:val="14"/>
          <w:szCs w:val="14"/>
          <w:color w:val="auto"/>
        </w:rPr>
      </w:pPr>
    </w:p>
    <w:p>
      <w:pPr>
        <w:ind w:left="209" w:hanging="209"/>
        <w:spacing w:after="0"/>
        <w:tabs>
          <w:tab w:leader="none" w:pos="209"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Service</w:t>
      </w:r>
      <w:r>
        <w:rPr>
          <w:rFonts w:ascii="Times New Roman" w:cs="Times New Roman" w:eastAsia="Times New Roman" w:hAnsi="Times New Roman"/>
          <w:sz w:val="14"/>
          <w:szCs w:val="14"/>
          <w:color w:val="auto"/>
        </w:rPr>
        <w:t>” shall mean personal service performed for the Corporation or an Affiliate as an Employee, member of the Board or as a Consultant, as appropriate.</w:t>
      </w:r>
    </w:p>
    <w:p>
      <w:pPr>
        <w:spacing w:after="0" w:line="169" w:lineRule="exact"/>
        <w:rPr>
          <w:rFonts w:ascii="Times New Roman" w:cs="Times New Roman" w:eastAsia="Times New Roman" w:hAnsi="Times New Roman"/>
          <w:sz w:val="14"/>
          <w:szCs w:val="14"/>
          <w:color w:val="auto"/>
        </w:rPr>
      </w:pPr>
    </w:p>
    <w:p>
      <w:pPr>
        <w:ind w:left="-251" w:firstLine="251"/>
        <w:spacing w:after="0" w:line="272" w:lineRule="auto"/>
        <w:tabs>
          <w:tab w:leader="none" w:pos="27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Stock Appreciation Right</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SAR</w:t>
      </w:r>
      <w:r>
        <w:rPr>
          <w:rFonts w:ascii="Times New Roman" w:cs="Times New Roman" w:eastAsia="Times New Roman" w:hAnsi="Times New Roman"/>
          <w:sz w:val="14"/>
          <w:szCs w:val="14"/>
          <w:color w:val="auto"/>
        </w:rPr>
        <w:t>” shall mean a right, granted alone or in connection with a related Option, designated as an SAR, to receive a payment on the day the right is exercised, pursuant to the terms of Article VI hereof. Each SAR shall be denominated in terms of one share of Common Stock.</w:t>
      </w:r>
    </w:p>
    <w:p>
      <w:pPr>
        <w:spacing w:after="0" w:line="131" w:lineRule="exact"/>
        <w:rPr>
          <w:rFonts w:ascii="Times New Roman" w:cs="Times New Roman" w:eastAsia="Times New Roman" w:hAnsi="Times New Roman"/>
          <w:sz w:val="14"/>
          <w:szCs w:val="14"/>
          <w:color w:val="auto"/>
        </w:rPr>
      </w:pPr>
    </w:p>
    <w:p>
      <w:pPr>
        <w:jc w:val="both"/>
        <w:ind w:left="-251" w:firstLine="251"/>
        <w:spacing w:after="0" w:line="259" w:lineRule="auto"/>
        <w:tabs>
          <w:tab w:leader="none" w:pos="2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Substitute Award</w:t>
      </w:r>
      <w:r>
        <w:rPr>
          <w:rFonts w:ascii="Times New Roman" w:cs="Times New Roman" w:eastAsia="Times New Roman" w:hAnsi="Times New Roman"/>
          <w:sz w:val="14"/>
          <w:szCs w:val="14"/>
          <w:color w:val="auto"/>
        </w:rPr>
        <w:t>” shall mean a Plan Award granted under the Plan upon the assumption of, or in substitution for, outstanding equity awards previously granted by a company or other entity in connection with a corporate transaction, such as a merger, combination, consolidation or acquisition of property or stock; provided, however, that in no event shall the term “Substitute Award” be construed to refer to an award made in connection with the cancellation and repricing of an Option or Stock Appreciation Right.</w:t>
      </w:r>
    </w:p>
    <w:p>
      <w:pPr>
        <w:spacing w:after="0" w:line="140" w:lineRule="exact"/>
        <w:rPr>
          <w:rFonts w:ascii="Times New Roman" w:cs="Times New Roman" w:eastAsia="Times New Roman" w:hAnsi="Times New Roman"/>
          <w:sz w:val="14"/>
          <w:szCs w:val="14"/>
          <w:color w:val="auto"/>
        </w:rPr>
      </w:pPr>
    </w:p>
    <w:p>
      <w:pPr>
        <w:ind w:left="-251" w:firstLine="251"/>
        <w:spacing w:after="0" w:line="272" w:lineRule="auto"/>
        <w:tabs>
          <w:tab w:leader="none" w:pos="338"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shall mean a subsidiary corporation of the Corporation within the meaning of Section 424(f) of the Code. However, a corporation that otherwise qualifies as a Subsidiary will not be so defined if the Plan Award it grants with Common Stock will render the Common Stock not to be Service Recipient Stock (as defined in Section I(j) hereof).</w:t>
      </w:r>
    </w:p>
    <w:p>
      <w:pPr>
        <w:spacing w:after="0" w:line="131" w:lineRule="exact"/>
        <w:rPr>
          <w:rFonts w:ascii="Times New Roman" w:cs="Times New Roman" w:eastAsia="Times New Roman" w:hAnsi="Times New Roman"/>
          <w:sz w:val="14"/>
          <w:szCs w:val="14"/>
          <w:color w:val="auto"/>
        </w:rPr>
      </w:pPr>
    </w:p>
    <w:p>
      <w:pPr>
        <w:ind w:left="-251" w:firstLine="251"/>
        <w:spacing w:after="0" w:line="272" w:lineRule="auto"/>
        <w:tabs>
          <w:tab w:leader="none" w:pos="27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Tandem SAR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Tandem Stock Appreciation Right</w:t>
      </w:r>
      <w:r>
        <w:rPr>
          <w:rFonts w:ascii="Times New Roman" w:cs="Times New Roman" w:eastAsia="Times New Roman" w:hAnsi="Times New Roman"/>
          <w:sz w:val="14"/>
          <w:szCs w:val="14"/>
          <w:color w:val="auto"/>
        </w:rPr>
        <w:t>” shall mean an SAR that is granted in connection with a related Option, the exercise of which shall require forfeiture of the right to purchase a share of Common Stock under the related Option (and when a share of Common Stock is purchased under such Option, the Tandem SAR being similarly canceled).</w:t>
      </w:r>
    </w:p>
    <w:p>
      <w:pPr>
        <w:spacing w:after="0" w:line="131" w:lineRule="exact"/>
        <w:rPr>
          <w:rFonts w:ascii="Times New Roman" w:cs="Times New Roman" w:eastAsia="Times New Roman" w:hAnsi="Times New Roman"/>
          <w:sz w:val="14"/>
          <w:szCs w:val="14"/>
          <w:color w:val="auto"/>
        </w:rPr>
      </w:pPr>
    </w:p>
    <w:p>
      <w:pPr>
        <w:jc w:val="both"/>
        <w:ind w:left="-251" w:firstLine="251"/>
        <w:spacing w:after="0" w:line="255" w:lineRule="auto"/>
        <w:tabs>
          <w:tab w:leader="none" w:pos="261"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Termination of Consulting Relationship</w:t>
      </w:r>
      <w:r>
        <w:rPr>
          <w:rFonts w:ascii="Times New Roman" w:cs="Times New Roman" w:eastAsia="Times New Roman" w:hAnsi="Times New Roman"/>
          <w:sz w:val="14"/>
          <w:szCs w:val="14"/>
          <w:color w:val="auto"/>
        </w:rPr>
        <w:t>” shall mean the cessation, abridgment or termination of a Consultant’s Consulting Relationship with the Corporation or any Affiliate as a result of (i) the Consultant’s death, Disability or resignation, (ii) the cancellation, annulment, expiration, termination or breach of the written consulting contract between the Corporation (or any Affiliate) and the Consultant (or any other entity) giving rise to the Consulting Relationship or (iii) if the written consulting contract is not directly between the Corporation (or any Affiliate) and the Consultant, the Consultant’s termination of service with, or sale of all or substantially all of his equity interest in, the entity which has entered into the written consulting contract with the Corporation or Affiliate.</w:t>
      </w:r>
    </w:p>
    <w:p>
      <w:pPr>
        <w:spacing w:after="0" w:line="142" w:lineRule="exact"/>
        <w:rPr>
          <w:rFonts w:ascii="Times New Roman" w:cs="Times New Roman" w:eastAsia="Times New Roman" w:hAnsi="Times New Roman"/>
          <w:sz w:val="14"/>
          <w:szCs w:val="14"/>
          <w:color w:val="auto"/>
        </w:rPr>
      </w:pPr>
    </w:p>
    <w:p>
      <w:pPr>
        <w:ind w:left="-251" w:firstLine="251"/>
        <w:spacing w:after="0" w:line="272" w:lineRule="auto"/>
        <w:tabs>
          <w:tab w:leader="none" w:pos="27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Termination of Service</w:t>
      </w:r>
      <w:r>
        <w:rPr>
          <w:rFonts w:ascii="Times New Roman" w:cs="Times New Roman" w:eastAsia="Times New Roman" w:hAnsi="Times New Roman"/>
          <w:sz w:val="14"/>
          <w:szCs w:val="14"/>
          <w:color w:val="auto"/>
        </w:rPr>
        <w:t>” shall mean the termination of a person’s active and full-time Service as a member of the Board, as an Employee or, in the case of a Consultant, his Termination of Consulting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196215</wp:posOffset>
            </wp:positionV>
            <wp:extent cx="716470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029"/>
          </w:cols>
          <w:pgMar w:left="551" w:top="561" w:right="31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4"/>
          <w:szCs w:val="14"/>
          <w:b w:val="1"/>
          <w:bCs w:val="1"/>
          <w:color w:val="auto"/>
        </w:rPr>
        <w:t>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ADMINISTRATION</w:t>
      </w:r>
    </w:p>
    <w:p>
      <w:pPr>
        <w:spacing w:after="0" w:line="156" w:lineRule="exact"/>
        <w:rPr>
          <w:sz w:val="20"/>
          <w:szCs w:val="20"/>
          <w:color w:val="auto"/>
        </w:rPr>
      </w:pPr>
    </w:p>
    <w:p>
      <w:pPr>
        <w:jc w:val="both"/>
        <w:ind w:firstLine="251"/>
        <w:spacing w:after="0" w:line="270" w:lineRule="auto"/>
        <w:tabs>
          <w:tab w:leader="none" w:pos="435"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Committee</w:t>
      </w:r>
      <w:r>
        <w:rPr>
          <w:rFonts w:ascii="Times New Roman" w:cs="Times New Roman" w:eastAsia="Times New Roman" w:hAnsi="Times New Roman"/>
          <w:sz w:val="13"/>
          <w:szCs w:val="13"/>
          <w:color w:val="auto"/>
        </w:rPr>
        <w:t>. The Committee (or another committee or a subcommittee of the Board assuming the functions of the Committee under the Plan) shall administer the Plan (except as otherwise provided herein) and, unless otherwise determined by the Board, shall consist solely of two or more Non-Employee Directors appointed by and holding office at the pleasure of the Board, each of whom is intended to qualify as (i) a “non-employee director” as defined by Rule 16b-3 of the Exchange Act or any successor rule and (ii) an “independent director” under the rules of any national securities exchange or automated quotation system on which the shares of Common Stock are listed, quoted or traded; provided that any action taken by the Committee shall be valid and effective, whether or not members of the Committee at the time of such action are later determined not to have satisfied the requirements for membership set forth above in this Section II(a)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(i) the full Board, acting by a majority of its members in office, shall conduct the general administration of the Plan with respect to Plan Awards granted to Non-Employee Directors (and, if the Committee does not consist solely of two or more Non-Employee Directors, Plan Awards granted to individuals subject to the provisions of Section 16 of the Exchange Act) and, with respect to such Plan Awards, the term “Committee” as used in the Plan shall be deemed to refer to the Board and (ii) the Board or Committee may delegate its authority hereunder to the extent permitted by Section II(f).</w:t>
      </w:r>
    </w:p>
    <w:p>
      <w:pPr>
        <w:spacing w:after="0" w:line="136" w:lineRule="exact"/>
        <w:rPr>
          <w:rFonts w:ascii="Times New Roman" w:cs="Times New Roman" w:eastAsia="Times New Roman" w:hAnsi="Times New Roman"/>
          <w:sz w:val="13"/>
          <w:szCs w:val="13"/>
          <w:color w:val="auto"/>
        </w:rPr>
      </w:pPr>
    </w:p>
    <w:p>
      <w:pPr>
        <w:jc w:val="both"/>
        <w:ind w:firstLine="251"/>
        <w:spacing w:after="0" w:line="250" w:lineRule="auto"/>
        <w:tabs>
          <w:tab w:leader="none" w:pos="443"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Duties and Powers of Committee</w:t>
      </w:r>
      <w:r>
        <w:rPr>
          <w:rFonts w:ascii="Times New Roman" w:cs="Times New Roman" w:eastAsia="Times New Roman" w:hAnsi="Times New Roman"/>
          <w:sz w:val="14"/>
          <w:szCs w:val="14"/>
          <w:color w:val="auto"/>
        </w:rPr>
        <w:t>. It shall be the duty of the Committee to conduct the general administration of the Plan in accordance with its provisions. The Committee shall have the power to interpret the Plan and the Award Agreements, and to adopt such rules for the administration, interpretation and application of the Plan as are not inconsistent therewith, to interpret, amend or revoke any such rules and to amend any Award Agreement; provided that the rights, or obligations, of the Participant that are provided under any such Award Agreement are not adversely affected by such amendment, unless the consent of the Participant is obtained or such amendment is otherwise explicitly permitted under the Plan. Any such Plan Award made under the Plan need not be the same with respect to each Participant.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16b-3 under the Exchange Act or any successor rule or the rules of any national securities exchange or automated quotation system on which the shares of Common Stock are listed, quoted or traded are required to be determined in the sole discretion of the Committee.</w:t>
      </w:r>
    </w:p>
    <w:p>
      <w:pPr>
        <w:spacing w:after="0" w:line="146" w:lineRule="exact"/>
        <w:rPr>
          <w:rFonts w:ascii="Times New Roman" w:cs="Times New Roman" w:eastAsia="Times New Roman" w:hAnsi="Times New Roman"/>
          <w:sz w:val="14"/>
          <w:szCs w:val="14"/>
          <w:color w:val="auto"/>
        </w:rPr>
      </w:pPr>
    </w:p>
    <w:p>
      <w:pPr>
        <w:jc w:val="both"/>
        <w:ind w:firstLine="251"/>
        <w:spacing w:after="0" w:line="255" w:lineRule="auto"/>
        <w:tabs>
          <w:tab w:leader="none" w:pos="435"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Action by the Committee</w:t>
      </w:r>
      <w:r>
        <w:rPr>
          <w:rFonts w:ascii="Times New Roman" w:cs="Times New Roman" w:eastAsia="Times New Roman" w:hAnsi="Times New Roman"/>
          <w:sz w:val="14"/>
          <w:szCs w:val="14"/>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in good faith, to rely or act upon any report or other information furnished to that member by any officer or other employee of the Corporation or any Affiliate, the Corporation’s independent registered public accountants, or any executive compensation consultant or other professional retained by the Committee to assist in the design or administration of the Plan.</w:t>
      </w:r>
    </w:p>
    <w:p>
      <w:pPr>
        <w:spacing w:after="0" w:line="142" w:lineRule="exact"/>
        <w:rPr>
          <w:rFonts w:ascii="Times New Roman" w:cs="Times New Roman" w:eastAsia="Times New Roman" w:hAnsi="Times New Roman"/>
          <w:sz w:val="14"/>
          <w:szCs w:val="14"/>
          <w:color w:val="auto"/>
        </w:rPr>
      </w:pPr>
    </w:p>
    <w:p>
      <w:pPr>
        <w:ind w:left="440" w:hanging="189"/>
        <w:spacing w:after="0"/>
        <w:tabs>
          <w:tab w:leader="none" w:pos="4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Authority of Committee</w:t>
      </w:r>
      <w:r>
        <w:rPr>
          <w:rFonts w:ascii="Times New Roman" w:cs="Times New Roman" w:eastAsia="Times New Roman" w:hAnsi="Times New Roman"/>
          <w:sz w:val="13"/>
          <w:szCs w:val="13"/>
          <w:color w:val="auto"/>
        </w:rPr>
        <w:t>. Subject to the Corporation’s bylaws, the Committee’s charter and any provision set forth hereunder, the Committee has the exclusive power, authority and sole discretion</w:t>
      </w:r>
    </w:p>
    <w:p>
      <w:pPr>
        <w:spacing w:after="0" w:line="29"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to:</w:t>
      </w:r>
    </w:p>
    <w:p>
      <w:pPr>
        <w:spacing w:after="0" w:line="156" w:lineRule="exact"/>
        <w:rPr>
          <w:rFonts w:ascii="Times New Roman" w:cs="Times New Roman" w:eastAsia="Times New Roman" w:hAnsi="Times New Roman"/>
          <w:sz w:val="13"/>
          <w:szCs w:val="13"/>
          <w:color w:val="auto"/>
        </w:rPr>
      </w:pPr>
    </w:p>
    <w:p>
      <w:pPr>
        <w:ind w:left="660" w:hanging="161"/>
        <w:spacing w:after="0"/>
        <w:tabs>
          <w:tab w:leader="none" w:pos="66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Designate the Participants who will receive Plan Awards;</w:t>
      </w:r>
    </w:p>
    <w:p>
      <w:pPr>
        <w:spacing w:after="0" w:line="169" w:lineRule="exact"/>
        <w:rPr>
          <w:rFonts w:ascii="Times New Roman" w:cs="Times New Roman" w:eastAsia="Times New Roman" w:hAnsi="Times New Roman"/>
          <w:sz w:val="14"/>
          <w:szCs w:val="14"/>
          <w:color w:val="auto"/>
        </w:rPr>
      </w:pPr>
    </w:p>
    <w:p>
      <w:pPr>
        <w:ind w:left="700" w:hanging="201"/>
        <w:spacing w:after="0"/>
        <w:tabs>
          <w:tab w:leader="none" w:pos="70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the type or types of Plan Awards to be granted to Plan Participants;</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the number of Plan Awards to be granted and the number of shares of Common Stock to which a Plan Award will relate;</w:t>
      </w:r>
    </w:p>
    <w:p>
      <w:pPr>
        <w:spacing w:after="0" w:line="169" w:lineRule="exact"/>
        <w:rPr>
          <w:rFonts w:ascii="Times New Roman" w:cs="Times New Roman" w:eastAsia="Times New Roman" w:hAnsi="Times New Roman"/>
          <w:sz w:val="14"/>
          <w:szCs w:val="14"/>
          <w:color w:val="auto"/>
        </w:rPr>
      </w:pPr>
    </w:p>
    <w:p>
      <w:pPr>
        <w:jc w:val="both"/>
        <w:ind w:firstLine="499"/>
        <w:spacing w:after="0" w:line="259" w:lineRule="auto"/>
        <w:tabs>
          <w:tab w:leader="none" w:pos="735"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the terms and conditions of any Plan Award granted pursuant to the Plan, including, but not limited to, the exercise price, grant price, or purchase price, any performance criteria, any restrictions or limitations on the Plan Award, any schedule for vesting, lapse of forfeiture restrictions or restrictions on the exercisability of a Plan Award, and accelerations or waivers thereof, and any provisions related to non-competition and recapture of gain on a Plan Award, based in each case on such considerations as the Committee in its sole discretion determines;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716470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7" w:name="page38"/>
    <w:bookmarkEnd w:id="37"/>
    <w:p>
      <w:pPr>
        <w:ind w:left="-251" w:firstLine="499"/>
        <w:spacing w:after="0" w:line="272" w:lineRule="auto"/>
        <w:tabs>
          <w:tab w:leader="none" w:pos="442"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whether, to what extent, and pursuant to what circumstances a Plan Award may be settled in, or the exercise price of a Plan Award may be paid in cash, of shares of Common Stock, other Plan Awards, or other property, or a Plan Award may be canceled, forfeited, or surrendered;</w:t>
      </w:r>
    </w:p>
    <w:p>
      <w:pPr>
        <w:spacing w:after="0" w:line="131" w:lineRule="exact"/>
        <w:rPr>
          <w:rFonts w:ascii="Times New Roman" w:cs="Times New Roman" w:eastAsia="Times New Roman" w:hAnsi="Times New Roman"/>
          <w:sz w:val="14"/>
          <w:szCs w:val="14"/>
          <w:color w:val="auto"/>
        </w:rPr>
      </w:pPr>
    </w:p>
    <w:p>
      <w:pPr>
        <w:ind w:left="-251" w:firstLine="499"/>
        <w:spacing w:after="0" w:line="272" w:lineRule="auto"/>
        <w:tabs>
          <w:tab w:leader="none" w:pos="482"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 performance factors to take into account changes in law and accounting or tax rules as the Committee deems necessary or appropriate to reflect the impact of extraordinary or unusual items, events or circumstances to avoid windfalls or hardships;</w:t>
      </w:r>
    </w:p>
    <w:p>
      <w:pPr>
        <w:spacing w:after="0" w:line="131" w:lineRule="exact"/>
        <w:rPr>
          <w:rFonts w:ascii="Times New Roman" w:cs="Times New Roman" w:eastAsia="Times New Roman" w:hAnsi="Times New Roman"/>
          <w:sz w:val="14"/>
          <w:szCs w:val="14"/>
          <w:color w:val="auto"/>
        </w:rPr>
      </w:pPr>
    </w:p>
    <w:p>
      <w:pPr>
        <w:ind w:left="529" w:hanging="281"/>
        <w:spacing w:after="0"/>
        <w:tabs>
          <w:tab w:leader="none" w:pos="529"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Prescribe the form of each Award Agreement, which need not be identical for each Participant;</w:t>
      </w:r>
    </w:p>
    <w:p>
      <w:pPr>
        <w:spacing w:after="0" w:line="169" w:lineRule="exact"/>
        <w:rPr>
          <w:rFonts w:ascii="Times New Roman" w:cs="Times New Roman" w:eastAsia="Times New Roman" w:hAnsi="Times New Roman"/>
          <w:sz w:val="14"/>
          <w:szCs w:val="14"/>
          <w:color w:val="auto"/>
        </w:rPr>
      </w:pPr>
    </w:p>
    <w:p>
      <w:pPr>
        <w:ind w:left="549" w:hanging="301"/>
        <w:spacing w:after="0"/>
        <w:tabs>
          <w:tab w:leader="none" w:pos="549"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the Fair Market Value of Common Stock in good faith, if necessary;</w:t>
      </w:r>
    </w:p>
    <w:p>
      <w:pPr>
        <w:spacing w:after="0" w:line="169" w:lineRule="exact"/>
        <w:rPr>
          <w:rFonts w:ascii="Times New Roman" w:cs="Times New Roman" w:eastAsia="Times New Roman" w:hAnsi="Times New Roman"/>
          <w:sz w:val="14"/>
          <w:szCs w:val="14"/>
          <w:color w:val="auto"/>
        </w:rPr>
      </w:pPr>
    </w:p>
    <w:p>
      <w:pPr>
        <w:ind w:left="489" w:hanging="241"/>
        <w:spacing w:after="0"/>
        <w:tabs>
          <w:tab w:leader="none" w:pos="489"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waivers of Plan or Plan Award conditions;</w:t>
      </w:r>
    </w:p>
    <w:p>
      <w:pPr>
        <w:spacing w:after="0" w:line="169" w:lineRule="exact"/>
        <w:rPr>
          <w:rFonts w:ascii="Times New Roman" w:cs="Times New Roman" w:eastAsia="Times New Roman" w:hAnsi="Times New Roman"/>
          <w:sz w:val="14"/>
          <w:szCs w:val="14"/>
          <w:color w:val="auto"/>
        </w:rPr>
      </w:pPr>
    </w:p>
    <w:p>
      <w:pPr>
        <w:ind w:left="449" w:hanging="201"/>
        <w:spacing w:after="0"/>
        <w:tabs>
          <w:tab w:leader="none" w:pos="449"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Correct any defect, supply any omission or reconcile any inconsistency in the Plan, any Plan Award or any Award Agreement;</w:t>
      </w:r>
    </w:p>
    <w:p>
      <w:pPr>
        <w:spacing w:after="0" w:line="169" w:lineRule="exact"/>
        <w:rPr>
          <w:rFonts w:ascii="Times New Roman" w:cs="Times New Roman" w:eastAsia="Times New Roman" w:hAnsi="Times New Roman"/>
          <w:sz w:val="14"/>
          <w:szCs w:val="14"/>
          <w:color w:val="auto"/>
        </w:rPr>
      </w:pPr>
    </w:p>
    <w:p>
      <w:pPr>
        <w:ind w:left="489" w:hanging="241"/>
        <w:spacing w:after="0"/>
        <w:tabs>
          <w:tab w:leader="none" w:pos="489"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whether a Plan Award has been earned;</w:t>
      </w:r>
    </w:p>
    <w:p>
      <w:pPr>
        <w:spacing w:after="0" w:line="169" w:lineRule="exact"/>
        <w:rPr>
          <w:rFonts w:ascii="Times New Roman" w:cs="Times New Roman" w:eastAsia="Times New Roman" w:hAnsi="Times New Roman"/>
          <w:sz w:val="14"/>
          <w:szCs w:val="14"/>
          <w:color w:val="auto"/>
        </w:rPr>
      </w:pPr>
    </w:p>
    <w:p>
      <w:pPr>
        <w:ind w:left="529" w:hanging="281"/>
        <w:spacing w:after="0"/>
        <w:tabs>
          <w:tab w:leader="none" w:pos="529"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Decide all other matters that must be determined in connection with a Plan Award;</w:t>
      </w:r>
    </w:p>
    <w:p>
      <w:pPr>
        <w:spacing w:after="0" w:line="169" w:lineRule="exact"/>
        <w:rPr>
          <w:rFonts w:ascii="Times New Roman" w:cs="Times New Roman" w:eastAsia="Times New Roman" w:hAnsi="Times New Roman"/>
          <w:sz w:val="14"/>
          <w:szCs w:val="14"/>
          <w:color w:val="auto"/>
        </w:rPr>
      </w:pPr>
    </w:p>
    <w:p>
      <w:pPr>
        <w:ind w:left="549" w:hanging="301"/>
        <w:spacing w:after="0"/>
        <w:tabs>
          <w:tab w:leader="none" w:pos="549"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adopt, or revise any rules and regulations as it may deem necessary or advisable to administer the Plan;</w:t>
      </w:r>
    </w:p>
    <w:p>
      <w:pPr>
        <w:spacing w:after="0" w:line="169" w:lineRule="exact"/>
        <w:rPr>
          <w:rFonts w:ascii="Times New Roman" w:cs="Times New Roman" w:eastAsia="Times New Roman" w:hAnsi="Times New Roman"/>
          <w:sz w:val="14"/>
          <w:szCs w:val="14"/>
          <w:color w:val="auto"/>
        </w:rPr>
      </w:pPr>
    </w:p>
    <w:p>
      <w:pPr>
        <w:ind w:left="549" w:hanging="301"/>
        <w:spacing w:after="0"/>
        <w:tabs>
          <w:tab w:leader="none" w:pos="549"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Interpret the terms of, and any matter arising pursuant to, the Plan or any Award Agreement;</w:t>
      </w:r>
    </w:p>
    <w:p>
      <w:pPr>
        <w:spacing w:after="0" w:line="169" w:lineRule="exact"/>
        <w:rPr>
          <w:rFonts w:ascii="Times New Roman" w:cs="Times New Roman" w:eastAsia="Times New Roman" w:hAnsi="Times New Roman"/>
          <w:sz w:val="14"/>
          <w:szCs w:val="14"/>
          <w:color w:val="auto"/>
        </w:rPr>
      </w:pPr>
    </w:p>
    <w:p>
      <w:pPr>
        <w:ind w:left="509" w:hanging="261"/>
        <w:spacing w:after="0"/>
        <w:tabs>
          <w:tab w:leader="none" w:pos="509"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all other decisions and determinations that may be required pursuant to the Plan or as the Committee deems necessary or advisable to administer the Plan;</w:t>
      </w:r>
    </w:p>
    <w:p>
      <w:pPr>
        <w:spacing w:after="0" w:line="169" w:lineRule="exact"/>
        <w:rPr>
          <w:rFonts w:ascii="Times New Roman" w:cs="Times New Roman" w:eastAsia="Times New Roman" w:hAnsi="Times New Roman"/>
          <w:sz w:val="14"/>
          <w:szCs w:val="14"/>
          <w:color w:val="auto"/>
        </w:rPr>
      </w:pPr>
    </w:p>
    <w:p>
      <w:pPr>
        <w:ind w:left="-251" w:firstLine="499"/>
        <w:spacing w:after="0" w:line="272" w:lineRule="auto"/>
        <w:tabs>
          <w:tab w:leader="none" w:pos="548"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Accelerate wholly or partially the vesting or lapse of restrictions of any Plan Award or portion thereof at any time after the grant of a Plan Award, subject to the terms and conditions set forth under Article X; and</w:t>
      </w:r>
    </w:p>
    <w:p>
      <w:pPr>
        <w:spacing w:after="0" w:line="131" w:lineRule="exact"/>
        <w:rPr>
          <w:rFonts w:ascii="Times New Roman" w:cs="Times New Roman" w:eastAsia="Times New Roman" w:hAnsi="Times New Roman"/>
          <w:sz w:val="14"/>
          <w:szCs w:val="14"/>
          <w:color w:val="auto"/>
        </w:rPr>
      </w:pPr>
    </w:p>
    <w:p>
      <w:pPr>
        <w:ind w:left="-251" w:firstLine="499"/>
        <w:spacing w:after="0" w:line="272" w:lineRule="auto"/>
        <w:tabs>
          <w:tab w:leader="none" w:pos="591"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adopt or revise any rules and regulations, including adopting sub-plans to the Plan, for the purposes of facilitating compliance with foreign laws, easing the administration of the Plan and/or taking advantage of tax-favorable treatment for Awards granted to Participants outside the U.S., in each case as it may deem necessary or advisable;</w:t>
      </w:r>
    </w:p>
    <w:p>
      <w:pPr>
        <w:spacing w:after="0" w:line="131" w:lineRule="exact"/>
        <w:rPr>
          <w:rFonts w:ascii="Times New Roman" w:cs="Times New Roman" w:eastAsia="Times New Roman" w:hAnsi="Times New Roman"/>
          <w:sz w:val="14"/>
          <w:szCs w:val="14"/>
          <w:color w:val="auto"/>
        </w:rPr>
      </w:pPr>
    </w:p>
    <w:p>
      <w:pPr>
        <w:jc w:val="both"/>
        <w:ind w:left="-251" w:firstLine="251"/>
        <w:spacing w:after="0" w:line="255" w:lineRule="auto"/>
        <w:tabs>
          <w:tab w:leader="none" w:pos="185"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Decisions Binding</w:t>
      </w:r>
      <w:r>
        <w:rPr>
          <w:rFonts w:ascii="Times New Roman" w:cs="Times New Roman" w:eastAsia="Times New Roman" w:hAnsi="Times New Roman"/>
          <w:sz w:val="14"/>
          <w:szCs w:val="14"/>
          <w:color w:val="auto"/>
        </w:rPr>
        <w:t>. The Committee’s interpretation of the Plan, any Plan Awards granted pursuant to the Plan and any Award Agreement and all decisions and determinations by the Committee with respect to the Plan are final, binding, and conclusive on all persons. Any dispute regarding the interpretation of the Plan or any Award Agreement shall be submitted by the Participant or Corporation to the Committee for review. Subject to the provisions of Section XI(m) and Article XVII, the resolution of such a dispute by the Committee shall be final, binding and conclusive on the Corporation and the Participant.</w:t>
      </w:r>
    </w:p>
    <w:p>
      <w:pPr>
        <w:spacing w:after="0" w:line="142" w:lineRule="exact"/>
        <w:rPr>
          <w:rFonts w:ascii="Times New Roman" w:cs="Times New Roman" w:eastAsia="Times New Roman" w:hAnsi="Times New Roman"/>
          <w:sz w:val="14"/>
          <w:szCs w:val="14"/>
          <w:color w:val="auto"/>
        </w:rPr>
      </w:pPr>
    </w:p>
    <w:p>
      <w:pPr>
        <w:jc w:val="both"/>
        <w:ind w:left="-251" w:firstLine="251"/>
        <w:spacing w:after="0" w:line="250" w:lineRule="auto"/>
        <w:tabs>
          <w:tab w:leader="none" w:pos="169"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Delegation of Authority</w:t>
      </w:r>
      <w:r>
        <w:rPr>
          <w:rFonts w:ascii="Times New Roman" w:cs="Times New Roman" w:eastAsia="Times New Roman" w:hAnsi="Times New Roman"/>
          <w:sz w:val="14"/>
          <w:szCs w:val="14"/>
          <w:color w:val="auto"/>
        </w:rPr>
        <w:t>. To the extent permitted by Applicable Law, the Board or Committee may from time to time delegate to a committee of one or more members of the Board or to one or more officers of the Corporation or any Affiliate the authority to grant and/or amend Plan Awards and/or to take other administrative actions pursuant to this Article II; provided, however, that in no event shall an officer of the Corporation or any Affiliate be delegated the authority to grant awards to, or amend awards held by, the following individuals: (i) individuals who are subject to Section 16 of the Exchange Act or (ii) officers of the Corporation (or directors) to whom authority to grant or amend Plan Awards has been delegated hereunder; provided, further, that any delegation of administrative authority shall only be permitted to the extent it does not violate the provisions of Applicable Law. Any delegation hereunder shall be subject to the restrictions and limits that the Board or Committee specifies at the time of such delegation, and the Board or Committee, as the case may be, may, at anytime, rescind the authority so delegated or appoint a new delegatee. At all times, the delegatee appointed under this Section II(f) shall serve in such capacity at the pleasure of the Board and the Committee.</w:t>
      </w:r>
    </w:p>
    <w:p>
      <w:pPr>
        <w:spacing w:after="0" w:line="148" w:lineRule="exact"/>
        <w:rPr>
          <w:rFonts w:ascii="Times New Roman" w:cs="Times New Roman" w:eastAsia="Times New Roman" w:hAnsi="Times New Roman"/>
          <w:sz w:val="14"/>
          <w:szCs w:val="14"/>
          <w:color w:val="auto"/>
        </w:rPr>
      </w:pPr>
    </w:p>
    <w:p>
      <w:pPr>
        <w:ind w:left="-251" w:firstLine="251"/>
        <w:spacing w:after="0" w:line="272" w:lineRule="auto"/>
        <w:tabs>
          <w:tab w:leader="none" w:pos="19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16 of the Exchange Act</w:t>
      </w:r>
      <w:r>
        <w:rPr>
          <w:rFonts w:ascii="Times New Roman" w:cs="Times New Roman" w:eastAsia="Times New Roman" w:hAnsi="Times New Roman"/>
          <w:sz w:val="14"/>
          <w:szCs w:val="14"/>
          <w:color w:val="auto"/>
        </w:rPr>
        <w:t>. Awards granted to Participants who are subject to Section 16 of the Exchange Act must be approved by two or more “</w:t>
      </w:r>
      <w:r>
        <w:rPr>
          <w:rFonts w:ascii="Times New Roman" w:cs="Times New Roman" w:eastAsia="Times New Roman" w:hAnsi="Times New Roman"/>
          <w:sz w:val="14"/>
          <w:szCs w:val="14"/>
          <w:u w:val="single" w:color="auto"/>
          <w:color w:val="auto"/>
        </w:rPr>
        <w:t>non-employee directors</w:t>
      </w:r>
      <w:r>
        <w:rPr>
          <w:rFonts w:ascii="Times New Roman" w:cs="Times New Roman" w:eastAsia="Times New Roman" w:hAnsi="Times New Roman"/>
          <w:sz w:val="14"/>
          <w:szCs w:val="14"/>
          <w:color w:val="auto"/>
        </w:rPr>
        <w:t>” (as defined in the rules and regulations promulgated under Section 16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196215</wp:posOffset>
            </wp:positionV>
            <wp:extent cx="716470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029"/>
          </w:cols>
          <w:pgMar w:left="551" w:top="561" w:right="319" w:bottom="1440" w:gutter="0" w:footer="0" w:header="0"/>
        </w:sectPr>
      </w:pPr>
    </w:p>
    <w:bookmarkStart w:id="38" w:name="page39"/>
    <w:bookmarkEnd w:id="38"/>
    <w:p>
      <w:pPr>
        <w:jc w:val="both"/>
        <w:ind w:firstLine="251"/>
        <w:spacing w:after="0" w:line="249" w:lineRule="auto"/>
        <w:tabs>
          <w:tab w:leader="none" w:pos="443"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of the Committee</w:t>
      </w:r>
      <w:r>
        <w:rPr>
          <w:rFonts w:ascii="Times New Roman" w:cs="Times New Roman" w:eastAsia="Times New Roman" w:hAnsi="Times New Roman"/>
          <w:sz w:val="14"/>
          <w:szCs w:val="14"/>
          <w:color w:val="auto"/>
        </w:rPr>
        <w:t>. The Corporation shall bear all expenses of administering the Plan. The Corporation shall indemnify and hold harmless each person who is or shall have been a member of the Committee acting as administrator of the Plan, or any agent or person appointed or delegated by the Committee to perform any of its duties, against and from any cost, liability, loss or expense that may be imposed upon or reasonably incurred by such person in connection with or resulting from any action, claim, suit or proceeding to which such person may be a party or in which such person may be involved by reason of any action taken or not taken in good faith under the Plan and against and from any and all amounts paid by such person in settlement thereof, with the Corporation’s approval, or paid by such person in satisfaction of any judgment in any such action, suit or proceeding against such person, provided he or she shall give the Corporation an opportunity, at its own expense, to handle and defend the same before he undertakes to handle and defend it on his own behalf. Notwithstanding the foregoing, the Corporation shall not indemnify and hold harmless any such person if Applicable Law or the Corporation’s Certificate of Incorporation or bylaws prohibit such indemnification. The foregoing right of indemnification shall not be exclusive of any other rights of indemnification to which such persons may be entitled under the Corporation’s Certificate of Incorporation, bylaws or any agreement, as a matter of law or otherwise, or under any other power that the Corporation may have to indemnify or hold harmless such person. The provisions of the foregoing indemnity shall survive indefinitely the term of the Plan.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SHARES AVAILABLE</w:t>
      </w:r>
    </w:p>
    <w:p>
      <w:pPr>
        <w:spacing w:after="0" w:line="156" w:lineRule="exact"/>
        <w:rPr>
          <w:sz w:val="20"/>
          <w:szCs w:val="20"/>
          <w:color w:val="auto"/>
        </w:rPr>
      </w:pPr>
    </w:p>
    <w:p>
      <w:pPr>
        <w:jc w:val="both"/>
        <w:ind w:firstLine="251"/>
        <w:spacing w:after="0" w:line="251" w:lineRule="auto"/>
        <w:tabs>
          <w:tab w:leader="none" w:pos="435"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Number of Shares of Common Stock</w:t>
      </w:r>
      <w:r>
        <w:rPr>
          <w:rFonts w:ascii="Times New Roman" w:cs="Times New Roman" w:eastAsia="Times New Roman" w:hAnsi="Times New Roman"/>
          <w:sz w:val="14"/>
          <w:szCs w:val="14"/>
          <w:color w:val="auto"/>
        </w:rPr>
        <w:t>. Subject to the adjustments provided in Article X of the Plan, the aggregate number of shares of the Common Stock which may be granted for all purposes under the Plan (including, but not limited to, Incentive Stock Options) shall be 6,211,671 shares of Common Stock. Shares of Common Stock underlying Plan Awards and shares of Common Stock directly awarded hereunder (whether or not on a restricted basis) shall be counted against the limitation set forth in the immediately preceding sentence and may be reused to the extent that the related Plan Award to any individual is settled in cash, expires, is terminated unexercised, or is forfeited. To the extent that a Stock Appreciation Right related to an Option is exercised, such Option shall be deemed to have been exercised and vice versa. Common Stock granted to satisfy Plan Awards under the Plan may be authorized and unissued shares of the Common Stock, issued shares of such Common Stock held in the Corporation’s treasury or shares of Common Stock acquired on the open market.</w:t>
      </w:r>
    </w:p>
    <w:p>
      <w:pPr>
        <w:spacing w:after="0" w:line="147" w:lineRule="exact"/>
        <w:rPr>
          <w:rFonts w:ascii="Times New Roman" w:cs="Times New Roman" w:eastAsia="Times New Roman" w:hAnsi="Times New Roman"/>
          <w:sz w:val="14"/>
          <w:szCs w:val="14"/>
          <w:color w:val="auto"/>
        </w:rPr>
      </w:pPr>
    </w:p>
    <w:p>
      <w:pPr>
        <w:jc w:val="both"/>
        <w:ind w:firstLine="251"/>
        <w:spacing w:after="0" w:line="250" w:lineRule="auto"/>
        <w:tabs>
          <w:tab w:leader="none" w:pos="443"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Substitute Awards</w:t>
      </w:r>
      <w:r>
        <w:rPr>
          <w:rFonts w:ascii="Times New Roman" w:cs="Times New Roman" w:eastAsia="Times New Roman" w:hAnsi="Times New Roman"/>
          <w:sz w:val="14"/>
          <w:szCs w:val="14"/>
          <w:color w:val="auto"/>
        </w:rPr>
        <w:t>. To the extent permitted by Applicable Law, Substitute Awards shall not reduce the number of shares of Common Stock authorized for grant under the Plan. Additionally, in the event that an entity acquired by the Corporation or any Affiliate or with which the Corporation or any Affiliate combines has shares available under a pre-existing plan approved by stockholders or equity 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Plan Awards under the Plan and shall not reduce the number of shares of Common Stock authorized for grant under the Plan; provided that Plan Awards using such available shares shall not be made after the date awards or grants could have been made under the terms of the pre-existing plan, absent the acquisition or combination, and shall only be made to individuals who were not employed by or providing services to the Corporation or its Affiliates immediately prior to such acquisition or combination.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IV</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ELIGIBILITY, ETC.</w:t>
      </w:r>
    </w:p>
    <w:p>
      <w:pPr>
        <w:spacing w:after="0" w:line="156" w:lineRule="exact"/>
        <w:rPr>
          <w:sz w:val="20"/>
          <w:szCs w:val="20"/>
          <w:color w:val="auto"/>
        </w:rPr>
      </w:pPr>
    </w:p>
    <w:p>
      <w:pPr>
        <w:jc w:val="both"/>
        <w:ind w:firstLine="251"/>
        <w:spacing w:after="0" w:line="270" w:lineRule="auto"/>
        <w:tabs>
          <w:tab w:leader="none" w:pos="435"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Eligible Individuals</w:t>
      </w:r>
      <w:r>
        <w:rPr>
          <w:rFonts w:ascii="Times New Roman" w:cs="Times New Roman" w:eastAsia="Times New Roman" w:hAnsi="Times New Roman"/>
          <w:sz w:val="13"/>
          <w:szCs w:val="13"/>
          <w:color w:val="auto"/>
        </w:rPr>
        <w:t>. Any Employee of the Corporation or an Affiliate (including an entity that becomes an Affiliate after the adoption of the Plan), a member of the Board or the board of directors of an Affiliate (including an entity that becomes an Affiliate after the adoption of the Plan) (whether or not such Board or board of directors member is an Employee), any Consultant to the Corporation or an Affiliate (including an entity that becomes an Affiliate after the adoption of the Plan) and any entity which is a wholly-owned alter ego of such Employee, member of the Board or board of directors of an Affiliate or Consultant is eligible to participate in the Plan if the Committee, in its sole discretion, determines that such person or entity has contributed significantly or can be expected to contribute significantly to the profits or growth of the Corporation or any Affiliate or if it is otherwise in the best interest of the Corporation or any Affiliate for such person or entity to participate in the Plan. With respect to any Board member who is (i) designated or nominated to serve as a Board member by a stockholder of the Corporation and (ii) an employee of such stockholder of the Corporation, then, at the irrevocable election of the employing stockholder, the person or entity who shall be eligible to participate in the Plan on behalf of the service of the respective Board member shall be the employing stockholder (or one of its Affiliates). To the extent such election is made, the respective Board member shall have no rights hereunder as a Participant with respect to such Board member’s participation in the Plan. A Plan Award may be granted to a person or entity who has been offered employment or service by the Corporation or an Affiliate and who would otherwise qualify as eligible to receive the Plan Award to the extent that person or entity commences employment or service with the Corporation or an Affiliate, provided that such person or entity may not receive any payment or exercise any right relating to the Plan Award, and the grant of the Plan Award will be contingent, until such person or entity has commenced employment or service with the Corporation or an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198120</wp:posOffset>
            </wp:positionV>
            <wp:extent cx="716470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39" w:name="page40"/>
    <w:bookmarkEnd w:id="39"/>
    <w:p>
      <w:pPr>
        <w:jc w:val="both"/>
        <w:ind w:firstLine="251"/>
        <w:spacing w:after="0" w:line="255" w:lineRule="auto"/>
        <w:tabs>
          <w:tab w:leader="none" w:pos="443"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Limitations Applicable to Section 16 Persons</w:t>
      </w:r>
      <w:r>
        <w:rPr>
          <w:rFonts w:ascii="Times New Roman" w:cs="Times New Roman" w:eastAsia="Times New Roman" w:hAnsi="Times New Roman"/>
          <w:sz w:val="14"/>
          <w:szCs w:val="14"/>
          <w:color w:val="auto"/>
        </w:rPr>
        <w:t>. Notwithstanding any other provision of the Plan to the contrary, any Plan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and the Plan, Plan Awards granted or awarded hereunder shall be deemed amended to the extent necessary to conform to such applicable exemptive rule.</w:t>
      </w:r>
    </w:p>
    <w:p>
      <w:pPr>
        <w:spacing w:after="0" w:line="142" w:lineRule="exact"/>
        <w:rPr>
          <w:rFonts w:ascii="Times New Roman" w:cs="Times New Roman" w:eastAsia="Times New Roman" w:hAnsi="Times New Roman"/>
          <w:sz w:val="14"/>
          <w:szCs w:val="14"/>
          <w:color w:val="auto"/>
        </w:rPr>
      </w:pPr>
    </w:p>
    <w:p>
      <w:pPr>
        <w:jc w:val="both"/>
        <w:ind w:firstLine="251"/>
        <w:spacing w:after="0" w:line="271" w:lineRule="auto"/>
        <w:tabs>
          <w:tab w:leader="none" w:pos="435"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Foreign Participant</w:t>
      </w:r>
      <w:r>
        <w:rPr>
          <w:rFonts w:ascii="Times New Roman" w:cs="Times New Roman" w:eastAsia="Times New Roman" w:hAnsi="Times New Roman"/>
          <w:sz w:val="13"/>
          <w:szCs w:val="13"/>
          <w:color w:val="auto"/>
        </w:rPr>
        <w:t>. Notwithstanding any provision of the Plan to the contrary, in order to comply with the laws, rules, regulations and/or taxes in countries other than the United States in which the Corporation and its Affiliates operate or have Employees, Non-Employee Directors or Consultants, or in order to comply with the requirements of any foreign securities exchange, the Committee, in its sole discretion, shall have the power and authority to: (i) determine which Affiliates shall be covered by the Plan; (ii) determine which individuals outside the United States are eligible to participate in the Plan; (iii) modify the terms and conditions of any Plan Award granted to individuals outside the United States to comply with applicable foreign laws or listing requirements of any such foreign securities exchange; (iv) establish subplans and modify exercise procedures and other terms and procedures, to the extent such actions may be necessary or advisable (any such subplans and/or modifications to be attached to the Plan as appendices); provided, however, that no such subplans and/or modifications shall increase the share limitations contained in Article III; and (v) take any action, before or after a Plan Award is made, that it deems advisable to obtain approval or comply with any necessary local governmental regulatory exemptions or approvals or listing requirements of any such foreign securities exchange. Notwithstanding the foregoing, the Committee may not take any actions hereunder, and no Plan Awards shall be granted, that would violate Applicable Law. For purposes of the Plan, all references to foreign laws, rules, regulations or taxes shall be references to the laws, rules, regulations and taxes of any applicable jurisdiction other than the United States or a political subdivision thereof.</w:t>
      </w:r>
    </w:p>
    <w:p>
      <w:pPr>
        <w:spacing w:after="0" w:line="133" w:lineRule="exact"/>
        <w:rPr>
          <w:rFonts w:ascii="Times New Roman" w:cs="Times New Roman" w:eastAsia="Times New Roman" w:hAnsi="Times New Roman"/>
          <w:sz w:val="13"/>
          <w:szCs w:val="13"/>
          <w:color w:val="auto"/>
        </w:rPr>
      </w:pPr>
    </w:p>
    <w:p>
      <w:pPr>
        <w:jc w:val="both"/>
        <w:ind w:firstLine="251"/>
        <w:spacing w:after="0" w:line="253" w:lineRule="auto"/>
        <w:tabs>
          <w:tab w:leader="none" w:pos="443"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Non-Employee Director Awards</w:t>
      </w:r>
      <w:r>
        <w:rPr>
          <w:rFonts w:ascii="Times New Roman" w:cs="Times New Roman" w:eastAsia="Times New Roman" w:hAnsi="Times New Roman"/>
          <w:sz w:val="14"/>
          <w:szCs w:val="14"/>
          <w:color w:val="auto"/>
        </w:rPr>
        <w:t>. The Committee may, in its sole discretion, provide that Plan Awards granted to Non-Employee Directors shall be granted pursuant to a written formula established by the Committee (the “</w:t>
      </w:r>
      <w:r>
        <w:rPr>
          <w:rFonts w:ascii="Times New Roman" w:cs="Times New Roman" w:eastAsia="Times New Roman" w:hAnsi="Times New Roman"/>
          <w:sz w:val="14"/>
          <w:szCs w:val="14"/>
          <w:u w:val="single" w:color="auto"/>
          <w:color w:val="auto"/>
        </w:rPr>
        <w:t>Non-Employee Director Compensation Policy</w:t>
      </w:r>
      <w:r>
        <w:rPr>
          <w:rFonts w:ascii="Times New Roman" w:cs="Times New Roman" w:eastAsia="Times New Roman" w:hAnsi="Times New Roman"/>
          <w:sz w:val="14"/>
          <w:szCs w:val="14"/>
          <w:color w:val="auto"/>
        </w:rPr>
        <w:t>”), subject to the limitations of the Plan. The Non-Employee Director Compensation Policy shall set forth the type of Plan Award(s) to be granted to Non-Employee Directors, the number of shares of Common Stock to be subject to Non-Employee Director Plan Awards, the conditions on which such Plan Awards shall be granted, become exercisable and/or payable and expire, and such other terms and conditions as the Committee shall determine in its sole discretion. The Non-Employee Director Compensation Policy may be modified by the Committee from time to time in its sole discretion.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156"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 Committee shall have the authority, in its sole discretion, to grant Incentive Stock Options or to grant Non-Qualified Stock Options or to grant both types of Options. Notwithstanding anything contained herein to the contrary, an Incentive Stock Option may be granted only to common law employees of the Corporation or of any Affiliate now existing or hereafter formed or acquired, and not to any director or officer who is not also such a common law employee. The terms and conditions of the Options shall be determined from time to time by the Committee; provided, however, that the Options granted under the Plan shall be subject to the following:</w:t>
      </w:r>
    </w:p>
    <w:p>
      <w:pPr>
        <w:spacing w:after="0" w:line="142" w:lineRule="exact"/>
        <w:rPr>
          <w:sz w:val="20"/>
          <w:szCs w:val="20"/>
          <w:color w:val="auto"/>
        </w:rPr>
      </w:pPr>
    </w:p>
    <w:p>
      <w:pPr>
        <w:jc w:val="both"/>
        <w:ind w:firstLine="251"/>
        <w:spacing w:after="0" w:line="249" w:lineRule="auto"/>
        <w:tabs>
          <w:tab w:leader="none" w:pos="435"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color w:val="auto"/>
        </w:rPr>
        <w:t xml:space="preserve">. The Committee shall establish the exercise price at the time any Option is granted at such amount as the Committee shall determine;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exercise price for each share of Common Stock purchasable under (i) any Incentive Stock Option granted hereunder or (ii) any Option intended to satisfy the requirements of Treas. Reg. §1.409A-1(b)(5) (i)(A) shall at all times be not less than such amount as the Committee shall, in its best judgment, determine to be 100% of the Fair Market Value per share of Common Stock at the date the Option is granted; and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in the case of an Incentive Stock Option granted to a person who, at the time such Incentive Stock Option is granted, owns (or, pursuant to Section 422(b)(6) of the Code and the regulations promulgated thereunder, is deemed to own) shares of stock of the Corporation or of any Affiliate which possess more than 10% of the total combined voting power of all classes of shares of stock of the Corporation or of any Affiliate, the exercise price for each share of Common Stock shall be such amount as the Committee, in its best judgment, shall determine to be not less than 110% of the Fair Market Value per share of Common Stock at the date the Option is granted. The exercise price of any Option will be subject to adjustment in accordance with the provisions of Section X of the Plan. Notwithstanding the foregoing, the Committee shall have sole discretion, with respect to Non-Qualified Stock Options, to establish an exercise price at less than the Fair Market Value per share of Common Stock on the date the Option is granted, but only if any such Option is designed to comply with the requirements of Section 409A of the Code by including one of the following provisions:</w:t>
      </w:r>
    </w:p>
    <w:p>
      <w:pPr>
        <w:spacing w:after="0" w:line="149" w:lineRule="exact"/>
        <w:rPr>
          <w:rFonts w:ascii="Times New Roman" w:cs="Times New Roman" w:eastAsia="Times New Roman" w:hAnsi="Times New Roman"/>
          <w:sz w:val="14"/>
          <w:szCs w:val="14"/>
          <w:color w:val="auto"/>
        </w:rPr>
      </w:pPr>
    </w:p>
    <w:p>
      <w:pPr>
        <w:ind w:firstLine="499"/>
        <w:spacing w:after="0" w:line="272" w:lineRule="auto"/>
        <w:tabs>
          <w:tab w:leader="none" w:pos="664"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 Agreement related to any such Option must provide that, under all circumstances, the Common Stock (or cash or other property) to be received by the Participant (or other person) upon the exercise or settlement of the Option must be so received no later than the 15th day of the third month of the year immediately following the year during which the Option vests;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16470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40" w:name="page41"/>
    <w:bookmarkEnd w:id="40"/>
    <w:p>
      <w:pPr>
        <w:ind w:left="-251" w:firstLine="499"/>
        <w:spacing w:after="0" w:line="272" w:lineRule="auto"/>
        <w:tabs>
          <w:tab w:leader="none" w:pos="462"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 Agreement related to any such Option must provide that the Option may be exercised only during a specific year specified in the Award Agreement or upon a payment event permitted under Section 409A of the Code and the regulations promulgated thereunder (with such year(s) and payment events being set forth in the related Award Agreement); or</w:t>
      </w:r>
    </w:p>
    <w:p>
      <w:pPr>
        <w:spacing w:after="0" w:line="131" w:lineRule="exact"/>
        <w:rPr>
          <w:rFonts w:ascii="Times New Roman" w:cs="Times New Roman" w:eastAsia="Times New Roman" w:hAnsi="Times New Roman"/>
          <w:sz w:val="14"/>
          <w:szCs w:val="14"/>
          <w:color w:val="auto"/>
        </w:rPr>
      </w:pPr>
    </w:p>
    <w:p>
      <w:pPr>
        <w:jc w:val="both"/>
        <w:ind w:left="-251" w:firstLine="499"/>
        <w:spacing w:after="0" w:line="259" w:lineRule="auto"/>
        <w:tabs>
          <w:tab w:leader="none" w:pos="503"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 Agreement related to any such Option must provide that Common Stock (or cash or other property) deliverable to a Participant (or other person) pursuant to an exercise or settlement of the Option may not be so delivered until a specified date or payment event permitted under Section 409A of the Code and the regulations promulgated thereunder (with such date(s) and payment events being set forth in the related Award Agreement).</w:t>
      </w:r>
    </w:p>
    <w:p>
      <w:pPr>
        <w:spacing w:after="0" w:line="140" w:lineRule="exact"/>
        <w:rPr>
          <w:rFonts w:ascii="Times New Roman" w:cs="Times New Roman" w:eastAsia="Times New Roman" w:hAnsi="Times New Roman"/>
          <w:sz w:val="14"/>
          <w:szCs w:val="14"/>
          <w:color w:val="auto"/>
        </w:rPr>
      </w:pPr>
    </w:p>
    <w:p>
      <w:pPr>
        <w:jc w:val="both"/>
        <w:ind w:left="-251" w:firstLine="251"/>
        <w:spacing w:after="0" w:line="259" w:lineRule="auto"/>
        <w:tabs>
          <w:tab w:leader="none" w:pos="19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 of Exercise Price</w:t>
      </w:r>
      <w:r>
        <w:rPr>
          <w:rFonts w:ascii="Times New Roman" w:cs="Times New Roman" w:eastAsia="Times New Roman" w:hAnsi="Times New Roman"/>
          <w:sz w:val="14"/>
          <w:szCs w:val="14"/>
          <w:color w:val="auto"/>
        </w:rPr>
        <w:t>. The exercise price per share of Common Stock with respect to each Option shall be payable at the time the Option is exercised. Such price shall be payable in cash or pursuant to any of the other methods set forth in Section V(g) hereof, as determined by the Committee. Shares of Common Stock delivered to the Corporation in payment of the exercise price shall be valued at the Fair Market Value of the Common Stock on the date preceding the date of the exercise of the Option.</w:t>
      </w:r>
    </w:p>
    <w:p>
      <w:pPr>
        <w:spacing w:after="0" w:line="140" w:lineRule="exact"/>
        <w:rPr>
          <w:rFonts w:ascii="Times New Roman" w:cs="Times New Roman" w:eastAsia="Times New Roman" w:hAnsi="Times New Roman"/>
          <w:sz w:val="14"/>
          <w:szCs w:val="14"/>
          <w:color w:val="auto"/>
        </w:rPr>
      </w:pPr>
    </w:p>
    <w:p>
      <w:pPr>
        <w:jc w:val="both"/>
        <w:ind w:left="-251" w:firstLine="251"/>
        <w:spacing w:after="0" w:line="255" w:lineRule="auto"/>
        <w:tabs>
          <w:tab w:leader="none" w:pos="195"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Exercisability of Options</w:t>
      </w:r>
      <w:r>
        <w:rPr>
          <w:rFonts w:ascii="Times New Roman" w:cs="Times New Roman" w:eastAsia="Times New Roman" w:hAnsi="Times New Roman"/>
          <w:sz w:val="14"/>
          <w:szCs w:val="14"/>
          <w:color w:val="auto"/>
        </w:rPr>
        <w:t>. Except as provided in Section V(e) hereof, each Option shall be exercisable in whole or in installments, and at such time(s), and subject to the fulfillment of any conditions on, and to any limitations on, exercisability as may be determined by the Committee at the time of the grant of such Option. The right to purchase shares of Common Stock shall be cumulative so that when the right to purchase any shares of Common Stock has accrued such shares of Common Stock or any part thereof may be purchased at any time thereafter until the expiration or termination of the Option.</w:t>
      </w:r>
    </w:p>
    <w:p>
      <w:pPr>
        <w:spacing w:after="0" w:line="142" w:lineRule="exact"/>
        <w:rPr>
          <w:rFonts w:ascii="Times New Roman" w:cs="Times New Roman" w:eastAsia="Times New Roman" w:hAnsi="Times New Roman"/>
          <w:sz w:val="14"/>
          <w:szCs w:val="14"/>
          <w:color w:val="auto"/>
        </w:rPr>
      </w:pPr>
    </w:p>
    <w:p>
      <w:pPr>
        <w:jc w:val="both"/>
        <w:ind w:left="-251" w:firstLine="251"/>
        <w:spacing w:after="0" w:line="255" w:lineRule="auto"/>
        <w:tabs>
          <w:tab w:leader="none" w:pos="19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Expiration of Options</w:t>
      </w:r>
      <w:r>
        <w:rPr>
          <w:rFonts w:ascii="Times New Roman" w:cs="Times New Roman" w:eastAsia="Times New Roman" w:hAnsi="Times New Roman"/>
          <w:sz w:val="14"/>
          <w:szCs w:val="14"/>
          <w:color w:val="auto"/>
        </w:rPr>
        <w:t>. No Incentive Stock Option by its terms shall be exercisable after the 10 years from the date of grant of such Option; provided, however, in the case of an Incentive Stock Option granted to a person who, at the time such Option is granted, owns (or, pursuant to Section 422(b)(6) of the Code and the regulations promulgated thereunder, is deemed to own) shares of stock of the Corporation or of any Affiliate possessing more than 10% of the total combined voting power of all classes of shares of stock of the Corporation or of any Affiliate, such Option shall not be exercisable after the expiration of five years from the date of grant of such Option.</w:t>
      </w:r>
    </w:p>
    <w:p>
      <w:pPr>
        <w:spacing w:after="0" w:line="142" w:lineRule="exact"/>
        <w:rPr>
          <w:rFonts w:ascii="Times New Roman" w:cs="Times New Roman" w:eastAsia="Times New Roman" w:hAnsi="Times New Roman"/>
          <w:sz w:val="14"/>
          <w:szCs w:val="14"/>
          <w:color w:val="auto"/>
        </w:rPr>
      </w:pPr>
    </w:p>
    <w:p>
      <w:pPr>
        <w:jc w:val="both"/>
        <w:ind w:left="-251" w:firstLine="251"/>
        <w:spacing w:after="0" w:line="250" w:lineRule="auto"/>
        <w:tabs>
          <w:tab w:leader="none" w:pos="185"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Upon Optionee’s Termination of Service</w:t>
      </w:r>
      <w:r>
        <w:rPr>
          <w:rFonts w:ascii="Times New Roman" w:cs="Times New Roman" w:eastAsia="Times New Roman" w:hAnsi="Times New Roman"/>
          <w:sz w:val="14"/>
          <w:szCs w:val="14"/>
          <w:color w:val="auto"/>
        </w:rPr>
        <w:t>. If the Service of an Optionee is terminated by the Optionee, the Corporation or any Affiliate for any reason other than death, any Incentive Stock Option granted to such Optionee may not be exercised later than three months (one year in the case of Termination of Service due to Disability) after the date of such Termination of Service. For purposes of determining whether any Optionee has incurred a Termination of Service, an Optionee who is both an Employee (or a Consultant) and a member of the Board shall (with respect to any Non-Qualified Option that may have been granted to him) be considered to have incurred a Termination of Service only upon his Termination of Service both as an employee (or as a Consultant) and as a member of the Board. Furthermore, except as otherwise may be provided in, and only with respect to, a particular Plan Award, if an Optionee engages in an act or omission that would give rise to his Termination of Service by the Corporation or by any Affiliate for Cause, then the Optionee shall, at the time of such Termination of Service, automatically forfeit his rights to exercise any and all of the outstanding Option(s) theretofore granted to him.</w:t>
      </w:r>
    </w:p>
    <w:p>
      <w:pPr>
        <w:spacing w:after="0" w:line="148" w:lineRule="exact"/>
        <w:rPr>
          <w:rFonts w:ascii="Times New Roman" w:cs="Times New Roman" w:eastAsia="Times New Roman" w:hAnsi="Times New Roman"/>
          <w:sz w:val="14"/>
          <w:szCs w:val="14"/>
          <w:color w:val="auto"/>
        </w:rPr>
      </w:pPr>
    </w:p>
    <w:p>
      <w:pPr>
        <w:jc w:val="both"/>
        <w:ind w:left="-251" w:firstLine="251"/>
        <w:spacing w:after="0" w:line="253" w:lineRule="auto"/>
        <w:tabs>
          <w:tab w:leader="none" w:pos="169"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Maximum Amount of Incentive Stock Options</w:t>
      </w:r>
      <w:r>
        <w:rPr>
          <w:rFonts w:ascii="Times New Roman" w:cs="Times New Roman" w:eastAsia="Times New Roman" w:hAnsi="Times New Roman"/>
          <w:sz w:val="14"/>
          <w:szCs w:val="14"/>
          <w:color w:val="auto"/>
        </w:rPr>
        <w:t>. Each Plan Award under which Incentive Stock Options are granted shall provide that to the extent the sum of (i) the Fair Market Value of the shares of Common Stock (determined as of the date of the grant of the Option) subject to such Incentive Stock Option plus (ii) the Fair Market Values (determined as of the date(s) of grant of the option(s)) of all other shares of Common Stock subject to Incentive Stock Options granted to an Optionee by the Corporation or any Affiliate, which are exercisable for the first time by any person during any calendar year, exceed(s) $100,000, such excess shares of Common Stock shall not be deemed to be purchasable pursuant to Incentive Stock Options. The terms of the immediately preceding sentence shall be applied by taking all options, whether or not granted under the Plan, into account in the order in which they are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203835</wp:posOffset>
            </wp:positionV>
            <wp:extent cx="716470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029"/>
          </w:cols>
          <w:pgMar w:left="551" w:top="561" w:right="319" w:bottom="1440" w:gutter="0" w:footer="0" w:header="0"/>
        </w:sectPr>
      </w:pPr>
    </w:p>
    <w:bookmarkStart w:id="41" w:name="page42"/>
    <w:bookmarkEnd w:id="41"/>
    <w:p>
      <w:pPr>
        <w:jc w:val="both"/>
        <w:ind w:firstLine="251"/>
        <w:spacing w:after="0" w:line="267" w:lineRule="auto"/>
        <w:tabs>
          <w:tab w:leader="none" w:pos="443" w:val="left"/>
        </w:tabs>
        <w:numPr>
          <w:ilvl w:val="1"/>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Procedures for Exercise of Option</w:t>
      </w:r>
      <w:r>
        <w:rPr>
          <w:rFonts w:ascii="Times New Roman" w:cs="Times New Roman" w:eastAsia="Times New Roman" w:hAnsi="Times New Roman"/>
          <w:sz w:val="13"/>
          <w:szCs w:val="13"/>
          <w:color w:val="auto"/>
        </w:rPr>
        <w:t>. The Committee may, in its sole discretion, establish procedures for an Optionee (i) to exercise an Option by payment of cash, (ii) to have withheld from the total number of shares of Common Stock to be acquired upon the exercise of an Option that number of shares having a Fair Market Value, which, together with such cash as shall be paid in respect of fractional shares, shall equal the Option exercise price of the total number of shares of Common Stock to be acquired, (iii) to exercise all or a portion of an Option by delivering that number of shares of Common Stock already owned by the Optionee having a Fair Market Value which shall equal the Option exercise price for the portion exercised and, in cases where an Option is not exercised in its entirety, and subject to the requirements of the Code, to permit the Optionee to deliver the shares of Common Stock thus acquired by him in payment of shares of Common Stock to be received pursuant to the exercise of additional portions of such Option, the effect of which shall be that an Optionee can in sequence utilize such newly acquired shares of Common Stock in payment of the exercise price of the entire Option, together with such cash as shall be paid in respect of fractional shares, (iv) delivery of a written or electronic notice that the Participant has placed a market sell order with a broker with respect to shares of Common Stock then issuable upon exercise of an Option, and that the broker has been directed to pay a sufficient portion of the net proceeds of the sale to the Corporation in satisfaction of the aggregate payments required; provided that payment of such proceeds is then made to the Corporation upon settlement of such sale, (v) other form of legal consideration acceptable to the Committee, or</w:t>
      </w:r>
    </w:p>
    <w:p>
      <w:pPr>
        <w:spacing w:after="0" w:line="4" w:lineRule="exact"/>
        <w:rPr>
          <w:rFonts w:ascii="Times New Roman" w:cs="Times New Roman" w:eastAsia="Times New Roman" w:hAnsi="Times New Roman"/>
          <w:sz w:val="13"/>
          <w:szCs w:val="13"/>
          <w:color w:val="auto"/>
        </w:rPr>
      </w:pPr>
    </w:p>
    <w:p>
      <w:pPr>
        <w:jc w:val="both"/>
        <w:ind w:firstLine="3"/>
        <w:spacing w:after="0" w:line="247" w:lineRule="auto"/>
        <w:tabs>
          <w:tab w:leader="none" w:pos="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combination of the foregoing. The Committee shall also determine the methods by which shares of Common Stock shall be delivered or deemed to be delivered to Participants. Notwithstanding any other provision of the Plan to the contrary, no Participant who is a member of the Board or an “executive officer” of the Corporation within the meaning of Section 13(k) of the Exchange Act shall be permitted to make payment with respect to any Options granted under the Plan, or continue any extension of credit with respect to such payment, with a loan from the Corporation or a loan arranged by the Corporation in violation of Section 13(k) of the Exchange Act, to the extent applicable. The Committee may, in its sole discretion, require that an exercise described under any one or more of the methods described under clause (iii) of the immediately preceding sentence (to the extent such exercise is, or is deemed to constitute, an exercise effected by the tendering of Common Stock) be consummated with Common Stock (i) held by the Optionee for at least six months or (ii) acquired by the Optionee other than under the Plan or a similar program.</w:t>
      </w:r>
    </w:p>
    <w:p>
      <w:pPr>
        <w:spacing w:after="0" w:line="149" w:lineRule="exact"/>
        <w:rPr>
          <w:rFonts w:ascii="Times New Roman" w:cs="Times New Roman" w:eastAsia="Times New Roman" w:hAnsi="Times New Roman"/>
          <w:sz w:val="14"/>
          <w:szCs w:val="14"/>
          <w:color w:val="auto"/>
        </w:rPr>
      </w:pPr>
    </w:p>
    <w:p>
      <w:pPr>
        <w:jc w:val="both"/>
        <w:ind w:firstLine="251"/>
        <w:spacing w:after="0" w:line="251" w:lineRule="auto"/>
        <w:tabs>
          <w:tab w:leader="none" w:pos="443"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Substitute Awards</w:t>
      </w:r>
      <w:r>
        <w:rPr>
          <w:rFonts w:ascii="Times New Roman" w:cs="Times New Roman" w:eastAsia="Times New Roman" w:hAnsi="Times New Roman"/>
          <w:sz w:val="14"/>
          <w:szCs w:val="14"/>
          <w:color w:val="auto"/>
        </w:rPr>
        <w:t>. Notwithstanding the foregoing provisions of this Article V to the contrary, but subject to the requirements of Sections 409A and 424 of the Code, in the case of an Option that is a Substitute Award, the exercise price per share of the shares of Common Stock subject to such Option may be less than the Fair Market Value per share on the date of grant of the Substitute Award; provided that the excess of: (i) the aggregate Fair Market Value (as of the date such Substitute Award is granted) of the shares of Common Stock subject to the Substitute Award, over (ii) the aggregate exercise price thereof does not exceed the excess of: (x) the aggregate Fair Market Value (as of the time immediately preceding the transaction giving rise to the Substitute Award, such Fair Market Value to be determined by the Committee) of the shares of the predecessor entity that were subject to the grant assumed or substituted for by the Corporation, over (y) the aggregate exercise price of such shares pursuant to the option of the acquired company or other entity for which the Substitute Award substitutes.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STOCK APPRECIATION RIGHTS</w:t>
      </w:r>
    </w:p>
    <w:p>
      <w:pPr>
        <w:spacing w:after="0" w:line="156" w:lineRule="exact"/>
        <w:rPr>
          <w:sz w:val="20"/>
          <w:szCs w:val="20"/>
          <w:color w:val="auto"/>
        </w:rPr>
      </w:pPr>
    </w:p>
    <w:p>
      <w:pPr>
        <w:jc w:val="both"/>
        <w:ind w:firstLine="251"/>
        <w:spacing w:after="0" w:line="248" w:lineRule="auto"/>
        <w:tabs>
          <w:tab w:leader="none" w:pos="435"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Tandem Stock Appreciation Rights</w:t>
      </w:r>
      <w:r>
        <w:rPr>
          <w:rFonts w:ascii="Times New Roman" w:cs="Times New Roman" w:eastAsia="Times New Roman" w:hAnsi="Times New Roman"/>
          <w:sz w:val="14"/>
          <w:szCs w:val="14"/>
          <w:color w:val="auto"/>
        </w:rPr>
        <w:t xml:space="preserve">. The Committee shall have the authority to grant Tandem Stock Appreciation Rights in tandem with an Option at the time of the grant of the Option. Each such Tandem Stock Appreciation Right shall be subject to the same terms and conditions as the related Option, if any, and shall be exercisable only at such times and to such extent as the related Option is exercisable;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a Tandem Stock Appreciation Right may be exercised only when the Fair Market Value of the Common Stock exceeds the exercise price of the related Option. A Tandem Stock Appreciation Right shall entitle the Optionee to surrender to the Corporation unexercised the related Option, or any portion thereof, and, except as provided below, to receive from the Corporation in exchange therefor that number of shares of Common Stock equal in value to the excess of the Fair Market Value of one share of the Common Stock of the Corporation on the Trading Day preceding the surrender of such Option over the exercise price per share of Common Stock multiplied by the number of shares of Common Stock provided for under the Option, or portion thereof, which is surrendered;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 fractional shares of Common Stock shall be issued by reason thereof (cash being delivered to the Participant in lieu of such fractional shares). The number of shares of Common Stock which may be received pursuant to the exercise of a Tandem Stock Appreciation Right may not exceed the number of shares of Common Stock provided for under the Option, or portion thereof, which is surrendered. The Committee shall have the right, in its sole discretion, to require a Participant to receive cash in whole or in part in settlement of a Tandem Stock Appreciation Right. Within 30 days following the receipt by the Committee of a request by the Participant to receive cash in whole or in part in settlement of a Tandem Stock Appreciation Right, the Committee shall, in its sole discretion, either consent to or disapprove, in whole or in part, such a request. A request to receive cash in whole or in part in settlement of a Tandem Stock Appreciation Right may provide that, to the extent that the Committee shall disapprove such request, such request shall be deemed to be an exercise of such Tandem Stock Appreciation Right for shares of Common Stock. Each Tandem SAR shall comply with the requirements of Treas. Reg. §1.409A-1(b)(5)(i)(B); provided, however, that the Committee shall have sole discretion, with respect to Stock Appreciation Rights, to establish an exercise price at less than the Fair Market Value per share of Common Stock on the date the Stock Appreciation Right is granted, but only if any such Stock Appreciation Right is designed to comply with the requirements of Section 409A of the Code by including one or more of the following provisions:</w:t>
      </w:r>
    </w:p>
    <w:p>
      <w:pPr>
        <w:spacing w:after="0" w:line="149" w:lineRule="exact"/>
        <w:rPr>
          <w:rFonts w:ascii="Times New Roman" w:cs="Times New Roman" w:eastAsia="Times New Roman" w:hAnsi="Times New Roman"/>
          <w:sz w:val="14"/>
          <w:szCs w:val="14"/>
          <w:color w:val="auto"/>
        </w:rPr>
      </w:pPr>
    </w:p>
    <w:p>
      <w:pPr>
        <w:jc w:val="both"/>
        <w:ind w:firstLine="499"/>
        <w:spacing w:after="0" w:line="259" w:lineRule="auto"/>
        <w:tabs>
          <w:tab w:leader="none" w:pos="662"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 Agreement related to any such Stock Appreciation Right must provide that, under all circumstances, the Common Stock (or cash or other property) to be received by the Participant (or other person) upon the exercise or settlement of the Stock Appreciation Right must be so received no later than the 15th day of the third month of the year immediately following the year during which the Stock Appreciation Right vests;</w:t>
      </w:r>
    </w:p>
    <w:p>
      <w:pPr>
        <w:spacing w:after="0" w:line="140" w:lineRule="exact"/>
        <w:rPr>
          <w:rFonts w:ascii="Times New Roman" w:cs="Times New Roman" w:eastAsia="Times New Roman" w:hAnsi="Times New Roman"/>
          <w:sz w:val="14"/>
          <w:szCs w:val="14"/>
          <w:color w:val="auto"/>
        </w:rPr>
      </w:pPr>
    </w:p>
    <w:p>
      <w:pPr>
        <w:jc w:val="both"/>
        <w:ind w:firstLine="499"/>
        <w:spacing w:after="0" w:line="259" w:lineRule="auto"/>
        <w:tabs>
          <w:tab w:leader="none" w:pos="713"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 Agreement related to any such Stock Appreciation Right must provide that the Stock Appreciation Right may be exercised only during a specific year specified in the Award Agreement or upon a payment event permitted under Section 409A of the Code and the regulations promulgated thereunder (with such year(s) and payment events being set forth in the related Award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716470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42" w:name="page43"/>
    <w:bookmarkEnd w:id="42"/>
    <w:p>
      <w:pPr>
        <w:jc w:val="both"/>
        <w:ind w:firstLine="499"/>
        <w:spacing w:after="0" w:line="259" w:lineRule="auto"/>
        <w:tabs>
          <w:tab w:leader="none" w:pos="741"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 Agreement related to any such Stock Appreciation Right must provide that Common Stock (or cash or other property) deliverable to a Participant (or other person) pursuant to an exercise or settlement of the Stock Appreciation Right may not be so delivered until a specified date or payment event permitted under Section 409A of the Code and the regulations promulgated thereunder (with such date(s) and payment events being set forth in the related Award Agreement).</w:t>
      </w:r>
    </w:p>
    <w:p>
      <w:pPr>
        <w:spacing w:after="0" w:line="140" w:lineRule="exact"/>
        <w:rPr>
          <w:rFonts w:ascii="Times New Roman" w:cs="Times New Roman" w:eastAsia="Times New Roman" w:hAnsi="Times New Roman"/>
          <w:sz w:val="14"/>
          <w:szCs w:val="14"/>
          <w:color w:val="auto"/>
        </w:rPr>
      </w:pPr>
    </w:p>
    <w:p>
      <w:pPr>
        <w:jc w:val="both"/>
        <w:ind w:firstLine="251"/>
        <w:spacing w:after="0" w:line="248" w:lineRule="auto"/>
        <w:tabs>
          <w:tab w:leader="none" w:pos="453"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Freestanding Stock Appreciation Rights</w:t>
      </w:r>
      <w:r>
        <w:rPr>
          <w:rFonts w:ascii="Times New Roman" w:cs="Times New Roman" w:eastAsia="Times New Roman" w:hAnsi="Times New Roman"/>
          <w:sz w:val="14"/>
          <w:szCs w:val="14"/>
          <w:color w:val="auto"/>
        </w:rPr>
        <w:t xml:space="preserve">. The Committee also shall have the authority to grant Stock Appreciation Rights unrelated to any Option that may be granted hereunder. Each such Freestanding Stock Appreciation Right shall be subject to such terms and conditions as determined by the Committee. Freestanding Stock Appreciation Rights shall entitle the Participant to surrender to the Corporation a portion or all of such rights and, except as provided below, to receive from the Corporation in exchange therefor that number of shares of Common Stock (or cash, as provided below) equal in value to the excess of the Fair Market Value of one share of the Common Stock of the Corporation on the Trading Day preceding the surrender of such Freestanding Stock Appreciation Rights over the Fair Market Value per share of Common Stock (determined as of the date the Stock Appreciation Right was granted) multiplied by the number of Freestanding Stock Appreciation Rights which are surrendered;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 fractional shares of Common Stock shall be issued by reason thereof (cash being delivered to the Participant in lieu of such fractional shares). The Committee shall have the right, in its sole discretion, to require a Participant to receive cash in whole or in part in settlement of a Stock Appreciation Right. Within 30 days following the receipt by the Committee of a request by the Participant to receive cash in whole or in part in settlement of a Stock Appreciation Right, the Committee shall, in its sole discretion, either consent to or disapprove, in whole or in part, such a request. A request to receive cash in whole or in part in settlement of a Stock Appreciation Right may provide that, to the extent that the Committee shall disapprove such request, such request shall be deemed to be an exercise of such Stock Appreciation Right for shares of Common Stock. Each Freestanding Stock Appreciation Right shall comply with the requirements of Treas. Reg. §1.409A-1(b)(5)(i) (B); provided, however, that the Committee shall have sole discretion, with respect to Stock Appreciation Rights, to establish an exercise price at less than the Fair Market Value per share of Common Stock on the date the Stock Appreciation Right is granted, but only if any such Stock Appreciation Right is designed to comply with the requirements of Section 409A of the Code by including one or more of the following provisions:</w:t>
      </w:r>
    </w:p>
    <w:p>
      <w:pPr>
        <w:spacing w:after="0" w:line="151" w:lineRule="exact"/>
        <w:rPr>
          <w:rFonts w:ascii="Times New Roman" w:cs="Times New Roman" w:eastAsia="Times New Roman" w:hAnsi="Times New Roman"/>
          <w:sz w:val="14"/>
          <w:szCs w:val="14"/>
          <w:color w:val="auto"/>
        </w:rPr>
      </w:pPr>
    </w:p>
    <w:p>
      <w:pPr>
        <w:jc w:val="both"/>
        <w:ind w:firstLine="499"/>
        <w:spacing w:after="0" w:line="259" w:lineRule="auto"/>
        <w:tabs>
          <w:tab w:leader="none" w:pos="662"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 Agreement related to any such Stock Appreciation Right must provide that, under all circumstances, the Common Stock (or cash or other property) to be received by the Participant (or other person) upon the exercise or settlement of the Stock Appreciation Right must be so received no later than the 15th day of the third month of the year immediately following the year during which the Stock Appreciation Right vests;</w:t>
      </w:r>
    </w:p>
    <w:p>
      <w:pPr>
        <w:spacing w:after="0" w:line="140" w:lineRule="exact"/>
        <w:rPr>
          <w:sz w:val="20"/>
          <w:szCs w:val="20"/>
          <w:color w:val="auto"/>
        </w:rPr>
      </w:pPr>
    </w:p>
    <w:p>
      <w:pPr>
        <w:jc w:val="both"/>
        <w:ind w:firstLine="499"/>
        <w:spacing w:after="0" w:line="259" w:lineRule="auto"/>
        <w:tabs>
          <w:tab w:leader="none" w:pos="713"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 Agreement related to any such Stock Appreciation Right must provide that the Stock Appreciation Right may be exercised only during a specific year specified in the Award Agreement or upon a payment event permitted under Section 409A of the Code and the regulations promulgated thereunder (with such year(s) and payment events being set forth in the related Award Agreement); or</w:t>
      </w:r>
    </w:p>
    <w:p>
      <w:pPr>
        <w:spacing w:after="0" w:line="140" w:lineRule="exact"/>
        <w:rPr>
          <w:rFonts w:ascii="Times New Roman" w:cs="Times New Roman" w:eastAsia="Times New Roman" w:hAnsi="Times New Roman"/>
          <w:sz w:val="14"/>
          <w:szCs w:val="14"/>
          <w:color w:val="auto"/>
        </w:rPr>
      </w:pPr>
    </w:p>
    <w:p>
      <w:pPr>
        <w:jc w:val="both"/>
        <w:ind w:firstLine="499"/>
        <w:spacing w:after="0" w:line="259" w:lineRule="auto"/>
        <w:tabs>
          <w:tab w:leader="none" w:pos="741"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 Agreement related to any such Stock Appreciation Right must provide that Common Stock (or cash or other property) deliverable to a Participant (or other person) pursuant to an exercise or settlement of the Stock Appreciation Right may not be so delivered until a specified date or payment event permitted under Section 409A of the Code and the regulations promulgated thereunder (with such date(s) and payment events being set forth in the related Award Agreement).</w:t>
      </w:r>
    </w:p>
    <w:p>
      <w:pPr>
        <w:spacing w:after="0" w:line="140" w:lineRule="exact"/>
        <w:rPr>
          <w:rFonts w:ascii="Times New Roman" w:cs="Times New Roman" w:eastAsia="Times New Roman" w:hAnsi="Times New Roman"/>
          <w:sz w:val="14"/>
          <w:szCs w:val="14"/>
          <w:color w:val="auto"/>
        </w:rPr>
      </w:pPr>
    </w:p>
    <w:p>
      <w:pPr>
        <w:jc w:val="both"/>
        <w:ind w:firstLine="251"/>
        <w:spacing w:after="0" w:line="251" w:lineRule="auto"/>
        <w:tabs>
          <w:tab w:leader="none" w:pos="435"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of Stock Appreciation Rights</w:t>
      </w:r>
      <w:r>
        <w:rPr>
          <w:rFonts w:ascii="Times New Roman" w:cs="Times New Roman" w:eastAsia="Times New Roman" w:hAnsi="Times New Roman"/>
          <w:sz w:val="14"/>
          <w:szCs w:val="14"/>
          <w:color w:val="auto"/>
        </w:rPr>
        <w:t>. The exercisability of a Plan Award granted under this Article VI shall be determined as set forth in any agreement executed by the Corporation and such Participant hereunder. For purposes of determining whether a Participant has incurred a Termination of Service (in the context of determining the non-forfeitability of his Stock Appreciation Rights), a Participant who is both an Employee (or a Consultant) and a member of the Board shall be considered to have incurred a Termination of Service only upon his Termination of Service both as an Employee (or as a Consultant) and as a member of the Board. Except as otherwise may be provided in, and only with respect to, a particular Plan Award, if the Participant engages in any act or omission that would give rise to his involuntary Termination of Service for Cause, then the Participant shall, at the time of such Termination of Service, forfeit his rights to exercise any and all of the outstanding Plan Awards granted under this Article VI.</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RESTRICTED STOCK AND PERFORMANCE SHARES</w:t>
      </w:r>
    </w:p>
    <w:p>
      <w:pPr>
        <w:spacing w:after="0" w:line="15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Committee shall have the authority to grant shares of Restricted Stock and/or Performance Shares. The terms and conditions of Performance Shares and shares of Restricted Stock shall be determined from time to time by the Committee, without limitation, except as otherwise provided in the Plan. Furthermore:</w:t>
      </w:r>
    </w:p>
    <w:p>
      <w:pPr>
        <w:spacing w:after="0" w:line="131" w:lineRule="exact"/>
        <w:rPr>
          <w:sz w:val="20"/>
          <w:szCs w:val="20"/>
          <w:color w:val="auto"/>
        </w:rPr>
      </w:pPr>
    </w:p>
    <w:p>
      <w:pPr>
        <w:ind w:firstLine="251"/>
        <w:spacing w:after="0" w:line="272" w:lineRule="auto"/>
        <w:tabs>
          <w:tab w:leader="none" w:pos="435"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Services Rendered</w:t>
      </w:r>
      <w:r>
        <w:rPr>
          <w:rFonts w:ascii="Times New Roman" w:cs="Times New Roman" w:eastAsia="Times New Roman" w:hAnsi="Times New Roman"/>
          <w:sz w:val="14"/>
          <w:szCs w:val="14"/>
          <w:color w:val="auto"/>
        </w:rPr>
        <w:t xml:space="preserve">. Each such Award of Restricted Stock and Performance Shares shall be granted for Services rendered or to be rendered;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with regard to Common Stock-based Plan Awards, the value of the Services performed must equal or exceed the par value of such shares of Common Stock to be granted to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16470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43" w:name="page44"/>
    <w:bookmarkEnd w:id="43"/>
    <w:p>
      <w:pPr>
        <w:jc w:val="both"/>
        <w:ind w:left="-3" w:firstLine="251"/>
        <w:spacing w:after="0" w:line="255" w:lineRule="auto"/>
        <w:tabs>
          <w:tab w:leader="none" w:pos="44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Duration of Performance or Restricted Period; Satisfaction of Conditions</w:t>
      </w:r>
      <w:r>
        <w:rPr>
          <w:rFonts w:ascii="Times New Roman" w:cs="Times New Roman" w:eastAsia="Times New Roman" w:hAnsi="Times New Roman"/>
          <w:sz w:val="14"/>
          <w:szCs w:val="14"/>
          <w:color w:val="auto"/>
        </w:rPr>
        <w:t>. The duration of the performance or restricted period and the condition or conditions upon which (i) such restrictions will lapse (and upon which the restricted period will end), (ii) the performance goals will be deemed to have been satisfied and (iii) such Plan Awards will be paid or distributed shall, except as otherwise provided herein, be determined by the Committee at the time each such grant is made and will be set forth under the subject Award Agreement. More than one grant may be outstanding at any one time, and performance or restricted periods may be of different lengths.</w:t>
      </w:r>
    </w:p>
    <w:p>
      <w:pPr>
        <w:spacing w:after="0" w:line="142" w:lineRule="exact"/>
        <w:rPr>
          <w:rFonts w:ascii="Times New Roman" w:cs="Times New Roman" w:eastAsia="Times New Roman" w:hAnsi="Times New Roman"/>
          <w:sz w:val="14"/>
          <w:szCs w:val="14"/>
          <w:color w:val="auto"/>
        </w:rPr>
      </w:pPr>
    </w:p>
    <w:p>
      <w:pPr>
        <w:jc w:val="both"/>
        <w:ind w:left="-3" w:firstLine="251"/>
        <w:spacing w:after="0" w:line="272" w:lineRule="auto"/>
        <w:tabs>
          <w:tab w:leader="none" w:pos="433"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Restricted Stock</w:t>
      </w:r>
      <w:r>
        <w:rPr>
          <w:rFonts w:ascii="Times New Roman" w:cs="Times New Roman" w:eastAsia="Times New Roman" w:hAnsi="Times New Roman"/>
          <w:sz w:val="13"/>
          <w:szCs w:val="13"/>
          <w:color w:val="auto"/>
        </w:rPr>
        <w:t>. Shares of Common Stock granted in the form of Restricted Stock shall be registered in the name of the Participant and, together with a stock power endorsed by the Participant in blank, deposited with the Corporation at the time the Plan Award is granted. With respect to such Restricted Stock, the Participant shall generally have the rights and privileges of a stockholder of the Corporation as to such shares except that the following restrictions shall apply: (i) the Participant shall not be entitled to delivery of a certificate until the expiration or termination of the restricted period;</w:t>
      </w:r>
    </w:p>
    <w:p>
      <w:pPr>
        <w:spacing w:after="0" w:line="1" w:lineRule="exact"/>
        <w:rPr>
          <w:rFonts w:ascii="Times New Roman" w:cs="Times New Roman" w:eastAsia="Times New Roman" w:hAnsi="Times New Roman"/>
          <w:sz w:val="13"/>
          <w:szCs w:val="13"/>
          <w:color w:val="auto"/>
        </w:rPr>
      </w:pPr>
    </w:p>
    <w:p>
      <w:pPr>
        <w:jc w:val="both"/>
        <w:ind w:left="-3" w:firstLine="3"/>
        <w:spacing w:after="0" w:line="268" w:lineRule="auto"/>
        <w:tabs>
          <w:tab w:leader="none" w:pos="209"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shares of Restricted Stock may be sold, transferred, assigned, pledged, or otherwise encumbered or disposed of during the restricted period; and (iii) all of the shares of Restricted Stock shall be forfeited by the Participant without further obligation on the part of the Corporation as set forth in this Section VII(c) hereof. Cash and stock dividends and distributions with respect to the Restricted Stock will be withheld by the Corporation for the Participant’s account, and interest may be paid on the amount of cash dividends withheld at a rate and subject to such terms as may be determined by the Committee. All cash or stock dividends and distributions so withheld by the Corporation shall initially be subject to forfeiture, but shall become non-forfeitable and payable at the same times, and at the same rate, as determined with respect to the lapse of restrictions on the underlying Restricted Stock. Upon the forfeiture of any shares of Restricted Stock, such forfeited shares of Common Stock (and any dividends and distributions set aside thereon) shall be transferred to the Corporation without further action by the Participant. Upon the expiration or termination of the restricted period, the restrictions imposed on the appropriate shares of Restricted Stock shall lapse and a stock certificate for the number of shares of Restricted Stock with respect to which the restrictions have lapsed shall be delivered, free of all such restrictions, except any that may be imposed by Applicable Law or by any applicable agreement, to the Participant. A Participant who files an election with the Internal Revenue Service to include the Fair Market Value of any Restricted Stock in gross income while they are still subject to restrictions shall promptly furnish the Corporation with a copy of such election together with the amount of any federal, state, local or other taxes that may be required to be withheld to enable the Corporation to claim an income tax deduction with respect to such election.</w:t>
      </w:r>
    </w:p>
    <w:p>
      <w:pPr>
        <w:spacing w:after="0" w:line="135" w:lineRule="exact"/>
        <w:rPr>
          <w:rFonts w:ascii="Times New Roman" w:cs="Times New Roman" w:eastAsia="Times New Roman" w:hAnsi="Times New Roman"/>
          <w:sz w:val="13"/>
          <w:szCs w:val="13"/>
          <w:color w:val="auto"/>
        </w:rPr>
      </w:pPr>
    </w:p>
    <w:p>
      <w:pPr>
        <w:ind w:left="-3" w:firstLine="251"/>
        <w:spacing w:after="0" w:line="272" w:lineRule="auto"/>
        <w:tabs>
          <w:tab w:leader="none" w:pos="44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Shares</w:t>
      </w:r>
      <w:r>
        <w:rPr>
          <w:rFonts w:ascii="Times New Roman" w:cs="Times New Roman" w:eastAsia="Times New Roman" w:hAnsi="Times New Roman"/>
          <w:sz w:val="14"/>
          <w:szCs w:val="14"/>
          <w:color w:val="auto"/>
        </w:rPr>
        <w:t>. For purposes of this Article VII, Performance Shares shall be substantially identical to shares of Restricted Stock except that the vesting of such Performance Shares will be based solely upon the attainment of one or more performance targets, as further described below.</w:t>
      </w:r>
    </w:p>
    <w:p>
      <w:pPr>
        <w:spacing w:after="0" w:line="131" w:lineRule="exact"/>
        <w:rPr>
          <w:rFonts w:ascii="Times New Roman" w:cs="Times New Roman" w:eastAsia="Times New Roman" w:hAnsi="Times New Roman"/>
          <w:sz w:val="14"/>
          <w:szCs w:val="14"/>
          <w:color w:val="auto"/>
        </w:rPr>
      </w:pPr>
    </w:p>
    <w:p>
      <w:pPr>
        <w:jc w:val="both"/>
        <w:ind w:left="-3" w:firstLine="251"/>
        <w:spacing w:after="0" w:line="271" w:lineRule="auto"/>
        <w:tabs>
          <w:tab w:leader="none" w:pos="433"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Performance Targets</w:t>
      </w:r>
      <w:r>
        <w:rPr>
          <w:rFonts w:ascii="Times New Roman" w:cs="Times New Roman" w:eastAsia="Times New Roman" w:hAnsi="Times New Roman"/>
          <w:sz w:val="13"/>
          <w:szCs w:val="13"/>
          <w:color w:val="auto"/>
        </w:rPr>
        <w:t>. At the time of each grant, the Committee shall establish specific performance targets (to be satisfied during the performance period) and/or periods of service to which the vesting of Performance Shares and shares of Restricted Stock shall be subject. The Committee may also establish a relationship between performance targets and the number of Performance Shares and shares of Restricted Stock which shall become vested. Furthermore, the Committee also may establish a relationship between performance results other than the targets and the number of Performance Shares and shares of Restricted Stock which shall become vested. The Committee shall determine the measures of performance to be used in determining the extent to which restrictions on shares of Restricted Stock and Performance Shares shall lapse. Performance measures and targets may vary among grants and the Committee may, in its sole discretion, make such adjustments as it may deem necessary or advisable in the event of material changes in the criteria used for establishing performance targets which would result in the dilution or enlargement of a Participant’s award outside the goals intended by the Committee at the time of the grant of the Plan Award. The performance targets must be established in writing (i) at the time of the grant of the Plan Award or (ii) if the performance period is 12 months or longer and the Participant performs Services on a continuous basis from the beginning of the performance period or, if later, from the date the performance targets are determined, no later than six months before the end of the performance period. Notwithstanding the foregoing, the performance targets must be established in writing while the attainment of such targets remains uncertain.</w:t>
      </w:r>
    </w:p>
    <w:p>
      <w:pPr>
        <w:spacing w:after="0" w:line="133" w:lineRule="exact"/>
        <w:rPr>
          <w:rFonts w:ascii="Times New Roman" w:cs="Times New Roman" w:eastAsia="Times New Roman" w:hAnsi="Times New Roman"/>
          <w:sz w:val="13"/>
          <w:szCs w:val="13"/>
          <w:color w:val="auto"/>
        </w:rPr>
      </w:pPr>
    </w:p>
    <w:p>
      <w:pPr>
        <w:jc w:val="both"/>
        <w:ind w:left="-3" w:firstLine="251"/>
        <w:spacing w:after="0" w:line="277" w:lineRule="auto"/>
        <w:tabs>
          <w:tab w:leader="none" w:pos="417"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Termination of Service</w:t>
      </w:r>
      <w:r>
        <w:rPr>
          <w:rFonts w:ascii="Times New Roman" w:cs="Times New Roman" w:eastAsia="Times New Roman" w:hAnsi="Times New Roman"/>
          <w:sz w:val="13"/>
          <w:szCs w:val="13"/>
          <w:color w:val="auto"/>
        </w:rPr>
        <w:t>. The vesting of a Plan Award granted under this Article VII shall be determined as set forth in any agreement executed by the Corporation and such Participant hereunder. For these purposes, any Participant who is both an Employee (or a Consultant) and a member of the Board will be considered to have incurred a Termination of Service only upon his Termination of Service both as an Employee (or as a Consultant) and as a member of the Board. Except as otherwise may be provided in, and only with respect to, a particular Plan Award, if the Participant engages in any act or omission that would give rise to his Termination of Service for Cause, all Plan Awards granted under this Section VII and subject to restrictions shall be immediately forfeited. In such case, the Corporation shall have the right to complete the blank stock power with respect to shares of Restricted Stock and Performance Shares and transfer the same to the Corporation’s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716470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77"/>
          </w:cols>
          <w:pgMar w:left="303" w:top="561" w:right="3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4"/>
          <w:szCs w:val="14"/>
          <w:b w:val="1"/>
          <w:bCs w:val="1"/>
          <w:color w:val="auto"/>
        </w:rPr>
        <w:t>VIII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RESTRICTED STOCK UNITS AND PERFORMANCE UNITS</w:t>
      </w:r>
    </w:p>
    <w:p>
      <w:pPr>
        <w:spacing w:after="0" w:line="15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Committee shall have the authority to grant Restricted Stock Units and/or Performance Units either separately or in combination with other Plan Awards. The terms and conditions of Restricted Stock Units and Performance Units shall be determined from time to time by the Committee, without limitation, except as otherwise provided in the Plan. Furthermore:</w:t>
      </w:r>
    </w:p>
    <w:p>
      <w:pPr>
        <w:spacing w:after="0" w:line="131" w:lineRule="exact"/>
        <w:rPr>
          <w:sz w:val="20"/>
          <w:szCs w:val="20"/>
          <w:color w:val="auto"/>
        </w:rPr>
      </w:pPr>
    </w:p>
    <w:p>
      <w:pPr>
        <w:ind w:firstLine="251"/>
        <w:spacing w:after="0" w:line="272" w:lineRule="auto"/>
        <w:tabs>
          <w:tab w:leader="none" w:pos="435"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Services Rendered</w:t>
      </w:r>
      <w:r>
        <w:rPr>
          <w:rFonts w:ascii="Times New Roman" w:cs="Times New Roman" w:eastAsia="Times New Roman" w:hAnsi="Times New Roman"/>
          <w:sz w:val="14"/>
          <w:szCs w:val="14"/>
          <w:color w:val="auto"/>
        </w:rPr>
        <w:t xml:space="preserve">. Each such Plan Award shall be granted for Services rendered or to be rendered;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with regard to Common Stock-based Plan Awards, the value of the Services performed must equal or exceed the par value of such shares of Common Stock to be granted to the Participant.</w:t>
      </w:r>
    </w:p>
    <w:p>
      <w:pPr>
        <w:spacing w:after="0" w:line="131" w:lineRule="exact"/>
        <w:rPr>
          <w:rFonts w:ascii="Times New Roman" w:cs="Times New Roman" w:eastAsia="Times New Roman" w:hAnsi="Times New Roman"/>
          <w:sz w:val="14"/>
          <w:szCs w:val="14"/>
          <w:color w:val="auto"/>
        </w:rPr>
      </w:pPr>
    </w:p>
    <w:p>
      <w:pPr>
        <w:jc w:val="both"/>
        <w:ind w:firstLine="251"/>
        <w:spacing w:after="0" w:line="255" w:lineRule="auto"/>
        <w:tabs>
          <w:tab w:leader="none" w:pos="443"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Duration of Performance or Restricted Period; Satisfaction of Conditions</w:t>
      </w:r>
      <w:r>
        <w:rPr>
          <w:rFonts w:ascii="Times New Roman" w:cs="Times New Roman" w:eastAsia="Times New Roman" w:hAnsi="Times New Roman"/>
          <w:sz w:val="14"/>
          <w:szCs w:val="14"/>
          <w:color w:val="auto"/>
        </w:rPr>
        <w:t>. The duration of the performance or restricted period and the condition or conditions upon which (i) such restrictions will lapse (and upon which the restricted period will end), (ii) the performance goals will be deemed to have been satisfied and (iii) such Plan Awards will be paid or distributed shall, except as otherwise provided herein, be determined by the Committee at the time each such grant is made and will be set forth under the subject Award Agreement. More than one grant may be outstanding at any one time, and performance or restricted periods may be of different lengths.</w:t>
      </w:r>
    </w:p>
    <w:p>
      <w:pPr>
        <w:spacing w:after="0" w:line="142" w:lineRule="exact"/>
        <w:rPr>
          <w:rFonts w:ascii="Times New Roman" w:cs="Times New Roman" w:eastAsia="Times New Roman" w:hAnsi="Times New Roman"/>
          <w:sz w:val="14"/>
          <w:szCs w:val="14"/>
          <w:color w:val="auto"/>
        </w:rPr>
      </w:pPr>
    </w:p>
    <w:p>
      <w:pPr>
        <w:jc w:val="both"/>
        <w:ind w:firstLine="251"/>
        <w:spacing w:after="0" w:line="255" w:lineRule="auto"/>
        <w:tabs>
          <w:tab w:leader="none" w:pos="435"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Restricted Stock Units</w:t>
      </w:r>
      <w:r>
        <w:rPr>
          <w:rFonts w:ascii="Times New Roman" w:cs="Times New Roman" w:eastAsia="Times New Roman" w:hAnsi="Times New Roman"/>
          <w:sz w:val="14"/>
          <w:szCs w:val="14"/>
          <w:color w:val="auto"/>
        </w:rPr>
        <w:t>. The Committee may grant one or more Restricted Stock Units to a Participant. Such Restricted Stock Units shall vest pursuant to the vesting schedule set forth in the related Award Agreement and the shares of Common Stock underlying vested Restricted Stock Units will be distributed to the Participant on the date(s), or upon the event(s), set forth in the related Award Agreement in the amount of one share of Common Stock for each vested Restricted Stock Unit. At the time of distribution, a stock certificate for such number of shares of Common Stock shall be delivered to the Participant free of all restrictions (except any restrictions that may be imposed (i) under the Award Agreement, (ii) by Applicable Law, or (iii) by any applicable agreement).</w:t>
      </w:r>
    </w:p>
    <w:p>
      <w:pPr>
        <w:spacing w:after="0" w:line="142" w:lineRule="exact"/>
        <w:rPr>
          <w:rFonts w:ascii="Times New Roman" w:cs="Times New Roman" w:eastAsia="Times New Roman" w:hAnsi="Times New Roman"/>
          <w:sz w:val="14"/>
          <w:szCs w:val="14"/>
          <w:color w:val="auto"/>
        </w:rPr>
      </w:pPr>
    </w:p>
    <w:p>
      <w:pPr>
        <w:ind w:firstLine="251"/>
        <w:spacing w:after="0" w:line="272" w:lineRule="auto"/>
        <w:tabs>
          <w:tab w:leader="none" w:pos="443"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Units</w:t>
      </w:r>
      <w:r>
        <w:rPr>
          <w:rFonts w:ascii="Times New Roman" w:cs="Times New Roman" w:eastAsia="Times New Roman" w:hAnsi="Times New Roman"/>
          <w:sz w:val="14"/>
          <w:szCs w:val="14"/>
          <w:color w:val="auto"/>
        </w:rPr>
        <w:t>. For purposes of this Article VIII, Performance Units shall be substantially identical to shares of Restricted Stock Units except that the vesting of such Performance Units will be based solely upon the attainment of one or more performance targets, as further described below.</w:t>
      </w:r>
    </w:p>
    <w:p>
      <w:pPr>
        <w:spacing w:after="0" w:line="131" w:lineRule="exact"/>
        <w:rPr>
          <w:rFonts w:ascii="Times New Roman" w:cs="Times New Roman" w:eastAsia="Times New Roman" w:hAnsi="Times New Roman"/>
          <w:sz w:val="14"/>
          <w:szCs w:val="14"/>
          <w:color w:val="auto"/>
        </w:rPr>
      </w:pPr>
    </w:p>
    <w:p>
      <w:pPr>
        <w:jc w:val="both"/>
        <w:ind w:firstLine="251"/>
        <w:spacing w:after="0" w:line="271" w:lineRule="auto"/>
        <w:tabs>
          <w:tab w:leader="none" w:pos="435"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Performance Targets</w:t>
      </w:r>
      <w:r>
        <w:rPr>
          <w:rFonts w:ascii="Times New Roman" w:cs="Times New Roman" w:eastAsia="Times New Roman" w:hAnsi="Times New Roman"/>
          <w:sz w:val="13"/>
          <w:szCs w:val="13"/>
          <w:color w:val="auto"/>
        </w:rPr>
        <w:t>. At the time of each grant, the Committee shall establish specific performance targets (to be satisfied during the performance period) and/or periods of service to which the vesting of Performance Units and Restricted Stock Units shall be conditioned. The Committee may also establish a relationship between performance targets and the number of Performance Units and Restricted Stock Units which shall be earned. Furthermore, the Committee also may establish a relationship between performance results other than the targets and the number of Restricted Stock Units and the number or value of Performance Units which shall be earned. The Committee shall determine the measures of performance to be used in determining the extent to which restrictions on Restricted Stock Units or Performance Units shall lapse. Performance measures and targets may vary among grants and the Committee may, in its sole discretion, make such adjustments as it may deem necessary or advisable in the event of material changes in the criteria used for establishing performance targets which would result in the dilution or enlargement of a Participant’s award outside the goals intended by the Committee at the time of the grant of the Plan Award. The performance targets must be established in writing (i) at the time of the grant of the Plan Award or (ii) if the performance period is 12 months or longer and the Participant performs Services on a continuous basis from the beginning of the performance period or, if later, from the date the performance targets are determined, no later than six months before the end of the performance period. Notwithstanding the foregoing, the performance targets must be established in writing while the attainment of such targets remains uncertain.</w:t>
      </w:r>
    </w:p>
    <w:p>
      <w:pPr>
        <w:spacing w:after="0" w:line="133" w:lineRule="exact"/>
        <w:rPr>
          <w:rFonts w:ascii="Times New Roman" w:cs="Times New Roman" w:eastAsia="Times New Roman" w:hAnsi="Times New Roman"/>
          <w:sz w:val="13"/>
          <w:szCs w:val="13"/>
          <w:color w:val="auto"/>
        </w:rPr>
      </w:pPr>
    </w:p>
    <w:p>
      <w:pPr>
        <w:jc w:val="both"/>
        <w:ind w:firstLine="251"/>
        <w:spacing w:after="0" w:line="255" w:lineRule="auto"/>
        <w:tabs>
          <w:tab w:leader="none" w:pos="4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Dividend or Interest Equivalents for Restricted Stock Units and Performance Units</w:t>
      </w:r>
      <w:r>
        <w:rPr>
          <w:rFonts w:ascii="Times New Roman" w:cs="Times New Roman" w:eastAsia="Times New Roman" w:hAnsi="Times New Roman"/>
          <w:sz w:val="14"/>
          <w:szCs w:val="14"/>
          <w:color w:val="auto"/>
        </w:rPr>
        <w:t>. The Committee may provide that amounts equivalent to dividends, distributions or interest shall be payable with respect to Restricted Stock Units or Performance Units held in the Participant’s performance account. Such amounts shall be credited to the performance account, and shall be payable to the Participant in cash or in Common Stock, as set forth under the terms of the subject Plan Award, at such time as the Restricted Stock Units or Performance Units are earned. The Committee further may provide that amounts equivalent to interest, dividends or distributions held in the performance accounts shall be credited to such accounts on a periodic or other basis.</w:t>
      </w:r>
    </w:p>
    <w:p>
      <w:pPr>
        <w:spacing w:after="0" w:line="142" w:lineRule="exact"/>
        <w:rPr>
          <w:rFonts w:ascii="Times New Roman" w:cs="Times New Roman" w:eastAsia="Times New Roman" w:hAnsi="Times New Roman"/>
          <w:sz w:val="14"/>
          <w:szCs w:val="14"/>
          <w:color w:val="auto"/>
        </w:rPr>
      </w:pPr>
    </w:p>
    <w:p>
      <w:pPr>
        <w:jc w:val="both"/>
        <w:ind w:firstLine="251"/>
        <w:spacing w:after="0" w:line="281" w:lineRule="auto"/>
        <w:tabs>
          <w:tab w:leader="none" w:pos="443"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Termination of Service</w:t>
      </w:r>
      <w:r>
        <w:rPr>
          <w:rFonts w:ascii="Times New Roman" w:cs="Times New Roman" w:eastAsia="Times New Roman" w:hAnsi="Times New Roman"/>
          <w:sz w:val="13"/>
          <w:szCs w:val="13"/>
          <w:color w:val="auto"/>
        </w:rPr>
        <w:t>. The vesting of a Plan Award granted under this Article VIII shall be determined as set forth in any agreement executed by the Corporation and such Participant hereunder. For these purposes, any Participant who is both an Employee (or a Consultant) and a member of the Board will be considered to have incurred a Termination of Service only upon his Termination of Service both as an Employee (or as a Consultant) and as a member of the Board. Except as otherwise may be provided in, and only with respect to, a particular Plan Award, if the Participant engages in any act or omission that would give rise to his Termination of Service for Cause, all Plan Awards granted under this Section VIII and subject to restrictions shall be immediately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193675</wp:posOffset>
            </wp:positionV>
            <wp:extent cx="716470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4"/>
          <w:szCs w:val="14"/>
          <w:b w:val="1"/>
          <w:bCs w:val="1"/>
          <w:color w:val="auto"/>
        </w:rPr>
        <w:t>IX</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CASH INCENTIVES</w:t>
      </w:r>
    </w:p>
    <w:p>
      <w:pPr>
        <w:spacing w:after="0" w:line="15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Committee shall have the authority to grant Cash Incentives either separately or in combination with other Plan Awards. The terms and conditions of Cash Incentives shall be determined from time to time by the Committee, without limitation, except as otherwise provided in the Plan. Furthermore:</w:t>
      </w:r>
    </w:p>
    <w:p>
      <w:pPr>
        <w:spacing w:after="0" w:line="131" w:lineRule="exact"/>
        <w:rPr>
          <w:sz w:val="20"/>
          <w:szCs w:val="20"/>
          <w:color w:val="auto"/>
        </w:rPr>
      </w:pPr>
    </w:p>
    <w:p>
      <w:pPr>
        <w:ind w:left="440" w:hanging="189"/>
        <w:spacing w:after="0"/>
        <w:tabs>
          <w:tab w:leader="none" w:pos="4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Services Rendered</w:t>
      </w:r>
      <w:r>
        <w:rPr>
          <w:rFonts w:ascii="Times New Roman" w:cs="Times New Roman" w:eastAsia="Times New Roman" w:hAnsi="Times New Roman"/>
          <w:sz w:val="14"/>
          <w:szCs w:val="14"/>
          <w:color w:val="auto"/>
        </w:rPr>
        <w:t>. Each such Plan Award shall be granted for Services rendered or to be rendered.</w:t>
      </w:r>
    </w:p>
    <w:p>
      <w:pPr>
        <w:spacing w:after="0" w:line="169" w:lineRule="exact"/>
        <w:rPr>
          <w:rFonts w:ascii="Times New Roman" w:cs="Times New Roman" w:eastAsia="Times New Roman" w:hAnsi="Times New Roman"/>
          <w:sz w:val="14"/>
          <w:szCs w:val="14"/>
          <w:color w:val="auto"/>
        </w:rPr>
      </w:pPr>
    </w:p>
    <w:p>
      <w:pPr>
        <w:jc w:val="both"/>
        <w:ind w:firstLine="251"/>
        <w:spacing w:after="0" w:line="255" w:lineRule="auto"/>
        <w:tabs>
          <w:tab w:leader="none" w:pos="443"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Duration of Performance or Restricted Period; Satisfaction of Conditions</w:t>
      </w:r>
      <w:r>
        <w:rPr>
          <w:rFonts w:ascii="Times New Roman" w:cs="Times New Roman" w:eastAsia="Times New Roman" w:hAnsi="Times New Roman"/>
          <w:sz w:val="14"/>
          <w:szCs w:val="14"/>
          <w:color w:val="auto"/>
        </w:rPr>
        <w:t>. The duration of the performance or restricted period and the condition or conditions upon which (i) such restrictions will lapse (and upon which the restricted period will end), upon which (ii) the performance goals will be deemed to have been satisfied and (iii) such Plan Awards will be paid or distributed shall, except as otherwise provided herein, be determined by the Committee at the time each such grant is made and will be set forth under the subject Award Agreement. More than one grant may be outstanding at any one time, and performance or restricted periods may be of different lengths.</w:t>
      </w:r>
    </w:p>
    <w:p>
      <w:pPr>
        <w:spacing w:after="0" w:line="142" w:lineRule="exact"/>
        <w:rPr>
          <w:rFonts w:ascii="Times New Roman" w:cs="Times New Roman" w:eastAsia="Times New Roman" w:hAnsi="Times New Roman"/>
          <w:sz w:val="14"/>
          <w:szCs w:val="14"/>
          <w:color w:val="auto"/>
        </w:rPr>
      </w:pPr>
    </w:p>
    <w:p>
      <w:pPr>
        <w:jc w:val="both"/>
        <w:ind w:firstLine="251"/>
        <w:spacing w:after="0" w:line="255" w:lineRule="auto"/>
        <w:tabs>
          <w:tab w:leader="none" w:pos="435"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Cash Incentives</w:t>
      </w:r>
      <w:r>
        <w:rPr>
          <w:rFonts w:ascii="Times New Roman" w:cs="Times New Roman" w:eastAsia="Times New Roman" w:hAnsi="Times New Roman"/>
          <w:sz w:val="14"/>
          <w:szCs w:val="14"/>
          <w:color w:val="auto"/>
        </w:rPr>
        <w:t>. The Committee may grant Cash Incentive awards to one or more Participants, which provide that the recipients will receive cash payments (of either a fixed dollar amount or an amount determined by formula) at a specified time in the future based upon the attainment of certain vesting requirements one or more annual or multi-year performance goals, as further described below. Except as may be provided in an Award Agreement with respect to a particular Participant, any Cash Incentives earned during a performance period shall be paid in cash within 21/2 months after the end of the performance period to which such Plan Award relates.</w:t>
      </w:r>
    </w:p>
    <w:p>
      <w:pPr>
        <w:spacing w:after="0" w:line="142" w:lineRule="exact"/>
        <w:rPr>
          <w:rFonts w:ascii="Times New Roman" w:cs="Times New Roman" w:eastAsia="Times New Roman" w:hAnsi="Times New Roman"/>
          <w:sz w:val="14"/>
          <w:szCs w:val="14"/>
          <w:color w:val="auto"/>
        </w:rPr>
      </w:pPr>
    </w:p>
    <w:p>
      <w:pPr>
        <w:jc w:val="both"/>
        <w:ind w:firstLine="251"/>
        <w:spacing w:after="0" w:line="249" w:lineRule="auto"/>
        <w:tabs>
          <w:tab w:leader="none" w:pos="443"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Targets</w:t>
      </w:r>
      <w:r>
        <w:rPr>
          <w:rFonts w:ascii="Times New Roman" w:cs="Times New Roman" w:eastAsia="Times New Roman" w:hAnsi="Times New Roman"/>
          <w:sz w:val="14"/>
          <w:szCs w:val="14"/>
          <w:color w:val="auto"/>
        </w:rPr>
        <w:t>. At the time of each grant, the Committee shall establish specific performance targets (to be satisfied during the performance period) and/or periods of service to which the vesting of Cash Incentives shall be conditioned. The Committee may also establish a relationship between performance targets and the amount of Cash Incentives which shall be earned. Furthermore, the Committee also may establish a relationship between performance results other than the targets and the amount of Cash Incentives which shall be earned. The Committee shall determine the measures of performance to be used in determining the extent to which Cash Incentives are earned. Performance measures and targets may vary among grants and the Committee may, in its sole discretion, make such adjustments as it may deem necessary or advisable in the event of material changes in the criteria used for establishing performance targets which would result in the dilution or enlargement of a Participant’s award outside the goals intended by the Committee at the time of the grant of the Plan Award. The performance targets must be established in writing (i) at the time of the grant of the Plan Award or (ii) if the performance period is 12 months or longer and the Participant performs Services on a continuous basis from the beginning of the performance period or, if later, from the date the performance targets are determined, no later than six months before the end of the performance period. Notwithstanding the foregoing, the performance targets must be established in writing while the attainment of such targets remains uncertain.</w:t>
      </w:r>
    </w:p>
    <w:p>
      <w:pPr>
        <w:spacing w:after="0" w:line="149" w:lineRule="exact"/>
        <w:rPr>
          <w:rFonts w:ascii="Times New Roman" w:cs="Times New Roman" w:eastAsia="Times New Roman" w:hAnsi="Times New Roman"/>
          <w:sz w:val="14"/>
          <w:szCs w:val="14"/>
          <w:color w:val="auto"/>
        </w:rPr>
      </w:pPr>
    </w:p>
    <w:p>
      <w:pPr>
        <w:jc w:val="both"/>
        <w:ind w:firstLine="251"/>
        <w:spacing w:after="0" w:line="255" w:lineRule="auto"/>
        <w:tabs>
          <w:tab w:leader="none" w:pos="435"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Service</w:t>
      </w:r>
      <w:r>
        <w:rPr>
          <w:rFonts w:ascii="Times New Roman" w:cs="Times New Roman" w:eastAsia="Times New Roman" w:hAnsi="Times New Roman"/>
          <w:sz w:val="14"/>
          <w:szCs w:val="14"/>
          <w:color w:val="auto"/>
        </w:rPr>
        <w:t>. The vesting of a Plan Award granted under this Article IX shall be determined as set forth in any agreement executed by the Corporation and such Participant hereunder. For these purposes, any Participant who is both an Employee (or a Consultant) and a member of the Board will be considered to have incurred a Termination of Service only upon his Termination of Service both as an Employee (or as a Consultant) and as a member of the Board. Except as otherwise may be provided in, and only with respect to, a particular Plan Award, if the Participant engages in any act or omission that would give rise to his Termination of Service for Cause, all Plan Awards granted under this Section IX and subject to restrictions shall be immediately forfeited.</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X</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ADJUSTMENT OF SHARES; MERGER OR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CONSOLIDATION, ETC. OF THE CORPORATION</w:t>
      </w:r>
    </w:p>
    <w:p>
      <w:pPr>
        <w:spacing w:after="0" w:line="156" w:lineRule="exact"/>
        <w:rPr>
          <w:sz w:val="20"/>
          <w:szCs w:val="20"/>
          <w:color w:val="auto"/>
        </w:rPr>
      </w:pPr>
    </w:p>
    <w:p>
      <w:pPr>
        <w:jc w:val="both"/>
        <w:ind w:firstLine="251"/>
        <w:spacing w:after="0" w:line="250" w:lineRule="auto"/>
        <w:tabs>
          <w:tab w:leader="none" w:pos="45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Recapitalization, Etc</w:t>
      </w:r>
      <w:r>
        <w:rPr>
          <w:rFonts w:ascii="Times New Roman" w:cs="Times New Roman" w:eastAsia="Times New Roman" w:hAnsi="Times New Roman"/>
          <w:sz w:val="14"/>
          <w:szCs w:val="14"/>
          <w:color w:val="auto"/>
        </w:rPr>
        <w:t>. In the event there is any change in the number of the outstanding shares of Common Stock of the Corporation by reason of any reorganization, recapitalization, reincorporation, stock split, reverse stock split, stock dividend, combination of shares or otherwise, or in the case of the payment of an extraordinary dividend as defined in Section 1059(c) of the Code, there shall be automatically substituted for or added to each share of Common Stock theretofore appropriated or thereafter subject, or which may become subject, to the Plan and any Option, Stock Appreciation Right, grant of Restricted Stock, Restricted Stock Unit, Performance Share or Performance Unit award, the number and kind of shares of stock or other securities into which each outstanding share of Common Stock shall be so changed or for which each such share shall be exchanged, or to which each such share shall be entitled, as the case may be, and the per share price thereof also shall be appropriately adjusted. Notwithstanding the foregoing, (i) each such adjustment shall comply with the requirements of Treas. Reg. §1.409A-1(b)(5)(v), (ii) each such adjustment with respect to an Incentive Stock Option shall comply with the rules of Section 424(a) of the Code and (iii) in no event shall any adjustment be made which would render any Incentive Stock Option granted hereunder to be other than an incentive stock option for purposes of Section 422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16470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46" w:name="page47"/>
    <w:bookmarkEnd w:id="46"/>
    <w:p>
      <w:pPr>
        <w:ind w:left="440" w:hanging="189"/>
        <w:spacing w:after="0"/>
        <w:tabs>
          <w:tab w:leader="none" w:pos="4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Merger, Consolidation, Change in Control of the Corporation or Sale of Assets</w:t>
      </w:r>
      <w:r>
        <w:rPr>
          <w:rFonts w:ascii="Times New Roman" w:cs="Times New Roman" w:eastAsia="Times New Roman" w:hAnsi="Times New Roman"/>
          <w:sz w:val="14"/>
          <w:szCs w:val="14"/>
          <w:color w:val="auto"/>
        </w:rPr>
        <w:t>. Upon:</w:t>
      </w:r>
    </w:p>
    <w:p>
      <w:pPr>
        <w:spacing w:after="0" w:line="169" w:lineRule="exact"/>
        <w:rPr>
          <w:rFonts w:ascii="Times New Roman" w:cs="Times New Roman" w:eastAsia="Times New Roman" w:hAnsi="Times New Roman"/>
          <w:sz w:val="14"/>
          <w:szCs w:val="14"/>
          <w:color w:val="auto"/>
        </w:rPr>
      </w:pPr>
    </w:p>
    <w:p>
      <w:pPr>
        <w:jc w:val="both"/>
        <w:ind w:firstLine="499"/>
        <w:spacing w:after="0" w:line="259" w:lineRule="auto"/>
        <w:tabs>
          <w:tab w:leader="none" w:pos="666"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or consolidation of the Corporation with or into another corporation (pursuant to which the stockholders of the Corporation immediately prior to such merger or consolidation will not, as of the date of such merger or consolidation, own a beneficial interest in shares of voting securities of the corporation surviving such merger or consolidation having at least a majority of the combined voting power of such corporation’s then outstanding securities), if the agreement of merger or consolidation does not provide for:</w:t>
      </w:r>
    </w:p>
    <w:p>
      <w:pPr>
        <w:spacing w:after="0" w:line="140" w:lineRule="exact"/>
        <w:rPr>
          <w:rFonts w:ascii="Times New Roman" w:cs="Times New Roman" w:eastAsia="Times New Roman" w:hAnsi="Times New Roman"/>
          <w:sz w:val="14"/>
          <w:szCs w:val="14"/>
          <w:color w:val="auto"/>
        </w:rPr>
      </w:pPr>
    </w:p>
    <w:p>
      <w:pPr>
        <w:ind w:left="960" w:hanging="213"/>
        <w:spacing w:after="0"/>
        <w:tabs>
          <w:tab w:leader="none" w:pos="960" w:val="left"/>
        </w:tabs>
        <w:numPr>
          <w:ilvl w:val="2"/>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continuance of the Options, Stock Appreciation Rights, Restricted Stock Units, Performance Units, shares of Restricted Stock, Performance Shares and/or Cash Incentives granted</w:t>
      </w:r>
    </w:p>
    <w:p>
      <w:pPr>
        <w:spacing w:after="0" w:line="1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hereunder, or</w:t>
      </w:r>
    </w:p>
    <w:p>
      <w:pPr>
        <w:spacing w:after="0" w:line="156" w:lineRule="exact"/>
        <w:rPr>
          <w:rFonts w:ascii="Times New Roman" w:cs="Times New Roman" w:eastAsia="Times New Roman" w:hAnsi="Times New Roman"/>
          <w:sz w:val="14"/>
          <w:szCs w:val="14"/>
          <w:color w:val="auto"/>
        </w:rPr>
      </w:pPr>
    </w:p>
    <w:p>
      <w:pPr>
        <w:jc w:val="both"/>
        <w:ind w:firstLine="747"/>
        <w:spacing w:after="0" w:line="259" w:lineRule="auto"/>
        <w:tabs>
          <w:tab w:leader="none" w:pos="964" w:val="left"/>
        </w:tabs>
        <w:numPr>
          <w:ilvl w:val="2"/>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substitution of new cash incentives, options, stock appreciation rights, restricted stock units, performance units, shares of restricted stock and/or performance shares for Cash Incentives, Options, Stock Appreciation Rights, Restricted Stock Units, Performance Units, shares of Restricted Stock or Performance Shares granted hereunder, or for the assumption of the same by the surviving corporation,</w:t>
      </w:r>
    </w:p>
    <w:p>
      <w:pPr>
        <w:spacing w:after="0" w:line="140" w:lineRule="exact"/>
        <w:rPr>
          <w:rFonts w:ascii="Times New Roman" w:cs="Times New Roman" w:eastAsia="Times New Roman" w:hAnsi="Times New Roman"/>
          <w:sz w:val="14"/>
          <w:szCs w:val="14"/>
          <w:color w:val="auto"/>
        </w:rPr>
      </w:pPr>
    </w:p>
    <w:p>
      <w:pPr>
        <w:jc w:val="both"/>
        <w:ind w:firstLine="499"/>
        <w:spacing w:after="0" w:line="259" w:lineRule="auto"/>
        <w:tabs>
          <w:tab w:leader="none" w:pos="709"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dissolution or liquidation of the Corporation, or a sale of all or substantially all the assets of the Corporation to a person who is (A) not an “Affiliate” or “Associate” (as defined under Section 12b-2 of the General Rules and Regulations promulgated under the Exchange Act) of the Corporation or to (B) a direct or indirect owner of a majority of the voting power of the Corporation’s then outstanding voting securities (such sale of assets being referred to as an “Asset Sale”), or</w:t>
      </w:r>
    </w:p>
    <w:p>
      <w:pPr>
        <w:spacing w:after="0" w:line="140" w:lineRule="exact"/>
        <w:rPr>
          <w:rFonts w:ascii="Times New Roman" w:cs="Times New Roman" w:eastAsia="Times New Roman" w:hAnsi="Times New Roman"/>
          <w:sz w:val="14"/>
          <w:szCs w:val="14"/>
          <w:color w:val="auto"/>
        </w:rPr>
      </w:pPr>
    </w:p>
    <w:p>
      <w:pPr>
        <w:jc w:val="both"/>
        <w:ind w:firstLine="499"/>
        <w:spacing w:after="0" w:line="253" w:lineRule="auto"/>
        <w:tabs>
          <w:tab w:leader="none" w:pos="75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 in Control of the Corporation, if after such Change in Control of the Corporation the Plan (or another plan of the Corporation or of a successor to the Corporation) does not provide for (1) the continuance of the Cash Incentives, Options, Stock Appreciation Rights, Restricted Stock Units, Performance Units, shares of Restricted Stock and/or Performance Shares granted hereunder or (2) the substitution of new cash incentives, options, stock appreciation rights, restricted stock units, shares of restricted stock, performance units or performance shares for Cash Incentives, Options, Stock Appreciation Rights, Restricted Stock Units, shares of Restricted Stock, Performance Shares or Performance Units granted hereunder, or for the assumption of the same by the surviving corporation,</w:t>
      </w:r>
    </w:p>
    <w:p>
      <w:pPr>
        <w:spacing w:after="0" w:line="1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Then, (A) with respect to such Options and Stock Appreciation Rights, the holder of any such Option or Stock Appreciation Right theretofore granted and still outstanding (and not otherwise expired) shall have the right immediately prior to the effective date of such merger, consolidation, dissolution, liquidation, Asset Sale or Change in Control of the Corporation to exercise such Option(s) or Stock Appreciation Right(s) in whole or in part without regard to any installment provision that may have been made part of the terms and conditions of such Option(s) or Stock Appreciation Right(s), (B) all restrictions regarding transferability and forfeiture on shares of Restricted Stock, Restricted Stock Units, Performance Shares and Performance Units shall be removed immediately prior to the effective date of such merger, consolidation, dissolution, liquidation, Asset Sale or Change in Control of the Corporation (and the shares of Common Stock underlying any such Restricted Stock Units and Performance Units shall be immediately distributed to the applicable Participants) and (C) the outstanding amount of Cash Incentives, to the extent vested and earned, shall immediately be paid to the Participant; provided that all conditions precedent to (x) the exercise of such Option(s) or Stock Appreciation Right(s), (y) the transferability of such shares of Restricted Stock or Performance Shares and the vesting of Restricted Stock Units and Performance Units and (z) the payment of such Cash Incentives, other than the passage of time, have occurred.</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The Corporation, to the extent practicable, shall give advance notice to affected Optionees and holders of Stock Appreciation Rights of any such merger, consolidation, dissolution, liquidation, Asset Sale or Change in Control of the Corporation. Unless otherwise provided in the subject Award Agreement or merger, consolidation or Asset Sale agreement, all such Options and Stock Appreciation Rights which are not so exercised shall be forfeited as of the effective time of such merger, consolidation, dissolution, liquidation or Asset Sale (but not in the case of a Change in Control of the Corporation). In the event the Corporation becomes a subsidiary of another corporation (the “New Parent Corporation”) with respect to which the stockholders of the Corporation (as determined immediately before such transaction) own, immediately after such transaction, a beneficial interest in shares of voting securities of the New Parent Corporation having at least a majority of the combined voting power of such New Parent Corporation’s then outstanding securities, then, notwithstanding the provisions of the immediately preceding paragraph, there shall be substituted for Cash Incentives, Options, Stock Appreciation Rights, Restricted Stock Units, shares of Restricted Stock, Performance Shares and Performance Units granted hereunder, (i) cash incentives and (ii) options to purchase, stock appreciation rights issued with respect to, restricted stock units (and performance units) related to shares of the New Parent Corporation and restricted shares of common stock (and performance shares) of the New Parent Corporation. The substitution described in the immediately preceding sentence shall be effected in a manner such that any option granted by the New Parent Corporation (i) shall comply with Treas. Reg. §1.409A-1(b)(5)(v) and (ii) which is intended to replace an Incentive Stock Option granted hereunder shall satisfy the requirements of Section 422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200025</wp:posOffset>
            </wp:positionV>
            <wp:extent cx="716470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47" w:name="page48"/>
    <w:bookmarkEnd w:id="47"/>
    <w:p>
      <w:pPr>
        <w:jc w:val="both"/>
        <w:ind w:firstLine="251"/>
        <w:spacing w:after="0" w:line="250" w:lineRule="auto"/>
        <w:tabs>
          <w:tab w:leader="none" w:pos="435"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 of Merger or Consolidation on Performance-Based Plan Awards, Etc</w:t>
      </w:r>
      <w:r>
        <w:rPr>
          <w:rFonts w:ascii="Times New Roman" w:cs="Times New Roman" w:eastAsia="Times New Roman" w:hAnsi="Times New Roman"/>
          <w:sz w:val="14"/>
          <w:szCs w:val="14"/>
          <w:color w:val="auto"/>
        </w:rPr>
        <w:t>. Notwithstanding the above, as of the effective date of any merger, consolidation, dissolution, liquidation or Asset Sale described in Section X(b), above, no Participant shall earn any additional performance-based Plan Award or dividend or interest equivalent under the Plan. Furthermore, if the value of any such Plan Award cannot be determined as of such date because such Plan Award is conditioned upon the future financial performance of the Corporation, such Plan Award (including any applicable dividend or interest equivalents) shall, unless otherwise provided in the subject Award Agreement, be prorated based upon the assumption that such performance criteria have been satisfied at the target level. Except as provided in Section X(b), any Plan Award payable after the date of the merger, consolidation, dissolution, liquidation or Asset Sale shall be paid in cash (unless the appropriate merger, consolidation or Asset Sale agreement provides otherwise) as of the date such Plan Award originally was to have been paid, or as of such earlier date as may be determined by the Corporation or its successor but subject to the provisions of Section 409A of the Code and the regulations promulgated thereunder.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XI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MISCELLANEOUS PROVISIONS</w:t>
      </w:r>
    </w:p>
    <w:p>
      <w:pPr>
        <w:spacing w:after="0" w:line="156" w:lineRule="exact"/>
        <w:rPr>
          <w:sz w:val="20"/>
          <w:szCs w:val="20"/>
          <w:color w:val="auto"/>
        </w:rPr>
      </w:pPr>
    </w:p>
    <w:p>
      <w:pPr>
        <w:ind w:firstLine="251"/>
        <w:spacing w:after="0" w:line="272" w:lineRule="auto"/>
        <w:tabs>
          <w:tab w:leader="none" w:pos="445"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Administrative Procedures</w:t>
      </w:r>
      <w:r>
        <w:rPr>
          <w:rFonts w:ascii="Times New Roman" w:cs="Times New Roman" w:eastAsia="Times New Roman" w:hAnsi="Times New Roman"/>
          <w:sz w:val="14"/>
          <w:szCs w:val="14"/>
          <w:color w:val="auto"/>
        </w:rPr>
        <w:t>. The Committee may establish any procedures determined by it to be appropriate in discharging its responsibilities under the Plan. All actions and decisions of the Committee shall be final.</w:t>
      </w:r>
    </w:p>
    <w:p>
      <w:pPr>
        <w:spacing w:after="0" w:line="131" w:lineRule="exact"/>
        <w:rPr>
          <w:rFonts w:ascii="Times New Roman" w:cs="Times New Roman" w:eastAsia="Times New Roman" w:hAnsi="Times New Roman"/>
          <w:sz w:val="14"/>
          <w:szCs w:val="14"/>
          <w:color w:val="auto"/>
        </w:rPr>
      </w:pPr>
    </w:p>
    <w:p>
      <w:pPr>
        <w:ind w:firstLine="251"/>
        <w:spacing w:after="0" w:line="272" w:lineRule="auto"/>
        <w:tabs>
          <w:tab w:leader="none" w:pos="443"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Assignment or Transfer</w:t>
      </w:r>
      <w:r>
        <w:rPr>
          <w:rFonts w:ascii="Times New Roman" w:cs="Times New Roman" w:eastAsia="Times New Roman" w:hAnsi="Times New Roman"/>
          <w:sz w:val="14"/>
          <w:szCs w:val="14"/>
          <w:color w:val="auto"/>
        </w:rPr>
        <w:t>. Except as provided in Article XII, no grant or award of any Plan Award or any rights or interests therein shall be assignable or transferable by a Participant. During the lifetime of a Participant, Incentive Stock Options granted hereunder to such Participant shall be exercisable only by the Participant.</w:t>
      </w:r>
    </w:p>
    <w:p>
      <w:pPr>
        <w:spacing w:after="0" w:line="131" w:lineRule="exact"/>
        <w:rPr>
          <w:rFonts w:ascii="Times New Roman" w:cs="Times New Roman" w:eastAsia="Times New Roman" w:hAnsi="Times New Roman"/>
          <w:sz w:val="14"/>
          <w:szCs w:val="14"/>
          <w:color w:val="auto"/>
        </w:rPr>
      </w:pPr>
    </w:p>
    <w:p>
      <w:pPr>
        <w:jc w:val="both"/>
        <w:ind w:firstLine="251"/>
        <w:spacing w:after="0" w:line="255" w:lineRule="auto"/>
        <w:tabs>
          <w:tab w:leader="none" w:pos="445"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Investment Representation</w:t>
      </w:r>
      <w:r>
        <w:rPr>
          <w:rFonts w:ascii="Times New Roman" w:cs="Times New Roman" w:eastAsia="Times New Roman" w:hAnsi="Times New Roman"/>
          <w:sz w:val="14"/>
          <w:szCs w:val="14"/>
          <w:color w:val="auto"/>
        </w:rPr>
        <w:t>. In the case of Plan Awards paid in shares of Common Stock or other securities, or, with respect to shares of Common Stock received pursuant to the exercise of an Option or a Stock Appreciation Right, or upon the payment upon any Plan Award, the Committee may require, as a condition of receiving such securities, that the Participant furnish to the Corporation such written representations and information as the Committee deems appropriate to permit the Corporation, in light of the existence or nonexistence of an effective registration statement under the Securities Act, to deliver such securities in compliance with the provisions of the Securities Act or other Applicable Law.</w:t>
      </w:r>
    </w:p>
    <w:p>
      <w:pPr>
        <w:spacing w:after="0" w:line="142" w:lineRule="exact"/>
        <w:rPr>
          <w:rFonts w:ascii="Times New Roman" w:cs="Times New Roman" w:eastAsia="Times New Roman" w:hAnsi="Times New Roman"/>
          <w:sz w:val="14"/>
          <w:szCs w:val="14"/>
          <w:color w:val="auto"/>
        </w:rPr>
      </w:pPr>
    </w:p>
    <w:p>
      <w:pPr>
        <w:jc w:val="both"/>
        <w:ind w:firstLine="251"/>
        <w:spacing w:after="0" w:line="249" w:lineRule="auto"/>
        <w:tabs>
          <w:tab w:leader="none" w:pos="443"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Withholding Taxes</w:t>
      </w:r>
      <w:r>
        <w:rPr>
          <w:rFonts w:ascii="Times New Roman" w:cs="Times New Roman" w:eastAsia="Times New Roman" w:hAnsi="Times New Roman"/>
          <w:sz w:val="14"/>
          <w:szCs w:val="14"/>
          <w:color w:val="auto"/>
        </w:rPr>
        <w:t>. The Corporation (or the appropriate Affiliate) shall have the right to deduct and withhold from all payments hereunder the statutorily required federal, state, local or foreign taxes due to be withheld with respect to such payments. In the case of the issuance or distribution of Common Stock or other securities hereunder, either directly or upon the exercise of or payment upon any Plan Award, the Corporation, as a condition of such issuance or distribution, may require the payment (through withholding from the Participant’s salary, reduction of the number of shares of Common Stock or other securities to be issued, or otherwise) of any such taxes. Each Participant may satisfy the withholding obligations by paying to the Corporation (or the appropriate Affiliate) a cash amount equal to the amount required to be withheld or, subject to the Committee’s consent thereto, by tendering to the Corporation (or to the appropriate Affiliate) a number of shares of Common Stock having a Fair Market Value equivalent to such cash amount, or by use of the following procedure if approved in writing by the Committee: A procedure whereby a number of shares of Common Stock or other securities may be withheld from the total number of shares of Common Stock or other securities to be issued upon exercise, vesting or payment upon an Option, Stock Appreciation Right or other grant of Plan Awards, as applicable. The Committee may, in its sole discretion, require that if any such withholding is effected by the tendering of Common Stock, such withholding shall be consummated with Common Stock (i) held by the Optionee for at least six months or (ii) acquired by the Optionee other than under the Plan or a similar program.</w:t>
      </w:r>
    </w:p>
    <w:p>
      <w:pPr>
        <w:spacing w:after="0" w:line="149" w:lineRule="exact"/>
        <w:rPr>
          <w:rFonts w:ascii="Times New Roman" w:cs="Times New Roman" w:eastAsia="Times New Roman" w:hAnsi="Times New Roman"/>
          <w:sz w:val="14"/>
          <w:szCs w:val="14"/>
          <w:color w:val="auto"/>
        </w:rPr>
      </w:pPr>
    </w:p>
    <w:p>
      <w:pPr>
        <w:ind w:left="440" w:hanging="189"/>
        <w:spacing w:after="0"/>
        <w:tabs>
          <w:tab w:leader="none" w:pos="4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Costs and Expenses</w:t>
      </w:r>
      <w:r>
        <w:rPr>
          <w:rFonts w:ascii="Times New Roman" w:cs="Times New Roman" w:eastAsia="Times New Roman" w:hAnsi="Times New Roman"/>
          <w:sz w:val="14"/>
          <w:szCs w:val="14"/>
          <w:color w:val="auto"/>
        </w:rPr>
        <w:t>. The costs and expenses of administering the Plan shall be borne by the Corporation and shall not be charged against any award nor to any person receiving a Plan Award.</w:t>
      </w:r>
    </w:p>
    <w:p>
      <w:pPr>
        <w:spacing w:after="0" w:line="169" w:lineRule="exact"/>
        <w:rPr>
          <w:rFonts w:ascii="Times New Roman" w:cs="Times New Roman" w:eastAsia="Times New Roman" w:hAnsi="Times New Roman"/>
          <w:sz w:val="14"/>
          <w:szCs w:val="14"/>
          <w:color w:val="auto"/>
        </w:rPr>
      </w:pPr>
    </w:p>
    <w:p>
      <w:pPr>
        <w:jc w:val="both"/>
        <w:ind w:firstLine="251"/>
        <w:spacing w:after="0" w:line="255" w:lineRule="auto"/>
        <w:tabs>
          <w:tab w:leader="none" w:pos="4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Funding of Plan</w:t>
      </w:r>
      <w:r>
        <w:rPr>
          <w:rFonts w:ascii="Times New Roman" w:cs="Times New Roman" w:eastAsia="Times New Roman" w:hAnsi="Times New Roman"/>
          <w:sz w:val="14"/>
          <w:szCs w:val="14"/>
          <w:color w:val="auto"/>
        </w:rPr>
        <w:t>. The Plan shall be unfunded. The Corporation (and the appropriate Affiliates) shall not be required to segregate any of their assets to assure the payment of any Plan Award under the Plan. Neither the Participants nor any other persons shall have any interest in any fund or in any specific asset or assets of the Corporation or any other entity by reason of any Plan Award, except to the extent expressly provided hereunder. The interests of each Participant and former Participant hereunder are unsecured and shall be subject to the claims of the general creditors of the Corporation and of the Affiliates.</w:t>
      </w:r>
    </w:p>
    <w:p>
      <w:pPr>
        <w:spacing w:after="0" w:line="142" w:lineRule="exact"/>
        <w:rPr>
          <w:rFonts w:ascii="Times New Roman" w:cs="Times New Roman" w:eastAsia="Times New Roman" w:hAnsi="Times New Roman"/>
          <w:sz w:val="14"/>
          <w:szCs w:val="14"/>
          <w:color w:val="auto"/>
        </w:rPr>
      </w:pPr>
    </w:p>
    <w:p>
      <w:pPr>
        <w:ind w:firstLine="251"/>
        <w:spacing w:after="0" w:line="272" w:lineRule="auto"/>
        <w:tabs>
          <w:tab w:leader="none" w:pos="443"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Incentive Plans</w:t>
      </w:r>
      <w:r>
        <w:rPr>
          <w:rFonts w:ascii="Times New Roman" w:cs="Times New Roman" w:eastAsia="Times New Roman" w:hAnsi="Times New Roman"/>
          <w:sz w:val="14"/>
          <w:szCs w:val="14"/>
          <w:color w:val="auto"/>
        </w:rPr>
        <w:t>. The adoption of the Plan does not preclude the utilization of existing, or adoption by appropriate means of any other, incentive, performance or other plan for Employees, Non-Employee Directors or other service providers or any other person eligible to be granted a Plan Award.</w:t>
      </w:r>
    </w:p>
    <w:p>
      <w:pPr>
        <w:spacing w:after="0" w:line="131" w:lineRule="exact"/>
        <w:rPr>
          <w:rFonts w:ascii="Times New Roman" w:cs="Times New Roman" w:eastAsia="Times New Roman" w:hAnsi="Times New Roman"/>
          <w:sz w:val="14"/>
          <w:szCs w:val="14"/>
          <w:color w:val="auto"/>
        </w:rPr>
      </w:pPr>
    </w:p>
    <w:p>
      <w:pPr>
        <w:ind w:firstLine="251"/>
        <w:spacing w:after="0" w:line="272" w:lineRule="auto"/>
        <w:tabs>
          <w:tab w:leader="none" w:pos="443"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In case any provision of the Plan shall be held illegal or void, such illegality or invalidity shall not affect the remaining provisions of the Plan, but shall be fully severable, and the Plan shall be construed and enforced as if said illegal or invalid provisions had never been inserted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16470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48" w:name="page49"/>
    <w:bookmarkEnd w:id="48"/>
    <w:p>
      <w:pPr>
        <w:jc w:val="both"/>
        <w:ind w:left="-251" w:firstLine="251"/>
        <w:spacing w:after="0" w:line="253" w:lineRule="auto"/>
        <w:tabs>
          <w:tab w:leader="none" w:pos="16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Payments Due Missing Persons</w:t>
      </w:r>
      <w:r>
        <w:rPr>
          <w:rFonts w:ascii="Times New Roman" w:cs="Times New Roman" w:eastAsia="Times New Roman" w:hAnsi="Times New Roman"/>
          <w:sz w:val="14"/>
          <w:szCs w:val="14"/>
          <w:color w:val="auto"/>
        </w:rPr>
        <w:t>. The Corporation shall make a reasonable effort to locate all persons entitled to benefits under the Plan (the “Benefits”). However, notwithstanding any provisions of the Plan to the contrary, if, after a period of one (1) year from the date such Benefits shall be due, any such persons entitled to Benefits have not been located, their rights under the Plan with respect to such Benefits shall stand suspended. Before this provision becomes operative, the Corporation shall send a certified letter to all such persons at their last known addresses advising them that their rights under the Plan shall be suspended. Subject to all applicable state laws, any such suspended Benefits shall be held by the Corporation for a period of one (1) additional year and thereafter such Benefits shall be forfeited and thereafter remain the property of the Corporation.</w:t>
      </w:r>
    </w:p>
    <w:p>
      <w:pPr>
        <w:spacing w:after="0" w:line="143" w:lineRule="exact"/>
        <w:rPr>
          <w:rFonts w:ascii="Times New Roman" w:cs="Times New Roman" w:eastAsia="Times New Roman" w:hAnsi="Times New Roman"/>
          <w:sz w:val="14"/>
          <w:szCs w:val="14"/>
          <w:color w:val="auto"/>
        </w:rPr>
      </w:pPr>
    </w:p>
    <w:p>
      <w:pPr>
        <w:ind w:left="169" w:hanging="169"/>
        <w:spacing w:after="0"/>
        <w:tabs>
          <w:tab w:leader="none" w:pos="169"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Liability and Indemnification</w:t>
      </w:r>
      <w:r>
        <w:rPr>
          <w:rFonts w:ascii="Times New Roman" w:cs="Times New Roman" w:eastAsia="Times New Roman" w:hAnsi="Times New Roman"/>
          <w:sz w:val="14"/>
          <w:szCs w:val="14"/>
          <w:color w:val="auto"/>
        </w:rPr>
        <w:t>.</w:t>
      </w:r>
    </w:p>
    <w:p>
      <w:pPr>
        <w:spacing w:after="0" w:line="169" w:lineRule="exact"/>
        <w:rPr>
          <w:rFonts w:ascii="Times New Roman" w:cs="Times New Roman" w:eastAsia="Times New Roman" w:hAnsi="Times New Roman"/>
          <w:sz w:val="14"/>
          <w:szCs w:val="14"/>
          <w:color w:val="auto"/>
        </w:rPr>
      </w:pPr>
    </w:p>
    <w:p>
      <w:pPr>
        <w:jc w:val="both"/>
        <w:ind w:left="-251" w:firstLine="499"/>
        <w:spacing w:after="0" w:line="259" w:lineRule="auto"/>
        <w:tabs>
          <w:tab w:leader="none" w:pos="41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Corporation nor any Affiliate shall be responsible in any way for any action or omission of the Committee, or any other fiduciaries in the performance of their duties and obligations as set forth in the Plan. Furthermore, neither the Corporation nor any Affiliate shall be responsible for any act or omission of any of their agents, or with respect to reliance upon advice of their counsel, provided that the Corporation and/or the appropriate Affiliate relied in good faith upon the action of such agent or the advice of such counsel.</w:t>
      </w:r>
    </w:p>
    <w:p>
      <w:pPr>
        <w:spacing w:after="0" w:line="140" w:lineRule="exact"/>
        <w:rPr>
          <w:rFonts w:ascii="Times New Roman" w:cs="Times New Roman" w:eastAsia="Times New Roman" w:hAnsi="Times New Roman"/>
          <w:sz w:val="14"/>
          <w:szCs w:val="14"/>
          <w:color w:val="auto"/>
        </w:rPr>
      </w:pPr>
    </w:p>
    <w:p>
      <w:pPr>
        <w:ind w:left="-251" w:firstLine="499"/>
        <w:spacing w:after="0" w:line="272" w:lineRule="auto"/>
        <w:tabs>
          <w:tab w:leader="none" w:pos="464"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Corporation, nor any Affiliate, the Committee, nor any agents, employees, officers, directors or stockholders of any of them, nor any other person shall have any liability or responsibility with respect to the Plan, except as expressly provided herein.</w:t>
      </w:r>
    </w:p>
    <w:p>
      <w:pPr>
        <w:spacing w:after="0" w:line="131" w:lineRule="exact"/>
        <w:rPr>
          <w:rFonts w:ascii="Times New Roman" w:cs="Times New Roman" w:eastAsia="Times New Roman" w:hAnsi="Times New Roman"/>
          <w:sz w:val="14"/>
          <w:szCs w:val="14"/>
          <w:color w:val="auto"/>
        </w:rPr>
      </w:pPr>
    </w:p>
    <w:p>
      <w:pPr>
        <w:jc w:val="both"/>
        <w:ind w:left="-251" w:firstLine="251"/>
        <w:spacing w:after="0" w:line="251" w:lineRule="auto"/>
        <w:tabs>
          <w:tab w:leader="none" w:pos="19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Incapacity</w:t>
      </w:r>
      <w:r>
        <w:rPr>
          <w:rFonts w:ascii="Times New Roman" w:cs="Times New Roman" w:eastAsia="Times New Roman" w:hAnsi="Times New Roman"/>
          <w:sz w:val="14"/>
          <w:szCs w:val="14"/>
          <w:color w:val="auto"/>
        </w:rPr>
        <w:t>. If the Committee shall receive evidence satisfactory to it that a person entitled to receive payment of, or exercise, any Plan Award is, at the time when such benefit becomes payable or exercisable, a minor, or is physically or mentally incompetent to receive or exercise such Plan Award and to give a valid release thereof, and that another person or an institution is then maintaining or has custody of such person and that no guardian, committee or other representative of the estate of such person shall have been duly appointed, the Committee may make payment of such Plan Award otherwise payable to such person to (or permit such Plan Award to be exercised by) such other person or institution, including a custodian under the Uniform Gifts to Minors Act or corresponding legislation (who shall be an adult, a guardian of the minor or a trust company), and the release by such other person or institution shall be a valid and complete discharge for the payment or exercise of such Plan Award.</w:t>
      </w:r>
    </w:p>
    <w:p>
      <w:pPr>
        <w:spacing w:after="0" w:line="147" w:lineRule="exact"/>
        <w:rPr>
          <w:rFonts w:ascii="Times New Roman" w:cs="Times New Roman" w:eastAsia="Times New Roman" w:hAnsi="Times New Roman"/>
          <w:sz w:val="14"/>
          <w:szCs w:val="14"/>
          <w:color w:val="auto"/>
        </w:rPr>
      </w:pPr>
    </w:p>
    <w:p>
      <w:pPr>
        <w:ind w:left="-251" w:firstLine="251"/>
        <w:spacing w:after="0" w:line="272" w:lineRule="auto"/>
        <w:tabs>
          <w:tab w:leader="none" w:pos="16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Cooperation of Parties</w:t>
      </w:r>
      <w:r>
        <w:rPr>
          <w:rFonts w:ascii="Times New Roman" w:cs="Times New Roman" w:eastAsia="Times New Roman" w:hAnsi="Times New Roman"/>
          <w:sz w:val="14"/>
          <w:szCs w:val="14"/>
          <w:color w:val="auto"/>
        </w:rPr>
        <w:t>. The Corporation, each Participant and any person claiming any interest hereunder agree to perform any and all acts and execute any and all documents and papers which are necessary or desirable for carrying out the Plan or any of its provisions.</w:t>
      </w:r>
    </w:p>
    <w:p>
      <w:pPr>
        <w:spacing w:after="0" w:line="131" w:lineRule="exact"/>
        <w:rPr>
          <w:rFonts w:ascii="Times New Roman" w:cs="Times New Roman" w:eastAsia="Times New Roman" w:hAnsi="Times New Roman"/>
          <w:sz w:val="14"/>
          <w:szCs w:val="14"/>
          <w:color w:val="auto"/>
        </w:rPr>
      </w:pPr>
    </w:p>
    <w:p>
      <w:pPr>
        <w:jc w:val="both"/>
        <w:ind w:left="-251" w:firstLine="251"/>
        <w:spacing w:after="0" w:line="255" w:lineRule="auto"/>
        <w:tabs>
          <w:tab w:leader="none" w:pos="231"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All questions pertaining to the validity, construction and administration of the Plan shall be determined in accordance with the laws of the State of Delaware without regard to its principles of conflicts of law. Subject to the provisions of Article XVII hereof, and to any provision contained in an Award Agreement or any appendix or exhibit thereto to the contrary, in the event that any person is compelled to bring a claim related to the Plan, to interpret or enforce the provisions of the Plan, to recover damages as a result of a breach of the terms of the Plan, or from any other cause (a “Claim”), such Claim must be processed in the manner set forth below:</w:t>
      </w:r>
    </w:p>
    <w:p>
      <w:pPr>
        <w:spacing w:after="0" w:line="138" w:lineRule="exact"/>
        <w:rPr>
          <w:rFonts w:ascii="Times New Roman" w:cs="Times New Roman" w:eastAsia="Times New Roman" w:hAnsi="Times New Roman"/>
          <w:sz w:val="14"/>
          <w:szCs w:val="14"/>
          <w:color w:val="auto"/>
        </w:rPr>
      </w:pPr>
    </w:p>
    <w:p>
      <w:pPr>
        <w:jc w:val="both"/>
        <w:ind w:left="-251" w:firstLine="499"/>
        <w:spacing w:after="0" w:line="262" w:lineRule="auto"/>
        <w:tabs>
          <w:tab w:leader="none" w:pos="41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THE SOLE AND EXCLUSIVE METHOD TO RESOLVE ANY CLAIM IS BINDING ARBITRATION, AND THE CORPORATION AND EACH PARTICIPANT (INCLUDING FORMER PARTICIPANTS, BENEFICIARIES OF PARTICIPANTS OR OF FORMER PARTICIPANTS OR PERSONS ACTING FOR OR ON BEHALF THEREOF) WAIVE THE RIGHT TO A JURY TRIAL OR COURT TRIAL. </w:t>
      </w:r>
      <w:r>
        <w:rPr>
          <w:rFonts w:ascii="Times New Roman" w:cs="Times New Roman" w:eastAsia="Times New Roman" w:hAnsi="Times New Roman"/>
          <w:sz w:val="14"/>
          <w:szCs w:val="14"/>
          <w:color w:val="auto"/>
        </w:rPr>
        <w:t>No Participant shall initiate or prosecute any lawsuit in any way related to any Claim covered by the terms of the Plan.</w:t>
      </w:r>
    </w:p>
    <w:p>
      <w:pPr>
        <w:spacing w:after="0" w:line="138" w:lineRule="exact"/>
        <w:rPr>
          <w:rFonts w:ascii="Times New Roman" w:cs="Times New Roman" w:eastAsia="Times New Roman" w:hAnsi="Times New Roman"/>
          <w:sz w:val="14"/>
          <w:szCs w:val="14"/>
          <w:color w:val="auto"/>
        </w:rPr>
      </w:pPr>
    </w:p>
    <w:p>
      <w:pPr>
        <w:jc w:val="both"/>
        <w:ind w:left="-251" w:firstLine="499"/>
        <w:spacing w:after="0" w:line="248" w:lineRule="auto"/>
        <w:tabs>
          <w:tab w:leader="none" w:pos="454"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arbitration shall be binding and conducted before a single arbitrator in accordance with the then-current rules of the American Arbitration Association (the “</w:t>
      </w:r>
      <w:r>
        <w:rPr>
          <w:rFonts w:ascii="Times New Roman" w:cs="Times New Roman" w:eastAsia="Times New Roman" w:hAnsi="Times New Roman"/>
          <w:sz w:val="14"/>
          <w:szCs w:val="14"/>
          <w:u w:val="single" w:color="auto"/>
          <w:color w:val="auto"/>
        </w:rPr>
        <w:t>AAA</w:t>
      </w:r>
      <w:r>
        <w:rPr>
          <w:rFonts w:ascii="Times New Roman" w:cs="Times New Roman" w:eastAsia="Times New Roman" w:hAnsi="Times New Roman"/>
          <w:sz w:val="14"/>
          <w:szCs w:val="14"/>
          <w:color w:val="auto"/>
        </w:rPr>
        <w:t>”), as modified by the terms and conditions of this paragraph. Venue for any arbitration pursuant to this Plan will lie in Boston, Massachusetts. The arbitrator will be selected by mutual agreement of the parties to the arbitration proceeding (the “</w:t>
      </w:r>
      <w:r>
        <w:rPr>
          <w:rFonts w:ascii="Times New Roman" w:cs="Times New Roman" w:eastAsia="Times New Roman" w:hAnsi="Times New Roman"/>
          <w:sz w:val="14"/>
          <w:szCs w:val="14"/>
          <w:u w:val="single" w:color="auto"/>
          <w:color w:val="auto"/>
        </w:rPr>
        <w:t>Parties</w:t>
      </w:r>
      <w:r>
        <w:rPr>
          <w:rFonts w:ascii="Times New Roman" w:cs="Times New Roman" w:eastAsia="Times New Roman" w:hAnsi="Times New Roman"/>
          <w:sz w:val="14"/>
          <w:szCs w:val="14"/>
          <w:color w:val="auto"/>
        </w:rPr>
        <w:t>”) or, if the Parties cannot agree, then by striking from a list of arbitrators supplied by the AAA. Each Party shall pay its own arbitrator’s fees and arbitration costs. Upon the conclusion of the arbitration hearing, the arbitrator shall issue a written opinion revealing, however briefly, the essential findings and conclusions upon which the arbitrator’s award is based. The award of the arbitrator shall be final and binding. Upon the conclusion of an arbitration the losing Party shall reimburse the prevailing Party for any reasonable legal fees and expenses incurred by the prevailing Party. As used herein, that the prevailing Party of an arbitration shall be determined by the arbitrator or, if applicable, by the following procedure. At any time up until ten days following the delivery of the initial “complaint” of the Party commencing arbitration to the other party, either Party may make one or more written settlement offers to the other Party (the “</w:t>
      </w:r>
      <w:r>
        <w:rPr>
          <w:rFonts w:ascii="Times New Roman" w:cs="Times New Roman" w:eastAsia="Times New Roman" w:hAnsi="Times New Roman"/>
          <w:sz w:val="14"/>
          <w:szCs w:val="14"/>
          <w:u w:val="single" w:color="auto"/>
          <w:color w:val="auto"/>
        </w:rPr>
        <w:t>Final Settlement Date</w:t>
      </w:r>
      <w:r>
        <w:rPr>
          <w:rFonts w:ascii="Times New Roman" w:cs="Times New Roman" w:eastAsia="Times New Roman" w:hAnsi="Times New Roman"/>
          <w:sz w:val="14"/>
          <w:szCs w:val="14"/>
          <w:color w:val="auto"/>
        </w:rPr>
        <w:t xml:space="preserve">”). Each such offer must state that it is binding and enforceable against the offeror if accepted in writing by the offeree on or before the date that is five days following the Final Settlement Date, unless first withdrawn or superseded by another offer from such Party prior to written acceptance. A copy of such settlement offers will be sent either to an escrow agent agreed to by the Parties or to the AAA, but shall </w:t>
      </w:r>
      <w:r>
        <w:rPr>
          <w:rFonts w:ascii="Times New Roman" w:cs="Times New Roman" w:eastAsia="Times New Roman" w:hAnsi="Times New Roman"/>
          <w:sz w:val="14"/>
          <w:szCs w:val="14"/>
          <w:b w:val="1"/>
          <w:bCs w:val="1"/>
          <w:u w:val="single" w:color="auto"/>
          <w:color w:val="auto"/>
        </w:rPr>
        <w:t>NOT</w:t>
      </w:r>
      <w:r>
        <w:rPr>
          <w:rFonts w:ascii="Times New Roman" w:cs="Times New Roman" w:eastAsia="Times New Roman" w:hAnsi="Times New Roman"/>
          <w:sz w:val="14"/>
          <w:szCs w:val="14"/>
          <w:color w:val="auto"/>
        </w:rPr>
        <w:t xml:space="preserve"> be shown to the arbitrator or arbitrators until after he, she or they have rendered their decision in all respects, except with respect of determining the prevailing Party and determined the amount of recoverable legal fees. After such time, the arbitrator or arbitrators shall review the settlement offers and the Party whose settlement offer is deemed by the arbitrator or arbitrators to be the closest to the arbitrator’s decision or award shall be deemed to be the prevailing Party. Judgment upon any award may be entered in any court having jurisdiction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210185</wp:posOffset>
            </wp:positionV>
            <wp:extent cx="716470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029"/>
          </w:cols>
          <w:pgMar w:left="551" w:top="561" w:right="319" w:bottom="1440" w:gutter="0" w:footer="0" w:header="0"/>
        </w:sectPr>
      </w:pPr>
    </w:p>
    <w:bookmarkStart w:id="49" w:name="page50"/>
    <w:bookmarkEnd w:id="49"/>
    <w:p>
      <w:pPr>
        <w:jc w:val="both"/>
        <w:ind w:left="-251" w:firstLine="251"/>
        <w:spacing w:after="0" w:line="255" w:lineRule="auto"/>
        <w:tabs>
          <w:tab w:leader="none" w:pos="19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Nonguarantee of Employment or Consulting Relationship</w:t>
      </w:r>
      <w:r>
        <w:rPr>
          <w:rFonts w:ascii="Times New Roman" w:cs="Times New Roman" w:eastAsia="Times New Roman" w:hAnsi="Times New Roman"/>
          <w:sz w:val="14"/>
          <w:szCs w:val="14"/>
          <w:color w:val="auto"/>
        </w:rPr>
        <w:t>. Nothing contained in the Plan shall be construed as a contract of employment (or as a consulting, advisory or similar contract) between the Corporation (or any Affiliate), and any Employee, Consultant or Participant, as a right of any Employee, Consultant or Participant to be continued in the employ of (or in a Consulting Relationship with) the Corporation (or any Affiliate), or as a limitation on the right of the Corporation or any Affiliate to discharge any of its Employees (or Consultants), at any time, with or without cause (but subject to the terms of any applicable employment, consulting, advisory or similar agreement).</w:t>
      </w:r>
    </w:p>
    <w:p>
      <w:pPr>
        <w:spacing w:after="0" w:line="142" w:lineRule="exact"/>
        <w:rPr>
          <w:rFonts w:ascii="Times New Roman" w:cs="Times New Roman" w:eastAsia="Times New Roman" w:hAnsi="Times New Roman"/>
          <w:sz w:val="14"/>
          <w:szCs w:val="14"/>
          <w:color w:val="auto"/>
        </w:rPr>
      </w:pPr>
    </w:p>
    <w:p>
      <w:pPr>
        <w:jc w:val="both"/>
        <w:ind w:left="-251" w:firstLine="251"/>
        <w:spacing w:after="0" w:line="251" w:lineRule="auto"/>
        <w:tabs>
          <w:tab w:leader="none" w:pos="19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Each notice relating to this Plan shall be in writing and delivered in person, by E-Mail, by recognized overnight courier, Unites States Postal Service (“USPS”) Express Mail or by USPS Certified Mail, return receipt requested to the proper address set forth below. All notices to the Corporation or the Committee shall be addressed to them at 25 Recreation Park Drive, Unit 108, Hingham, MA 02043; Attn: Chairman. All notices to Participants, former Participants, estates of Participants or other persons acting for or on behalf of such persons shall be addressed to such person at the last address for such person maintained in the Committee’s records. All notices to any individual or entity (i) delivered in person shall be considered to be received on delivery, (ii) sent by E-Mail shall be deemed to have been received 12 hours after posting, (iii) sent by recognized overnight courier or USPS Express Mail shall be deemed to have been received at the close of business on the second business day after posting and (iv) sent by USPS Certified Mail return receipt requested shall be deemed to have been received at the close of business on the third business day after posting.</w:t>
      </w:r>
    </w:p>
    <w:p>
      <w:pPr>
        <w:spacing w:after="0" w:line="147" w:lineRule="exact"/>
        <w:rPr>
          <w:rFonts w:ascii="Times New Roman" w:cs="Times New Roman" w:eastAsia="Times New Roman" w:hAnsi="Times New Roman"/>
          <w:sz w:val="14"/>
          <w:szCs w:val="14"/>
          <w:color w:val="auto"/>
        </w:rPr>
      </w:pPr>
    </w:p>
    <w:p>
      <w:pPr>
        <w:ind w:left="189" w:hanging="189"/>
        <w:spacing w:after="0"/>
        <w:tabs>
          <w:tab w:leader="none" w:pos="189"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Written Agreements</w:t>
      </w:r>
      <w:r>
        <w:rPr>
          <w:rFonts w:ascii="Times New Roman" w:cs="Times New Roman" w:eastAsia="Times New Roman" w:hAnsi="Times New Roman"/>
          <w:sz w:val="13"/>
          <w:szCs w:val="13"/>
          <w:color w:val="auto"/>
        </w:rPr>
        <w:t>. Each Plan Award shall be evidenced by a signed written Award Agreement between the Corporation and the Participant containing the terms and conditions of the Plan Award.</w:t>
      </w:r>
    </w:p>
    <w:p>
      <w:pPr>
        <w:spacing w:after="0" w:line="181" w:lineRule="exact"/>
        <w:rPr>
          <w:rFonts w:ascii="Times New Roman" w:cs="Times New Roman" w:eastAsia="Times New Roman" w:hAnsi="Times New Roman"/>
          <w:sz w:val="13"/>
          <w:szCs w:val="13"/>
          <w:color w:val="auto"/>
        </w:rPr>
      </w:pPr>
    </w:p>
    <w:p>
      <w:pPr>
        <w:ind w:left="189" w:hanging="189"/>
        <w:spacing w:after="0"/>
        <w:tabs>
          <w:tab w:leader="none" w:pos="189"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409A of the Code</w:t>
      </w:r>
      <w:r>
        <w:rPr>
          <w:rFonts w:ascii="Times New Roman" w:cs="Times New Roman" w:eastAsia="Times New Roman" w:hAnsi="Times New Roman"/>
          <w:sz w:val="14"/>
          <w:szCs w:val="14"/>
          <w:color w:val="auto"/>
        </w:rPr>
        <w:t>.</w:t>
      </w:r>
    </w:p>
    <w:p>
      <w:pPr>
        <w:spacing w:after="0" w:line="169" w:lineRule="exact"/>
        <w:rPr>
          <w:rFonts w:ascii="Times New Roman" w:cs="Times New Roman" w:eastAsia="Times New Roman" w:hAnsi="Times New Roman"/>
          <w:sz w:val="14"/>
          <w:szCs w:val="14"/>
          <w:color w:val="auto"/>
        </w:rPr>
      </w:pPr>
    </w:p>
    <w:p>
      <w:pPr>
        <w:jc w:val="both"/>
        <w:ind w:left="-251" w:firstLine="499"/>
        <w:spacing w:after="0" w:line="251" w:lineRule="auto"/>
        <w:tabs>
          <w:tab w:leader="none" w:pos="411"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Plan and the related Award Agreements (collectively, for purposes of this Section XI(q), the “Plan”) are intended to comply with the requirements of Section 409A of the Code (“Section 409A”). Deferrals of compensation subject to the restrictions set forth under Section 409A and the regulations promulgated thereunder (hereinafter, “Non-Qualified Deferred Compensation”) may only be made under this Plan to a Participant subject to the provisions of Section 409A upon an event and in a manner permitted by Section 409A. Any amounts payable solely on account of an involuntary separation from service of the Participant within the meaning of Section 409A shall be excludible from the requirements of Section 409A, either as involuntary separation pay (exempt from the provisions of Section 409A under Treas. Reg. §1.409A-1(b)(9)) or as short-term deferral amounts (as described in Treas. Reg. §1.409A-1(b)(4)), to the maximum possible extent. For purposes of Section 409A, the right to a series of installment payments under this Plan shall be treated as a right to a series of separate payments.</w:t>
      </w:r>
    </w:p>
    <w:p>
      <w:pPr>
        <w:spacing w:after="0" w:line="147" w:lineRule="exact"/>
        <w:rPr>
          <w:rFonts w:ascii="Times New Roman" w:cs="Times New Roman" w:eastAsia="Times New Roman" w:hAnsi="Times New Roman"/>
          <w:sz w:val="14"/>
          <w:szCs w:val="14"/>
          <w:color w:val="auto"/>
        </w:rPr>
      </w:pPr>
    </w:p>
    <w:p>
      <w:pPr>
        <w:jc w:val="both"/>
        <w:ind w:left="-251" w:firstLine="499"/>
        <w:spacing w:after="0" w:line="253" w:lineRule="auto"/>
        <w:tabs>
          <w:tab w:leader="none" w:pos="448"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the extent required by Section 409A, and notwithstanding any other provision of the Plan to the contrary, no payment of Non-Qualified Deferred Compensation will be provided to, or with respect to, a Participant on account of his separation from service until the first to occur of (i) the date of the Participant’s death or (ii) the date which is one day after the six month anniversary of his separation from service, </w:t>
      </w:r>
      <w:r>
        <w:rPr>
          <w:rFonts w:ascii="Times New Roman" w:cs="Times New Roman" w:eastAsia="Times New Roman" w:hAnsi="Times New Roman"/>
          <w:sz w:val="14"/>
          <w:szCs w:val="14"/>
          <w:b w:val="1"/>
          <w:bCs w:val="1"/>
          <w:color w:val="auto"/>
        </w:rPr>
        <w:t>but in either case only if he is a “specified employee”</w:t>
      </w:r>
      <w:r>
        <w:rPr>
          <w:rFonts w:ascii="Times New Roman" w:cs="Times New Roman" w:eastAsia="Times New Roman" w:hAnsi="Times New Roman"/>
          <w:sz w:val="14"/>
          <w:szCs w:val="14"/>
          <w:color w:val="auto"/>
        </w:rPr>
        <w:t xml:space="preserve"> (as defined under Section 409A(a)(2)(B)(i) of the Code and the regulations promulgated thereunder) in the year of his separation from service. Any payment that is delayed pursuant to the provisions of the immediately preceding sentence shall instead be paid in a lump sum within 10 days following the first to occur of the two dates specified in such immediately preceding sentence.</w:t>
      </w:r>
    </w:p>
    <w:p>
      <w:pPr>
        <w:spacing w:after="0" w:line="143" w:lineRule="exact"/>
        <w:rPr>
          <w:rFonts w:ascii="Times New Roman" w:cs="Times New Roman" w:eastAsia="Times New Roman" w:hAnsi="Times New Roman"/>
          <w:sz w:val="14"/>
          <w:szCs w:val="14"/>
          <w:color w:val="auto"/>
        </w:rPr>
      </w:pPr>
    </w:p>
    <w:p>
      <w:pPr>
        <w:ind w:left="-251" w:firstLine="499"/>
        <w:spacing w:after="0" w:line="312" w:lineRule="auto"/>
        <w:tabs>
          <w:tab w:leader="none" w:pos="493"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payment of Non-Qualified Deferred Compensation made pursuant to a voluntary or involuntary Termination of Service shall be withheld until the Participant (who is subject to the provisions of Section 409A) incurs both (i) a Termination of Service and (ii) a “separation from service” with the Corporation and all of the Affiliates, as such term is defined in Treas. Reg. §1.409A-1(h).</w:t>
      </w:r>
    </w:p>
    <w:p>
      <w:pPr>
        <w:spacing w:after="0" w:line="107" w:lineRule="exact"/>
        <w:rPr>
          <w:rFonts w:ascii="Times New Roman" w:cs="Times New Roman" w:eastAsia="Times New Roman" w:hAnsi="Times New Roman"/>
          <w:sz w:val="13"/>
          <w:szCs w:val="13"/>
          <w:color w:val="auto"/>
        </w:rPr>
      </w:pPr>
    </w:p>
    <w:p>
      <w:pPr>
        <w:ind w:left="-251" w:firstLine="499"/>
        <w:spacing w:after="0" w:line="272" w:lineRule="auto"/>
        <w:tabs>
          <w:tab w:leader="none" w:pos="484"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Participant subject to the provisions of Section 409A is permitted to elect to defer a Plan Award or any payment under a Plan Award, such election shall be made in accordance with the requirements of Code Section 409A. Each initial deferral election (an “Initial Deferral Election”) must be received by the Committee prior to the following dates or will have no effect whatsoever:</w:t>
      </w:r>
    </w:p>
    <w:p>
      <w:pPr>
        <w:spacing w:after="0" w:line="131" w:lineRule="exact"/>
        <w:rPr>
          <w:rFonts w:ascii="Times New Roman" w:cs="Times New Roman" w:eastAsia="Times New Roman" w:hAnsi="Times New Roman"/>
          <w:sz w:val="14"/>
          <w:szCs w:val="14"/>
          <w:color w:val="auto"/>
        </w:rPr>
      </w:pPr>
    </w:p>
    <w:p>
      <w:pPr>
        <w:ind w:left="689" w:hanging="193"/>
        <w:spacing w:after="0"/>
        <w:tabs>
          <w:tab w:leader="none" w:pos="689" w:val="left"/>
        </w:tabs>
        <w:numPr>
          <w:ilvl w:val="2"/>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provided below or in Treas. Reg. §1.409A-2, the December 31st immediately preceding the year in which the compensation is earned;</w:t>
      </w:r>
    </w:p>
    <w:p>
      <w:pPr>
        <w:spacing w:after="0" w:line="169" w:lineRule="exact"/>
        <w:rPr>
          <w:rFonts w:ascii="Times New Roman" w:cs="Times New Roman" w:eastAsia="Times New Roman" w:hAnsi="Times New Roman"/>
          <w:sz w:val="14"/>
          <w:szCs w:val="14"/>
          <w:color w:val="auto"/>
        </w:rPr>
      </w:pPr>
    </w:p>
    <w:p>
      <w:pPr>
        <w:ind w:left="689" w:hanging="193"/>
        <w:spacing w:after="0"/>
        <w:tabs>
          <w:tab w:leader="none" w:pos="689" w:val="left"/>
        </w:tabs>
        <w:numPr>
          <w:ilvl w:val="2"/>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first year of participation in the Plan, within 30 days of the beginning of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220980</wp:posOffset>
            </wp:positionV>
            <wp:extent cx="716470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029"/>
          </w:cols>
          <w:pgMar w:left="551" w:top="561" w:right="319" w:bottom="1440" w:gutter="0" w:footer="0" w:header="0"/>
        </w:sectPr>
      </w:pPr>
    </w:p>
    <w:bookmarkStart w:id="50" w:name="page51"/>
    <w:bookmarkEnd w:id="50"/>
    <w:p>
      <w:pPr>
        <w:ind w:left="-251" w:firstLine="747"/>
        <w:spacing w:after="0" w:line="272" w:lineRule="auto"/>
        <w:tabs>
          <w:tab w:leader="none" w:pos="681" w:val="left"/>
        </w:tabs>
        <w:numPr>
          <w:ilvl w:val="2"/>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annual or long-term incentive pay which qualifies as “performance-based compensation” within the meaning of Code Section 409A, by the date six months prior to the end of the performance measurement period applicable to such incentive pay provided such additional requirements set forth in Code Section 409A are met;</w:t>
      </w:r>
    </w:p>
    <w:p>
      <w:pPr>
        <w:spacing w:after="0" w:line="131" w:lineRule="exact"/>
        <w:rPr>
          <w:rFonts w:ascii="Times New Roman" w:cs="Times New Roman" w:eastAsia="Times New Roman" w:hAnsi="Times New Roman"/>
          <w:sz w:val="14"/>
          <w:szCs w:val="14"/>
          <w:color w:val="auto"/>
        </w:rPr>
      </w:pPr>
    </w:p>
    <w:p>
      <w:pPr>
        <w:ind w:left="-251" w:firstLine="747"/>
        <w:spacing w:after="0" w:line="272" w:lineRule="auto"/>
        <w:tabs>
          <w:tab w:leader="none" w:pos="695" w:val="left"/>
        </w:tabs>
        <w:numPr>
          <w:ilvl w:val="2"/>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“fiscal year compensation” as defined under Code Section 409A, by the last day of the Corporation’s fiscal year immediately preceding the year in which the fiscal year compensation is earned; or</w:t>
      </w:r>
    </w:p>
    <w:p>
      <w:pPr>
        <w:spacing w:after="0" w:line="131" w:lineRule="exact"/>
        <w:rPr>
          <w:rFonts w:ascii="Times New Roman" w:cs="Times New Roman" w:eastAsia="Times New Roman" w:hAnsi="Times New Roman"/>
          <w:sz w:val="14"/>
          <w:szCs w:val="14"/>
          <w:color w:val="auto"/>
        </w:rPr>
      </w:pPr>
    </w:p>
    <w:p>
      <w:pPr>
        <w:jc w:val="both"/>
        <w:ind w:left="-251" w:firstLine="747"/>
        <w:spacing w:after="0" w:line="259" w:lineRule="auto"/>
        <w:tabs>
          <w:tab w:leader="none" w:pos="685" w:val="left"/>
        </w:tabs>
        <w:numPr>
          <w:ilvl w:val="2"/>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mid-year Plan Awards or other legally binding rights to a payment of compensation in a subsequent year that is subject to a forfeiture condition requiring the Participant’s continued service for a period of at least 12 months, on or before the 30th day following the grant of such Plan Award (or the date such legally binding right to a payment of compensation arises), provided that the election is made at least 12 months in advance of the earliest date at which the forfeiture condition could lapse.</w:t>
      </w:r>
    </w:p>
    <w:p>
      <w:pPr>
        <w:spacing w:after="0" w:line="140" w:lineRule="exact"/>
        <w:rPr>
          <w:rFonts w:ascii="Times New Roman" w:cs="Times New Roman" w:eastAsia="Times New Roman" w:hAnsi="Times New Roman"/>
          <w:sz w:val="14"/>
          <w:szCs w:val="14"/>
          <w:color w:val="auto"/>
        </w:rPr>
      </w:pPr>
    </w:p>
    <w:p>
      <w:pPr>
        <w:jc w:val="both"/>
        <w:ind w:left="-251" w:firstLine="499"/>
        <w:spacing w:after="0" w:line="251" w:lineRule="auto"/>
        <w:tabs>
          <w:tab w:leader="none" w:pos="445"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Plan so permits, the Committee may, in its sole discretion, permit Participants to submit additional deferral elections in order to delay, but not to accelerate, a payment, or to change the form of payment of an amount of deferred compensation (a “Subsequent Deferral Election”), if, and only if, the following conditions are satisfied: (i) the Subsequent Deferral Election must not take effect until 12 months after the date on which it is made, (ii) in the case of a payment other than a payment attributable to the Participant’s death, disability or an unforeseeable emergency (all within the meaning of Section 409A of the Code) the Subsequent Deferral Election further defers the payment for a period of not less than five years from the date such payment would otherwise have been made and (iii) the Subsequent Deferral Election is received by the Committee at least 12 months prior to the date the payment would otherwise have been made. In addition, such Participants may be further permitted to revise the form of payment they have elected, or the number of installments elected, provided that such revisions comply with the requirements of a Subsequent Deferral Election.</w:t>
      </w:r>
    </w:p>
    <w:p>
      <w:pPr>
        <w:spacing w:after="0" w:line="147" w:lineRule="exact"/>
        <w:rPr>
          <w:rFonts w:ascii="Times New Roman" w:cs="Times New Roman" w:eastAsia="Times New Roman" w:hAnsi="Times New Roman"/>
          <w:sz w:val="14"/>
          <w:szCs w:val="14"/>
          <w:color w:val="auto"/>
        </w:rPr>
      </w:pPr>
    </w:p>
    <w:p>
      <w:pPr>
        <w:jc w:val="both"/>
        <w:ind w:left="-251" w:firstLine="499"/>
        <w:spacing w:after="0" w:line="259" w:lineRule="auto"/>
        <w:tabs>
          <w:tab w:leader="none" w:pos="485"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the Plan provides that Non-Qualified Deferred Compensation can be paid or commenced during a certain period following a permissible payment or commencement event or trigger, (i) the period must begin and end within one taxable year of the Participant or (ii) the period will not exceed 90 days and if the payment or commencement period spans two taxable years of the Participant, then such Non-Qualified Deferred Compensation shall be paid and/or commenced during the second of such taxable years.</w:t>
      </w:r>
    </w:p>
    <w:p>
      <w:pPr>
        <w:spacing w:after="0" w:line="140" w:lineRule="exact"/>
        <w:rPr>
          <w:rFonts w:ascii="Times New Roman" w:cs="Times New Roman" w:eastAsia="Times New Roman" w:hAnsi="Times New Roman"/>
          <w:sz w:val="14"/>
          <w:szCs w:val="14"/>
          <w:color w:val="auto"/>
        </w:rPr>
      </w:pPr>
    </w:p>
    <w:p>
      <w:pPr>
        <w:jc w:val="both"/>
        <w:ind w:left="-251" w:firstLine="499"/>
        <w:spacing w:after="0" w:line="259" w:lineRule="auto"/>
        <w:tabs>
          <w:tab w:leader="none" w:pos="518"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preceding provisions of this Section XI(q) shall not be construed as a guarantee by the Corporation or by any Affiliate of any particular tax effect to the Participants under the Plan. The Corporation and its Affiliates shall not be liable to the Participants for any additional tax, penalty or interest imposed under Section 409A nor for reporting in good faith any payment made under the Plan as an amount includible in gross income under Section 409A.</w:t>
      </w:r>
    </w:p>
    <w:p>
      <w:pPr>
        <w:spacing w:after="0" w:line="140" w:lineRule="exact"/>
        <w:rPr>
          <w:rFonts w:ascii="Times New Roman" w:cs="Times New Roman" w:eastAsia="Times New Roman" w:hAnsi="Times New Roman"/>
          <w:sz w:val="14"/>
          <w:szCs w:val="14"/>
          <w:color w:val="auto"/>
        </w:rPr>
      </w:pPr>
    </w:p>
    <w:p>
      <w:pPr>
        <w:jc w:val="both"/>
        <w:ind w:left="-251" w:firstLine="251"/>
        <w:spacing w:after="0" w:line="249" w:lineRule="auto"/>
        <w:tabs>
          <w:tab w:leader="none" w:pos="169"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Listing, Registration, Etc</w:t>
      </w:r>
      <w:r>
        <w:rPr>
          <w:rFonts w:ascii="Times New Roman" w:cs="Times New Roman" w:eastAsia="Times New Roman" w:hAnsi="Times New Roman"/>
          <w:sz w:val="14"/>
          <w:szCs w:val="14"/>
          <w:color w:val="auto"/>
        </w:rPr>
        <w:t>. All shares of Common Stock issued pursuant to the terms of the Plan will be subject to the requirement that if at any time the Board determines, in its sole discretion, that it is necessary or desirable to list, register or qualify upon any national securities exchange or under any state or federal securities or other law or regulation, such shares of Common Stock, or that it is necessary or desirable to obtain the consent or approval of any governmental regulatory body, as a condition to or in connection with the issuance hereunder of Common Stock, the Common Stock may not be issued unless or until the listing, registration, qualification, consent or approval has been effected or obtained free of any conditions not acceptable to the Board. The recipient of any shares of Common Stock must supply the Corporation with any certificates, representations and information as the Corporation reasonably requests, and must otherwise cooperate with the Corporation in obtaining or effecting any listing, registration, qualification, consent or approval the Board deems necessary or desirable. If the Corporation, as part of an offering of securities or otherwise, finds it desirable because of federal or state regulatory requirements to reduce the period during which any Plan Award vests (including a reduction that may result in a penalty being imposed on any Participant (or on any other person) pursuant to Section 409A of the Code), the Board may, in its sole discretion and without the holders’ consent, reduce that period on not less than 10 days’ written notice to the holders affected. Nothing contained herein will obligate the Corporation to list, register or qualify any shares of Common Stock or other securities upon any national securities exchange or otherwise or under any federal or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207010</wp:posOffset>
            </wp:positionV>
            <wp:extent cx="716470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029"/>
          </w:cols>
          <w:pgMar w:left="551" w:top="561" w:right="319" w:bottom="1440" w:gutter="0" w:footer="0" w:header="0"/>
        </w:sectPr>
      </w:pPr>
    </w:p>
    <w:bookmarkStart w:id="51" w:name="page52"/>
    <w:bookmarkEnd w:id="51"/>
    <w:p>
      <w:pPr>
        <w:jc w:val="both"/>
        <w:ind w:left="-251" w:firstLine="251"/>
        <w:spacing w:after="0" w:line="267" w:lineRule="auto"/>
        <w:tabs>
          <w:tab w:leader="none" w:pos="177"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Golden Parachute Restrictions</w:t>
      </w:r>
      <w:r>
        <w:rPr>
          <w:rFonts w:ascii="Times New Roman" w:cs="Times New Roman" w:eastAsia="Times New Roman" w:hAnsi="Times New Roman"/>
          <w:sz w:val="13"/>
          <w:szCs w:val="13"/>
          <w:color w:val="auto"/>
        </w:rPr>
        <w:t>. Notwithstanding any other provisions of the Plan to the contrary, if the receipt of any payments or benefits under the Plan (along with any other payments receivable by the Participant other than under the Plan) would subject a Participant to tax under Code Section 4999, the Committee may determine whether some amount of such payments or benefits would meet the definition of a “Reduced Amount.” If the Committee determines that there is a Reduced Amount, the total payments or benefits to the Participant under all Plan Awards (and all other such potential payments) must be reduced to such Reduced Amount, but not below zero. It is the intention of the Corporation and any such Participant to reduce the payments under the Plan (and other than under the Plan) only if the aggregate “Net After Tax Receipts” to such Participant would thereby be increased. If the Committee determines that the benefits and payments must be reduced to the Reduced Amount, the Corporation must promptly notify such Participant of that determination, with a copy of the detailed calculations by the Committee. All determinations of the Committee under this Section XI(s) shall be final, conclusive and binding upon the Corporation and any such Participant. As result of the uncertainty in the application of Code Section 4999 at the time of the initial determination by the Committee under this XI(s), however, it is possible that amounts will have been paid under the Plan (and other than under the Plan) to or for the benefit of a Participant which should not have been so paid (“Overpayment”) or that additional amounts which will not have been paid under the Plan (or other than under the Plan) to or for the benefit of a Participant could have been so paid (“Underpayment”), in each case consistent with the calculation of the Reduced Amount. If the Committee, based either upon the assertion of a deficiency by the Internal Revenue Service against the Corporation or a Participant, which the Committee believes has a high probability of success, or controlling precedent or other substantial authority, determines that an Overpayment has been made, any such Overpayment must be treated for all purposes as a loan, to the extent permitted by Applicable Law, which such Participant must repay to the Corporation together with interest at the applicable federal rate under Code Section 7872(f)(2); provided, however, that no such loan may be deemed to have been made and no amount shall be payable by a Participant to the Corporation if and to the extent such deemed loan and payment would not either reduce the amount on which the Participant is subject to tax under Code Sections 1, 3101 or 4999 or generate a refund of such taxes. If the Committee, based upon controlling precedent or other substantial authority, determines that an Underpayment has occurred, the Committee must promptly notify the Corporation of the amount of the Underpayment, which then shall be paid promptly to the Participant but no later than the end of the Participant’s taxable year next following the Participant’s taxable year in which the determination is made that the Underpayment has occurred. For purposes of this Section XI(s), (i) “Net After Tax Receipts” means the Present Value of a payment under the Plan (and other than under the Plan) net of all taxes imposed on Participant with respect thereto under Code Sections 1, 3101 and 4999, determined by applying the highest marginal rate under Code Section 1 which applies to the Participant’s taxable income for the applicable taxable year; (ii) “Present Value” means the value determined in accordance with Code Section 280G(d)(4); and (iii) “Reduced Amount” means the smallest aggregate amount of all payments and benefits under the Plan (and other than under the Plan) which (x) is less than the sum of all payments and benefits under the Plan (and other than under the Plan) and (y) results in aggregate Net After Tax Receipts which are equal to or greater than the Net After Tax Receipts which would result if the aggregate payments and benefits under the Plan (and other than under the Plan) were any other amount less than the sum of all payments and benefits to be made under the Plan (and other than under the Plan). Except as may be provided in any other agreement entered into by and between the Participant and the Corporation, if any payment or benefit is reduced under this Section XI(s), such reduction shall be made, in pro rata amounts from benefits provided under the Plan and payments which may be made other than under the Plan, in the following order: (i) first, any future cash payments (if any) shall be reduced (if necessary, to zero); (ii) second, any current cash payments shall be reduced (if necessary, to zero); (iii) third, all non-cash payments (other than equity or equity derivative related payments) shall be reduced (if necessary, to zero); and (iv) fourth, all equity or equity derivative payments shall be reduced. Any necessary reduction in each subcategory shall first be applied to the latest scheduled payment in such subcategory and shall continue to the extent necessary until the most current payment is reduced or eliminated.</w:t>
      </w:r>
    </w:p>
    <w:p>
      <w:pPr>
        <w:spacing w:after="0" w:line="305" w:lineRule="exact"/>
        <w:rPr>
          <w:rFonts w:ascii="Times New Roman" w:cs="Times New Roman" w:eastAsia="Times New Roman" w:hAnsi="Times New Roman"/>
          <w:sz w:val="13"/>
          <w:szCs w:val="13"/>
          <w:color w:val="auto"/>
        </w:rPr>
      </w:pPr>
    </w:p>
    <w:p>
      <w:pPr>
        <w:jc w:val="both"/>
        <w:ind w:left="-251" w:firstLine="251"/>
        <w:spacing w:after="0" w:line="249" w:lineRule="auto"/>
        <w:tabs>
          <w:tab w:leader="none" w:pos="16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Clawback of Payments</w:t>
      </w:r>
      <w:r>
        <w:rPr>
          <w:rFonts w:ascii="Times New Roman" w:cs="Times New Roman" w:eastAsia="Times New Roman" w:hAnsi="Times New Roman"/>
          <w:sz w:val="14"/>
          <w:szCs w:val="14"/>
          <w:color w:val="auto"/>
        </w:rPr>
        <w:t>. Notwithstanding any provision of the Plan to the contrary, each Participant’s benefits awarded or paid hereunder (including, but not limited to, payments of cash, equity underlying grants, and equity released from restrictions) may be subject to recoupment by the Corporation to the extent (i) required under the applicable requirements of Section 304 of the Sarbanes-Oxley Act of 2002 and/or Section 954 of the Dodd-Frank Wall Street Reform and Consumer Protection Act of 2010 (each as in effect from time to time, any applicable rules and regulations with respect thereto that are promulgated thereunder by the Securities and Exchange Commission and the exchange(s) and/or other trading facility(ies) on which any class of securities of the Corporation is traded), (ii) required by any other policy or rule adopted by the Board or the Corporation’s stockholders pursuant to a duly authorized vote or (iii) as may be provided in a particular Award Agreement. To the extent these recoupment rules apply to any Participant, but without in any way limiting the generality of the foregoing, the Participant’s Plan Awards shall be subject to recoupment under the Corporation’s clawback policy, as in effect from time to time (the “Clawback Policy”), to the extent provided therein. The Corporation intends, but the Corporation does not and cannot guarantee, that to the extent any payment under the Plan qualifies as non-qualified deferred compensation (as defined under Section 409A of the Code and the regulations promulgated thereunder) any recoupment required under this Section XI(t) shall either be exempt from Section 409A of the Code or comply with the applicable requirements of Section 409A of the Code.</w:t>
      </w:r>
    </w:p>
    <w:p>
      <w:pPr>
        <w:spacing w:after="0" w:line="149" w:lineRule="exact"/>
        <w:rPr>
          <w:rFonts w:ascii="Times New Roman" w:cs="Times New Roman" w:eastAsia="Times New Roman" w:hAnsi="Times New Roman"/>
          <w:sz w:val="14"/>
          <w:szCs w:val="14"/>
          <w:color w:val="auto"/>
        </w:rPr>
      </w:pPr>
    </w:p>
    <w:p>
      <w:pPr>
        <w:jc w:val="both"/>
        <w:ind w:left="-251" w:firstLine="251"/>
        <w:spacing w:after="0" w:line="251" w:lineRule="auto"/>
        <w:tabs>
          <w:tab w:leader="none" w:pos="19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Lock-up Agreement</w:t>
      </w:r>
      <w:r>
        <w:rPr>
          <w:rFonts w:ascii="Times New Roman" w:cs="Times New Roman" w:eastAsia="Times New Roman" w:hAnsi="Times New Roman"/>
          <w:sz w:val="14"/>
          <w:szCs w:val="14"/>
          <w:color w:val="auto"/>
        </w:rPr>
        <w:t>. Each recipient of a Plan Award hereunder agrees, in connection with any registration with the Securities and Exchange Commission under the Securities Act of the public sale of the Corporation’s Common Stock, not to sell, make any short sale of, loan, grant any option for the purchase of or otherwise dispose of any securities of the Corporation, including any Plan Awards, (other than those included in the registration) without the prior written consent of the Corporation or the underwriters of such public offer or sale, as the case may be, for such period of time from the effective date of such registration as the Corporation or the underwriters, as the case may be, shall specify. Each such recipient agrees that the Corporation may instruct its transfer agent to place stop-transfer notations in its records to enforce this Section XI(u). Each such recipient agrees to execute such form of agreement reflecting the foregoing restrictions and such other restrictions as requested by the underwriters managing such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206375</wp:posOffset>
            </wp:positionV>
            <wp:extent cx="7164705"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029"/>
          </w:cols>
          <w:pgMar w:left="551" w:top="561" w:right="319" w:bottom="1440" w:gutter="0" w:footer="0" w:header="0"/>
        </w:sectPr>
      </w:pPr>
    </w:p>
    <w:bookmarkStart w:id="52" w:name="page53"/>
    <w:bookmarkEnd w:id="52"/>
    <w:p>
      <w:pPr>
        <w:ind w:left="189" w:hanging="189"/>
        <w:spacing w:after="0"/>
        <w:tabs>
          <w:tab w:leader="none" w:pos="189"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Rules of Construction</w:t>
      </w:r>
      <w:r>
        <w:rPr>
          <w:rFonts w:ascii="Times New Roman" w:cs="Times New Roman" w:eastAsia="Times New Roman" w:hAnsi="Times New Roman"/>
          <w:sz w:val="14"/>
          <w:szCs w:val="14"/>
          <w:color w:val="auto"/>
        </w:rPr>
        <w:t>.</w:t>
      </w:r>
    </w:p>
    <w:p>
      <w:pPr>
        <w:spacing w:after="0" w:line="169" w:lineRule="exact"/>
        <w:rPr>
          <w:rFonts w:ascii="Times New Roman" w:cs="Times New Roman" w:eastAsia="Times New Roman" w:hAnsi="Times New Roman"/>
          <w:sz w:val="14"/>
          <w:szCs w:val="14"/>
          <w:color w:val="auto"/>
        </w:rPr>
      </w:pPr>
    </w:p>
    <w:p>
      <w:pPr>
        <w:ind w:left="409" w:hanging="161"/>
        <w:spacing w:after="0"/>
        <w:tabs>
          <w:tab w:leader="none" w:pos="409"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headings and subheadings set forth in the Plan are inserted for the convenience of reference only and are to be ignored in any construction of the terms set forth herein.</w:t>
      </w:r>
    </w:p>
    <w:p>
      <w:pPr>
        <w:spacing w:after="0" w:line="169" w:lineRule="exact"/>
        <w:rPr>
          <w:rFonts w:ascii="Times New Roman" w:cs="Times New Roman" w:eastAsia="Times New Roman" w:hAnsi="Times New Roman"/>
          <w:sz w:val="14"/>
          <w:szCs w:val="14"/>
          <w:color w:val="auto"/>
        </w:rPr>
      </w:pPr>
    </w:p>
    <w:p>
      <w:pPr>
        <w:ind w:left="-251" w:firstLine="499"/>
        <w:spacing w:after="0" w:line="272" w:lineRule="auto"/>
        <w:tabs>
          <w:tab w:leader="none" w:pos="446"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Wherever applicable, the neuter, feminine or masculine pronoun as used herein shall also include the neuter, masculine or feminine, as the case may be, and the plural shall refer to the singular and vice versa.</w:t>
      </w:r>
    </w:p>
    <w:p>
      <w:pPr>
        <w:spacing w:after="0" w:line="131" w:lineRule="exact"/>
        <w:rPr>
          <w:rFonts w:ascii="Times New Roman" w:cs="Times New Roman" w:eastAsia="Times New Roman" w:hAnsi="Times New Roman"/>
          <w:sz w:val="14"/>
          <w:szCs w:val="14"/>
          <w:color w:val="auto"/>
        </w:rPr>
      </w:pPr>
    </w:p>
    <w:p>
      <w:pPr>
        <w:ind w:left="-251" w:firstLine="499"/>
        <w:spacing w:after="0" w:line="272" w:lineRule="auto"/>
        <w:tabs>
          <w:tab w:leader="none" w:pos="498"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words “hereof,” “herein,” “hereunder” and similar words refer to the Plan as a whole and not to any particular provision of the Plan; and any references to any subsection, Section, Schedule, Appendix or Exhibit to the Plan references are to the Plan unless otherwise specified.</w:t>
      </w:r>
    </w:p>
    <w:p>
      <w:pPr>
        <w:spacing w:after="0" w:line="131" w:lineRule="exact"/>
        <w:rPr>
          <w:rFonts w:ascii="Times New Roman" w:cs="Times New Roman" w:eastAsia="Times New Roman" w:hAnsi="Times New Roman"/>
          <w:sz w:val="14"/>
          <w:szCs w:val="14"/>
          <w:color w:val="auto"/>
        </w:rPr>
      </w:pPr>
    </w:p>
    <w:p>
      <w:pPr>
        <w:ind w:left="469" w:hanging="221"/>
        <w:spacing w:after="0"/>
        <w:tabs>
          <w:tab w:leader="none" w:pos="469"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“including” is not limiting and means “including without limitation.”</w:t>
      </w:r>
    </w:p>
    <w:p>
      <w:pPr>
        <w:spacing w:after="0" w:line="169" w:lineRule="exact"/>
        <w:rPr>
          <w:rFonts w:ascii="Times New Roman" w:cs="Times New Roman" w:eastAsia="Times New Roman" w:hAnsi="Times New Roman"/>
          <w:sz w:val="14"/>
          <w:szCs w:val="14"/>
          <w:color w:val="auto"/>
        </w:rPr>
      </w:pPr>
    </w:p>
    <w:p>
      <w:pPr>
        <w:jc w:val="both"/>
        <w:ind w:left="-251" w:firstLine="499"/>
        <w:spacing w:after="0" w:line="259" w:lineRule="auto"/>
        <w:tabs>
          <w:tab w:leader="none" w:pos="465"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References in the Plan to any statute or statutory provisions include a reference to such statute or statutory provisions as from time to time amended, modified, reenacted, extended, consolidated or replaced (whether before or after the date of the Plan), to any subordinate legislation made from time to time under such statute or statutory provision and to any and all rules, regulations and other documents of general application promulgated thereunder.</w:t>
      </w:r>
    </w:p>
    <w:p>
      <w:pPr>
        <w:spacing w:after="0" w:line="140" w:lineRule="exact"/>
        <w:rPr>
          <w:rFonts w:ascii="Times New Roman" w:cs="Times New Roman" w:eastAsia="Times New Roman" w:hAnsi="Times New Roman"/>
          <w:sz w:val="14"/>
          <w:szCs w:val="14"/>
          <w:color w:val="auto"/>
        </w:rPr>
      </w:pPr>
    </w:p>
    <w:p>
      <w:pPr>
        <w:ind w:left="489" w:hanging="241"/>
        <w:spacing w:after="0"/>
        <w:tabs>
          <w:tab w:leader="none" w:pos="489"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References to the Plan or to any other document include a reference to the Plan or to such other document as varied, amended, modified, novated or supplemented from time to time.</w:t>
      </w:r>
    </w:p>
    <w:p>
      <w:pPr>
        <w:spacing w:after="0" w:line="169" w:lineRule="exact"/>
        <w:rPr>
          <w:rFonts w:ascii="Times New Roman" w:cs="Times New Roman" w:eastAsia="Times New Roman" w:hAnsi="Times New Roman"/>
          <w:sz w:val="14"/>
          <w:szCs w:val="14"/>
          <w:color w:val="auto"/>
        </w:rPr>
      </w:pPr>
    </w:p>
    <w:p>
      <w:pPr>
        <w:ind w:left="529" w:hanging="281"/>
        <w:spacing w:after="0"/>
        <w:tabs>
          <w:tab w:leader="none" w:pos="529"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References to “writing” or “written” include any non-transient means of representing or copying words legibly, including by facsimile or electronic mail.</w:t>
      </w:r>
    </w:p>
    <w:p>
      <w:pPr>
        <w:spacing w:after="0" w:line="169" w:lineRule="exact"/>
        <w:rPr>
          <w:rFonts w:ascii="Times New Roman" w:cs="Times New Roman" w:eastAsia="Times New Roman" w:hAnsi="Times New Roman"/>
          <w:sz w:val="14"/>
          <w:szCs w:val="14"/>
          <w:color w:val="auto"/>
        </w:rPr>
      </w:pPr>
    </w:p>
    <w:p>
      <w:pPr>
        <w:ind w:left="549" w:hanging="301"/>
        <w:spacing w:after="0"/>
        <w:tabs>
          <w:tab w:leader="none" w:pos="549"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References to “$” are to United States Dollars.</w:t>
      </w:r>
    </w:p>
    <w:p>
      <w:pPr>
        <w:spacing w:after="0" w:line="169" w:lineRule="exact"/>
        <w:rPr>
          <w:rFonts w:ascii="Times New Roman" w:cs="Times New Roman" w:eastAsia="Times New Roman" w:hAnsi="Times New Roman"/>
          <w:sz w:val="14"/>
          <w:szCs w:val="14"/>
          <w:color w:val="auto"/>
        </w:rPr>
      </w:pPr>
    </w:p>
    <w:p>
      <w:pPr>
        <w:ind w:left="489" w:hanging="241"/>
        <w:spacing w:after="0"/>
        <w:tabs>
          <w:tab w:leader="none" w:pos="489"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References to “%” are to percent.</w:t>
      </w:r>
    </w:p>
    <w:p>
      <w:pPr>
        <w:spacing w:after="0" w:line="170" w:lineRule="exact"/>
        <w:rPr>
          <w:sz w:val="20"/>
          <w:szCs w:val="20"/>
          <w:color w:val="auto"/>
        </w:rPr>
      </w:pPr>
    </w:p>
    <w:p>
      <w:pPr>
        <w:jc w:val="both"/>
        <w:ind w:left="-251" w:firstLine="251"/>
        <w:spacing w:after="0" w:line="250" w:lineRule="auto"/>
        <w:tabs>
          <w:tab w:leader="none" w:pos="223"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Stockholder’s Rights</w:t>
      </w:r>
      <w:r>
        <w:rPr>
          <w:rFonts w:ascii="Times New Roman" w:cs="Times New Roman" w:eastAsia="Times New Roman" w:hAnsi="Times New Roman"/>
          <w:sz w:val="14"/>
          <w:szCs w:val="14"/>
          <w:color w:val="auto"/>
        </w:rPr>
        <w:t>. Except as otherwise provided herein, a Participant shall have none of the rights of a stockholder with respect to shares of Common Stock covered by any Plan Award until the Participant becomes the record owner of such shares of Common Stock. Without limiting the generality of the foregoing, no Participant will have any of the rights of a stockholder with respect to any shares of Common Stock until the shares of Common Stock are issued to the Participant. Subject to the other provisions of the Plan to the contrary, after shares of Common Stock are issued to the Participant, the Participant will be a stockholder and have all the rights of a stockholder with respect to such shares of Common Stock, including the right to vote and receive all dividends or other distributions made or paid with respect to such shares of Common Stock; provided, that if such shares of Common Stock are Restricted Stock or Performance Shares, then any new, additional or different securities a Participant may become entitled to receive with respect to such shares of Common Stock by virtue of a stock dividend, stock split or any other change in the corporate or capital structure of the Corporation will be subject to the same restrictions as the Restricted Stock or Performance Shares; and further provided that such Participant will have no right to retain such stock dividends or stock distributions with respect to shares of Common Stock that are forfeited or repurchased by the Corporation pursuant to the Plan or the Award Agreement.</w:t>
      </w:r>
    </w:p>
    <w:p>
      <w:pPr>
        <w:spacing w:after="0" w:line="146" w:lineRule="exact"/>
        <w:rPr>
          <w:rFonts w:ascii="Times New Roman" w:cs="Times New Roman" w:eastAsia="Times New Roman" w:hAnsi="Times New Roman"/>
          <w:sz w:val="14"/>
          <w:szCs w:val="14"/>
          <w:color w:val="auto"/>
        </w:rPr>
      </w:pPr>
    </w:p>
    <w:p>
      <w:pPr>
        <w:jc w:val="both"/>
        <w:ind w:left="-251" w:firstLine="251"/>
        <w:spacing w:after="0" w:line="277" w:lineRule="auto"/>
        <w:tabs>
          <w:tab w:leader="none" w:pos="192"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Paperless Administration; Consent to Electronic Communications</w:t>
      </w:r>
      <w:r>
        <w:rPr>
          <w:rFonts w:ascii="Times New Roman" w:cs="Times New Roman" w:eastAsia="Times New Roman" w:hAnsi="Times New Roman"/>
          <w:sz w:val="13"/>
          <w:szCs w:val="13"/>
          <w:color w:val="auto"/>
        </w:rPr>
        <w:t>. In the event that the Corporation establishes or maintains, for itself or using the services of a third party, an automated system for the documentation, granting or exercise of Plan Awards, such as a system using an internet website or interactive voice response, then the paperless documentation, granting or exercise of Plan Awards by a Participant may be permitted through the use of such an automated system. Each Participant, by way of his acceptance of any Plan Award, agrees and consents to the Corporation communicating with such Participant (and any beneficiary or representative of, or any successor to, such Participant) via any electronic medium (including via email or website access) and agrees and consents to the Corporation providing to such Participant (and any beneficiary or representative of, or any successor to, such Participant) via any electronic medium any disclosure, report or other document.</w:t>
      </w:r>
    </w:p>
    <w:p>
      <w:pPr>
        <w:spacing w:after="0" w:line="129" w:lineRule="exact"/>
        <w:rPr>
          <w:rFonts w:ascii="Times New Roman" w:cs="Times New Roman" w:eastAsia="Times New Roman" w:hAnsi="Times New Roman"/>
          <w:sz w:val="13"/>
          <w:szCs w:val="13"/>
          <w:color w:val="auto"/>
        </w:rPr>
      </w:pPr>
    </w:p>
    <w:p>
      <w:pPr>
        <w:jc w:val="both"/>
        <w:ind w:left="-251" w:firstLine="251"/>
        <w:spacing w:after="0" w:line="251" w:lineRule="auto"/>
        <w:tabs>
          <w:tab w:leader="none" w:pos="19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Compliance with Laws</w:t>
      </w:r>
      <w:r>
        <w:rPr>
          <w:rFonts w:ascii="Times New Roman" w:cs="Times New Roman" w:eastAsia="Times New Roman" w:hAnsi="Times New Roman"/>
          <w:sz w:val="14"/>
          <w:szCs w:val="14"/>
          <w:color w:val="auto"/>
        </w:rPr>
        <w:t>. The Plan, the granting and vesting of Plan Awards under the Plan and the issuance and delivery of shares of Common Stock and the payment of money under the Plan or under Plan Awards granted or awarded hereunder are subject to compliance with all Applicable Laws (including but not limited to margin requirements), and to such approvals by any listing, regulatory, self-regulatory or governmental authority as may, in the opinion of counsel for the Corporation, be necessary or advisable in connection therewith. Any securities delivered under the Plan shall be subject to such restrictions, and the person acquiring such securities shall, if requested by the Corporation, provide such assurances and representations to the Corporation as the Corporation may deem necessary or desirable to assure compliance with all Applicable Laws. To the extent permitted by Applicable Law, the Plan and Plan Awards granted or awarded hereunder shall be deemed amended to the extent necessary to conform to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206375</wp:posOffset>
            </wp:positionV>
            <wp:extent cx="716470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029"/>
          </w:cols>
          <w:pgMar w:left="551" w:top="561" w:right="319" w:bottom="1440" w:gutter="0" w:footer="0" w:header="0"/>
        </w:sectPr>
      </w:pPr>
    </w:p>
    <w:bookmarkStart w:id="53" w:name="page54"/>
    <w:bookmarkEnd w:id="53"/>
    <w:p>
      <w:pPr>
        <w:jc w:val="both"/>
        <w:ind w:firstLine="251"/>
        <w:spacing w:after="0" w:line="249" w:lineRule="auto"/>
        <w:tabs>
          <w:tab w:leader="none" w:pos="435"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Securities Law and Other Regulator/Compliance</w:t>
      </w:r>
      <w:r>
        <w:rPr>
          <w:rFonts w:ascii="Times New Roman" w:cs="Times New Roman" w:eastAsia="Times New Roman" w:hAnsi="Times New Roman"/>
          <w:sz w:val="14"/>
          <w:szCs w:val="14"/>
          <w:color w:val="auto"/>
        </w:rPr>
        <w:t>. In no way limiting the application of the provisions contained in Section XI(y), above, a Plan Award will not be effective unless such Plan Award is in compliance with all applicable federal, state and foreign securities laws, rules and regulations of any governmental body, and the requirements of any national stock exchange or automated quotation system upon which the shares of Common Stock granted under such Plan Award may then be listed or quoted, as they are in effect on the date of grant of the Plan Award on the date of exercise or other issuance or any other date while the Plan Award is outstanding. Notwithstanding any other provision in the Plan to the contrary, the Corporation will have no obligation to issue or deliver certificates for shares of Common Stock under the Plan prior to: (i) obtaining any approvals from governmental agencies that the Corporation determines are necessary or advisable; and/or (ii) completion of any registration or other qualification of such shares of Common Stock under any state, federal or foreign law or ruling of any governmental body that the Corporation determines to be necessary or advisable. The Corporation will be under no obligation to register the shares of Common Stock with the Securities and Exchange Commission (if such shares of Common Stock are not otherwise so registered) or to effect compliance with the registration, qualification or listing requirements of any state securities laws, national stock exchange or automated quotation system, and the Corporation will have no liability for any inability or failure to do so. As a condition to the grant of any Plan Award, the Corporation may require each Participant to satisfy any qualifications that may be necessary or appropriate to evidence compliance with any Applicable Law and to make any representation or warranty with respect thereto as may be requested by the Corporation.</w:t>
      </w:r>
    </w:p>
    <w:p>
      <w:pPr>
        <w:spacing w:after="0" w:line="148" w:lineRule="exact"/>
        <w:rPr>
          <w:sz w:val="20"/>
          <w:szCs w:val="20"/>
          <w:color w:val="auto"/>
        </w:rPr>
      </w:pPr>
    </w:p>
    <w:p>
      <w:pPr>
        <w:ind w:firstLine="251"/>
        <w:spacing w:after="0" w:line="272" w:lineRule="auto"/>
        <w:tabs>
          <w:tab w:leader="none" w:pos="49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Awards Not Includable for Benefit Purposes</w:t>
      </w:r>
      <w:r>
        <w:rPr>
          <w:rFonts w:ascii="Times New Roman" w:cs="Times New Roman" w:eastAsia="Times New Roman" w:hAnsi="Times New Roman"/>
          <w:sz w:val="14"/>
          <w:szCs w:val="14"/>
          <w:color w:val="auto"/>
        </w:rPr>
        <w:t>. Payments received by a Participant pursuant to the provisions of the Plan shall not be included in the determination of benefits under any pension, group insurance, or other benefit plan applicable to the Participant that is maintained by the Corporation, except as may be provided under the terms of those plans or as determined by the Board.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XII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TRANSFERABILITY OF AWARDS</w:t>
      </w:r>
    </w:p>
    <w:p>
      <w:pPr>
        <w:spacing w:after="0" w:line="156" w:lineRule="exact"/>
        <w:rPr>
          <w:sz w:val="20"/>
          <w:szCs w:val="20"/>
          <w:color w:val="auto"/>
        </w:rPr>
      </w:pPr>
    </w:p>
    <w:p>
      <w:pPr>
        <w:ind w:left="440" w:hanging="189"/>
        <w:spacing w:after="0"/>
        <w:tabs>
          <w:tab w:leader="none" w:pos="4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 General</w:t>
      </w:r>
      <w:r>
        <w:rPr>
          <w:rFonts w:ascii="Times New Roman" w:cs="Times New Roman" w:eastAsia="Times New Roman" w:hAnsi="Times New Roman"/>
          <w:sz w:val="14"/>
          <w:szCs w:val="14"/>
          <w:color w:val="auto"/>
        </w:rPr>
        <w:t>. Except as otherwise provided in Section XII(b):</w:t>
      </w:r>
    </w:p>
    <w:p>
      <w:pPr>
        <w:spacing w:after="0" w:line="169" w:lineRule="exact"/>
        <w:rPr>
          <w:rFonts w:ascii="Times New Roman" w:cs="Times New Roman" w:eastAsia="Times New Roman" w:hAnsi="Times New Roman"/>
          <w:sz w:val="14"/>
          <w:szCs w:val="14"/>
          <w:color w:val="auto"/>
        </w:rPr>
      </w:pPr>
    </w:p>
    <w:p>
      <w:pPr>
        <w:jc w:val="both"/>
        <w:ind w:firstLine="499"/>
        <w:spacing w:after="0" w:line="259" w:lineRule="auto"/>
        <w:tabs>
          <w:tab w:leader="none" w:pos="664"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Plan Award may be sold, pledged, encumbered, assigned or transferred in any manner other than by will or the laws of descent and distribution or, subject to the consent of the Committee, pursuant to a DRO, unless and until such Plan Award has been exercised, or the shares of Common Stock underlying such Plan Award have been issued, and all restrictions, including without limitation risks of forfeiture, applicable to such shares of Common Stock have lapsed;</w:t>
      </w:r>
    </w:p>
    <w:p>
      <w:pPr>
        <w:spacing w:after="0" w:line="140" w:lineRule="exact"/>
        <w:rPr>
          <w:rFonts w:ascii="Times New Roman" w:cs="Times New Roman" w:eastAsia="Times New Roman" w:hAnsi="Times New Roman"/>
          <w:sz w:val="14"/>
          <w:szCs w:val="14"/>
          <w:color w:val="auto"/>
        </w:rPr>
      </w:pPr>
    </w:p>
    <w:p>
      <w:pPr>
        <w:jc w:val="both"/>
        <w:ind w:firstLine="499"/>
        <w:spacing w:after="0" w:line="255" w:lineRule="auto"/>
        <w:tabs>
          <w:tab w:leader="none" w:pos="699"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Plan Award or interest or right therein shall be liable for or may be applied to pay, satisfy or settle the debts, contracts or engagements of a Participant or his or her successors in interest nor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or insolvency), and any attempted disposition thereof shall be null and void and of no effect, except to the extent that such disposition is permitted by Section XII(a)(i); and</w:t>
      </w:r>
    </w:p>
    <w:p>
      <w:pPr>
        <w:spacing w:after="0" w:line="142" w:lineRule="exact"/>
        <w:rPr>
          <w:rFonts w:ascii="Times New Roman" w:cs="Times New Roman" w:eastAsia="Times New Roman" w:hAnsi="Times New Roman"/>
          <w:sz w:val="14"/>
          <w:szCs w:val="14"/>
          <w:color w:val="auto"/>
        </w:rPr>
      </w:pPr>
    </w:p>
    <w:p>
      <w:pPr>
        <w:jc w:val="both"/>
        <w:ind w:firstLine="499"/>
        <w:spacing w:after="0" w:line="255" w:lineRule="auto"/>
        <w:tabs>
          <w:tab w:leader="none" w:pos="747"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lifetime of a Participant, only such Participant may exercise a Plan Award (or any portion thereof) granted to him under the Plan, unless (other than in the case of an Incentive Stock Option) it has been disposed of pursuant to a DRO, and after the death of a Participant any exercisable portion of a Plan Award may, prior to the time when such portion becomes unexercisable under the Plan or the applicable Award Agreement, be exercised by such Participant’s personal representative or by any person empowered to do so under the deceased Participant’s will or under the then applicable laws of descent and distribution.</w:t>
      </w:r>
    </w:p>
    <w:p>
      <w:pPr>
        <w:spacing w:after="0" w:line="142" w:lineRule="exact"/>
        <w:rPr>
          <w:rFonts w:ascii="Times New Roman" w:cs="Times New Roman" w:eastAsia="Times New Roman" w:hAnsi="Times New Roman"/>
          <w:sz w:val="14"/>
          <w:szCs w:val="14"/>
          <w:color w:val="auto"/>
        </w:rPr>
      </w:pPr>
    </w:p>
    <w:p>
      <w:pPr>
        <w:jc w:val="both"/>
        <w:ind w:firstLine="251"/>
        <w:spacing w:after="0" w:line="250" w:lineRule="auto"/>
        <w:tabs>
          <w:tab w:leader="none" w:pos="443"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Permitted Transferees</w:t>
      </w:r>
      <w:r>
        <w:rPr>
          <w:rFonts w:ascii="Times New Roman" w:cs="Times New Roman" w:eastAsia="Times New Roman" w:hAnsi="Times New Roman"/>
          <w:sz w:val="14"/>
          <w:szCs w:val="14"/>
          <w:color w:val="auto"/>
        </w:rPr>
        <w:t>. Notwithstanding Section XII(a) hereof, the Committee may, in its sole discretion, permit a Participant to transfer a Plan Award other than an Incentive Stock Option to any one or more Permitted Transferees, subject to the following terms and conditions: except as may be provided in a Stock Restriction Agreement that is an Exhibit to any Plan Award (or as may be provided in any applicable stockholders’ agreement) (i) a Plan Award transferred to a Permitted Transferee shall not be assignable or transferable by the Permitted Transferee other than by will or the laws of descent and distribution; (ii) a Plan Award transferred to a Permitted Transferee shall continue to be subject to all the terms and conditions of the Plan Award as applicable to the original Participant (other than the ability to further transfer the Plan Award); (iii) any transfer of a Plan Award to a Permitted Transferee shall be without consideration; and (iv) the Participant and the Permitted Transferee shall execute any and all documents requested by the Committee or the Corporation, including, without limitation documents to (A) confirm the status of the transferee as a Permitted Transferee, (B) satisfy any requirements for an exemption for the transfer under Applicable Law and (C) evidence the transfer.</w:t>
      </w:r>
    </w:p>
    <w:p>
      <w:pPr>
        <w:spacing w:after="0" w:line="148" w:lineRule="exact"/>
        <w:rPr>
          <w:rFonts w:ascii="Times New Roman" w:cs="Times New Roman" w:eastAsia="Times New Roman" w:hAnsi="Times New Roman"/>
          <w:sz w:val="14"/>
          <w:szCs w:val="14"/>
          <w:color w:val="auto"/>
        </w:rPr>
      </w:pPr>
    </w:p>
    <w:p>
      <w:pPr>
        <w:jc w:val="both"/>
        <w:ind w:firstLine="251"/>
        <w:spacing w:after="0" w:line="249" w:lineRule="auto"/>
        <w:tabs>
          <w:tab w:leader="none" w:pos="435"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Beneficiaries</w:t>
      </w:r>
      <w:r>
        <w:rPr>
          <w:rFonts w:ascii="Times New Roman" w:cs="Times New Roman" w:eastAsia="Times New Roman" w:hAnsi="Times New Roman"/>
          <w:sz w:val="14"/>
          <w:szCs w:val="14"/>
          <w:color w:val="auto"/>
        </w:rPr>
        <w:t>. Notwithstanding Section XII(a) hereof, a Participant may, in the manner determined by the Committee, designate a beneficiary to exercise the rights of such Participant and to receive any distribution that may be made with respect to any Plan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the Award Agreement otherwise provide, and to any additional restrictions deemed necessary or appropriate by the Committee. If a Participant is married or a domestic partner in a domestic partnership qualified under Applicable Law and resides in a community property state, a designation of a person other than the Participant’s spouse or domestic partner, as applicable, as his or her beneficiary with respect to more than 50% of the Participant’s interest in the Plan Award shall not be effective without the prior written or electronic consent in form and substance satisfactory to the Committee or the Corporation of such Participant’s spouse or domestic partner. If no beneficiary has been designated or survives the Participant, payment shall be made to the person entitled thereto pursuant to the Participant’s will or the laws of descent and distribution. Subject to the foregoing and Applicable Law, a beneficiary designation may be changed or revoked by a Participant at any time provided that the change or revocation is filed with the Committee prior to the Participant’s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208280</wp:posOffset>
            </wp:positionV>
            <wp:extent cx="716470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4"/>
          <w:szCs w:val="14"/>
          <w:b w:val="1"/>
          <w:bCs w:val="1"/>
          <w:color w:val="auto"/>
        </w:rPr>
        <w:t>XIII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CONDITIONS TO ISSUANCE OF SHARES OF COMMON STOCK</w:t>
      </w:r>
    </w:p>
    <w:p>
      <w:pPr>
        <w:spacing w:after="0" w:line="156" w:lineRule="exact"/>
        <w:rPr>
          <w:sz w:val="20"/>
          <w:szCs w:val="20"/>
          <w:color w:val="auto"/>
        </w:rPr>
      </w:pPr>
    </w:p>
    <w:p>
      <w:pPr>
        <w:jc w:val="both"/>
        <w:ind w:firstLine="251"/>
        <w:spacing w:after="0" w:line="253" w:lineRule="auto"/>
        <w:tabs>
          <w:tab w:leader="none" w:pos="435"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Delivery of Certificates</w:t>
      </w:r>
      <w:r>
        <w:rPr>
          <w:rFonts w:ascii="Times New Roman" w:cs="Times New Roman" w:eastAsia="Times New Roman" w:hAnsi="Times New Roman"/>
          <w:sz w:val="14"/>
          <w:szCs w:val="14"/>
          <w:color w:val="auto"/>
        </w:rPr>
        <w:t>. Notwithstanding anything herein to the contrary, the Corporation shall not be required to issue or deliver any certificates or make any book entries evidencing shares of Common Stock pursuant to the exercise, vesting or settlement of any Plan Award, unless and until the Board or the Committee has determined, with advice of counsel, that the issuance of such shares of Common Stock is in compliance with Applicable Law and the shares of Common Stock are covered by an effective registration statement under the Securities Act or applicable exemption under the Securities Act from registration. In addition to the terms and conditions provided herein, the Board or the Committee may require that a Participant make such reasonable covenants, agreements, and representations as the Board or the Committee, in its sole discretion, deems advisable in order to comply with Applicable Law as a condition to the issuance or exercise of any Plan Award.</w:t>
      </w:r>
    </w:p>
    <w:p>
      <w:pPr>
        <w:spacing w:after="0" w:line="143" w:lineRule="exact"/>
        <w:rPr>
          <w:rFonts w:ascii="Times New Roman" w:cs="Times New Roman" w:eastAsia="Times New Roman" w:hAnsi="Times New Roman"/>
          <w:sz w:val="14"/>
          <w:szCs w:val="14"/>
          <w:color w:val="auto"/>
        </w:rPr>
      </w:pPr>
    </w:p>
    <w:p>
      <w:pPr>
        <w:jc w:val="both"/>
        <w:ind w:firstLine="251"/>
        <w:spacing w:after="0" w:line="259" w:lineRule="auto"/>
        <w:tabs>
          <w:tab w:leader="none" w:pos="453"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Stop-Transfer Orders</w:t>
      </w:r>
      <w:r>
        <w:rPr>
          <w:rFonts w:ascii="Times New Roman" w:cs="Times New Roman" w:eastAsia="Times New Roman" w:hAnsi="Times New Roman"/>
          <w:sz w:val="14"/>
          <w:szCs w:val="14"/>
          <w:color w:val="auto"/>
        </w:rPr>
        <w:t>. All stock certificates delivered pursuant to the Plan and all shares of Common Stock issued pursuant to book entry procedures are subject to any stop-transfer orders and other restrictions as the Committee deems necessary or advisable to comply with Applicable Law. The Committee may place legends on any stock certificate or book entry to reference restrictions applicable to the shares of Common Stock.</w:t>
      </w:r>
    </w:p>
    <w:p>
      <w:pPr>
        <w:spacing w:after="0" w:line="140" w:lineRule="exact"/>
        <w:rPr>
          <w:rFonts w:ascii="Times New Roman" w:cs="Times New Roman" w:eastAsia="Times New Roman" w:hAnsi="Times New Roman"/>
          <w:sz w:val="14"/>
          <w:szCs w:val="14"/>
          <w:color w:val="auto"/>
        </w:rPr>
      </w:pPr>
    </w:p>
    <w:p>
      <w:pPr>
        <w:ind w:firstLine="251"/>
        <w:spacing w:after="0" w:line="272" w:lineRule="auto"/>
        <w:tabs>
          <w:tab w:leader="none" w:pos="435"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Settlement of Plan Award</w:t>
      </w:r>
      <w:r>
        <w:rPr>
          <w:rFonts w:ascii="Times New Roman" w:cs="Times New Roman" w:eastAsia="Times New Roman" w:hAnsi="Times New Roman"/>
          <w:sz w:val="14"/>
          <w:szCs w:val="14"/>
          <w:color w:val="auto"/>
        </w:rPr>
        <w:t>. The Committee shall have the right to require any Participant to comply with any timing or other restrictions with respect to the settlement, distribution or exercise of any Plan Award, including a window-period limitation, as may be imposed in the sole discretion of the Committee.</w:t>
      </w:r>
    </w:p>
    <w:p>
      <w:pPr>
        <w:spacing w:after="0" w:line="131" w:lineRule="exact"/>
        <w:rPr>
          <w:rFonts w:ascii="Times New Roman" w:cs="Times New Roman" w:eastAsia="Times New Roman" w:hAnsi="Times New Roman"/>
          <w:sz w:val="14"/>
          <w:szCs w:val="14"/>
          <w:color w:val="auto"/>
        </w:rPr>
      </w:pPr>
    </w:p>
    <w:p>
      <w:pPr>
        <w:ind w:firstLine="251"/>
        <w:spacing w:after="0" w:line="272" w:lineRule="auto"/>
        <w:tabs>
          <w:tab w:leader="none" w:pos="453"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Fractional Shares</w:t>
      </w:r>
      <w:r>
        <w:rPr>
          <w:rFonts w:ascii="Times New Roman" w:cs="Times New Roman" w:eastAsia="Times New Roman" w:hAnsi="Times New Roman"/>
          <w:sz w:val="14"/>
          <w:szCs w:val="14"/>
          <w:color w:val="auto"/>
        </w:rPr>
        <w:t>. No fractional shares of Common Stock shall be issued and the Committee shall determine, in its sole discretion, whether cash shall be given in lieu of fractional shares of Common Stock or whether such fractional shares of Common Stock shall be eliminated by rounding down to the nearest whole share of Common Stock.</w:t>
      </w:r>
    </w:p>
    <w:p>
      <w:pPr>
        <w:spacing w:after="0" w:line="131" w:lineRule="exact"/>
        <w:rPr>
          <w:rFonts w:ascii="Times New Roman" w:cs="Times New Roman" w:eastAsia="Times New Roman" w:hAnsi="Times New Roman"/>
          <w:sz w:val="14"/>
          <w:szCs w:val="14"/>
          <w:color w:val="auto"/>
        </w:rPr>
      </w:pPr>
    </w:p>
    <w:p>
      <w:pPr>
        <w:jc w:val="both"/>
        <w:ind w:firstLine="251"/>
        <w:spacing w:after="0" w:line="259" w:lineRule="auto"/>
        <w:tabs>
          <w:tab w:leader="none" w:pos="456"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Book Entry Stock</w:t>
      </w:r>
      <w:r>
        <w:rPr>
          <w:rFonts w:ascii="Times New Roman" w:cs="Times New Roman" w:eastAsia="Times New Roman" w:hAnsi="Times New Roman"/>
          <w:sz w:val="14"/>
          <w:szCs w:val="14"/>
          <w:color w:val="auto"/>
        </w:rPr>
        <w:t>. Notwithstanding any other provision of the Plan, unless otherwise determined by the Committee or required by Applicable Law or the bylaws of the Corporation, the Corporation shall not deliver to any Participant certificates evidencing shares of Common Stock issued in connection with any Plan Award and instead such shares of Common Stock shall be recorded in the books of the Corporation (or, as applicable, its transfer agent or stock plan administrator).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XIV</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AMENDMENT OR TERMINATION OF PLAN</w:t>
      </w:r>
    </w:p>
    <w:p>
      <w:pPr>
        <w:spacing w:after="0" w:line="1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The Board of Directors of the Corporation shall have the right to amend, suspend or terminate the Plan at any time, provided that no amendment shall be made which shall increase the total number of shares of the Common Stock of the Corporation which may be issued and sold pursuant to Incentive Stock Options, reduce the minimum exercise price in the case of an Incentive Stock Option or modify the provisions of the Plan relating to eligibility with respect to Incentive Stock Options unless such amendment is made by or with the approval of the stockholders of the Corporation within 12 months of the effective date of such amendment, but only if such approval is required by Applicable Law. Furthermore, any amendment or termination of the Plan shall be subject to all other Applicable Law. The Board of Directors of the Corporation shall also be authorized to amend the Plan and the Options granted thereunder to maintain qualification as Incentive Stock Options, if applicable. Except as otherwise provided herein, no amendment, suspension or termination of the Plan shall alter or impair any Plan Award previously granted under the Plan without the consent of the holder thereof.</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XV</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STOCKHOLDER APPROVAL</w:t>
      </w:r>
    </w:p>
    <w:p>
      <w:pPr>
        <w:spacing w:after="0" w:line="156" w:lineRule="exact"/>
        <w:rPr>
          <w:sz w:val="20"/>
          <w:szCs w:val="20"/>
          <w:color w:val="auto"/>
        </w:rPr>
      </w:pPr>
    </w:p>
    <w:p>
      <w:pPr>
        <w:jc w:val="both"/>
        <w:ind w:firstLine="251"/>
        <w:spacing w:after="0" w:line="259" w:lineRule="auto"/>
        <w:tabs>
          <w:tab w:leader="none" w:pos="435"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 Rule</w:t>
      </w:r>
      <w:r>
        <w:rPr>
          <w:rFonts w:ascii="Times New Roman" w:cs="Times New Roman" w:eastAsia="Times New Roman" w:hAnsi="Times New Roman"/>
          <w:sz w:val="14"/>
          <w:szCs w:val="14"/>
          <w:color w:val="auto"/>
        </w:rPr>
        <w:t>. Notwithstanding any provision of the Plan or any Award Agreement to the contrary, but only to the extent necessary to satisfy Applicable Law, no Plan Award may be granted (or settled) in the absence of the timely approval of the Plan and/or the Plan Awards by that number of the owners of the Corporation’s outstanding shares of Common Stock required by Applicable Law to approve the Plan and/or such Plan Awards. Such approval must be obtained by a separate vote of the Corporation’s stockholders or by any other method allowed under the Applicable Law.</w:t>
      </w:r>
    </w:p>
    <w:p>
      <w:pPr>
        <w:spacing w:after="0" w:line="140" w:lineRule="exact"/>
        <w:rPr>
          <w:rFonts w:ascii="Times New Roman" w:cs="Times New Roman" w:eastAsia="Times New Roman" w:hAnsi="Times New Roman"/>
          <w:sz w:val="14"/>
          <w:szCs w:val="14"/>
          <w:color w:val="auto"/>
        </w:rPr>
      </w:pPr>
    </w:p>
    <w:p>
      <w:pPr>
        <w:ind w:firstLine="251"/>
        <w:spacing w:after="0" w:line="272" w:lineRule="auto"/>
        <w:tabs>
          <w:tab w:leader="none" w:pos="453"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Delegation of Voting Power</w:t>
      </w:r>
      <w:r>
        <w:rPr>
          <w:rFonts w:ascii="Times New Roman" w:cs="Times New Roman" w:eastAsia="Times New Roman" w:hAnsi="Times New Roman"/>
          <w:sz w:val="14"/>
          <w:szCs w:val="14"/>
          <w:color w:val="auto"/>
        </w:rPr>
        <w:t>. Furthermore, to the extent permitted by Applicable Law, any one or more of the Corporation’s stockholders may delegate to any agent, proxy or other person the power to so vote such stockholder’s or stockholders’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16470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4"/>
          <w:szCs w:val="14"/>
          <w:b w:val="1"/>
          <w:bCs w:val="1"/>
          <w:color w:val="auto"/>
        </w:rPr>
        <w:t>XVI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TERM OF PLAN</w:t>
      </w:r>
    </w:p>
    <w:p>
      <w:pPr>
        <w:spacing w:after="0" w:line="158"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4"/>
          <w:szCs w:val="14"/>
          <w:color w:val="auto"/>
        </w:rPr>
        <w:t>The Plan shall automatically terminate on the day immediately preceding the tenth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anniversary of the date the Plan was adopted by the Board of Directors of the Corporation, unless sooner terminated by such Board of Directors. No Plan Awards may be granted under the Plan subsequent to the date of the termination of the Plan.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XVII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CLAIMS PROCEDURES</w:t>
      </w:r>
    </w:p>
    <w:p>
      <w:pPr>
        <w:spacing w:after="0" w:line="156" w:lineRule="exact"/>
        <w:rPr>
          <w:sz w:val="20"/>
          <w:szCs w:val="20"/>
          <w:color w:val="auto"/>
        </w:rPr>
      </w:pPr>
    </w:p>
    <w:p>
      <w:pPr>
        <w:jc w:val="both"/>
        <w:ind w:firstLine="251"/>
        <w:spacing w:after="0" w:line="255" w:lineRule="auto"/>
        <w:tabs>
          <w:tab w:leader="none" w:pos="445"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Denial of Claims</w:t>
      </w:r>
      <w:r>
        <w:rPr>
          <w:rFonts w:ascii="Times New Roman" w:cs="Times New Roman" w:eastAsia="Times New Roman" w:hAnsi="Times New Roman"/>
          <w:sz w:val="14"/>
          <w:szCs w:val="14"/>
          <w:color w:val="auto"/>
        </w:rPr>
        <w:t>. If a Participant is denied any portion of the amounts to which he reasonably believes is due to be paid to him under the Plan, and only if the Plan (or the applicable portion thereof), in conjunction with the applicable Plan Award, is deemed to constitute an “employee benefit plan” within the meaning of Section 3(1) of the Employee Retirement Income Security Act of 1974, as amended (“</w:t>
      </w:r>
      <w:r>
        <w:rPr>
          <w:rFonts w:ascii="Times New Roman" w:cs="Times New Roman" w:eastAsia="Times New Roman" w:hAnsi="Times New Roman"/>
          <w:sz w:val="14"/>
          <w:szCs w:val="14"/>
          <w:u w:val="single" w:color="auto"/>
          <w:color w:val="auto"/>
        </w:rPr>
        <w:t>ERISA</w:t>
      </w:r>
      <w:r>
        <w:rPr>
          <w:rFonts w:ascii="Times New Roman" w:cs="Times New Roman" w:eastAsia="Times New Roman" w:hAnsi="Times New Roman"/>
          <w:sz w:val="14"/>
          <w:szCs w:val="14"/>
          <w:color w:val="auto"/>
        </w:rPr>
        <w:t>”), such Participant must so notify the Committee and the Committee shall advise the Participant in writing of the specific reasons for such denial. The Committee shall also furnish the Participant at that time with a written notice containing:</w:t>
      </w:r>
    </w:p>
    <w:p>
      <w:pPr>
        <w:spacing w:after="0" w:line="142" w:lineRule="exact"/>
        <w:rPr>
          <w:rFonts w:ascii="Times New Roman" w:cs="Times New Roman" w:eastAsia="Times New Roman" w:hAnsi="Times New Roman"/>
          <w:sz w:val="14"/>
          <w:szCs w:val="14"/>
          <w:color w:val="auto"/>
        </w:rPr>
      </w:pPr>
    </w:p>
    <w:p>
      <w:pPr>
        <w:ind w:left="660" w:hanging="161"/>
        <w:spacing w:after="0"/>
        <w:tabs>
          <w:tab w:leader="none" w:pos="66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specific reference to the pertinent provisions of the Plan and/or Plan Award;</w:t>
      </w:r>
    </w:p>
    <w:p>
      <w:pPr>
        <w:spacing w:after="0" w:line="169" w:lineRule="exact"/>
        <w:rPr>
          <w:rFonts w:ascii="Times New Roman" w:cs="Times New Roman" w:eastAsia="Times New Roman" w:hAnsi="Times New Roman"/>
          <w:sz w:val="14"/>
          <w:szCs w:val="14"/>
          <w:color w:val="auto"/>
        </w:rPr>
      </w:pPr>
    </w:p>
    <w:p>
      <w:pPr>
        <w:ind w:left="700" w:hanging="201"/>
        <w:spacing w:after="0"/>
        <w:tabs>
          <w:tab w:leader="none" w:pos="70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any additional material or information necessary for the Participant to perfect his claim, if possible, and an explanation of why such material or information is needed; and</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explanation of the Plan’s claim review procedure.</w:t>
      </w:r>
    </w:p>
    <w:p>
      <w:pPr>
        <w:spacing w:after="0" w:line="169" w:lineRule="exact"/>
        <w:rPr>
          <w:rFonts w:ascii="Times New Roman" w:cs="Times New Roman" w:eastAsia="Times New Roman" w:hAnsi="Times New Roman"/>
          <w:sz w:val="14"/>
          <w:szCs w:val="14"/>
          <w:color w:val="auto"/>
        </w:rPr>
      </w:pPr>
    </w:p>
    <w:p>
      <w:pPr>
        <w:ind w:firstLine="251"/>
        <w:spacing w:after="0" w:line="272" w:lineRule="auto"/>
        <w:tabs>
          <w:tab w:leader="none" w:pos="443"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 to Reconsideration</w:t>
      </w:r>
      <w:r>
        <w:rPr>
          <w:rFonts w:ascii="Times New Roman" w:cs="Times New Roman" w:eastAsia="Times New Roman" w:hAnsi="Times New Roman"/>
          <w:sz w:val="14"/>
          <w:szCs w:val="14"/>
          <w:color w:val="auto"/>
        </w:rPr>
        <w:t>. Within 180 days of receipt of the information stated in Section XVII(a), above, the Participant shall, if he desires further review, file a written request for reconsideration with the Committee.</w:t>
      </w:r>
    </w:p>
    <w:p>
      <w:pPr>
        <w:spacing w:after="0" w:line="131" w:lineRule="exact"/>
        <w:rPr>
          <w:rFonts w:ascii="Times New Roman" w:cs="Times New Roman" w:eastAsia="Times New Roman" w:hAnsi="Times New Roman"/>
          <w:sz w:val="14"/>
          <w:szCs w:val="14"/>
          <w:color w:val="auto"/>
        </w:rPr>
      </w:pPr>
    </w:p>
    <w:p>
      <w:pPr>
        <w:ind w:firstLine="251"/>
        <w:spacing w:after="0" w:line="272" w:lineRule="auto"/>
        <w:tabs>
          <w:tab w:leader="none" w:pos="435"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Review of Documents</w:t>
      </w:r>
      <w:r>
        <w:rPr>
          <w:rFonts w:ascii="Times New Roman" w:cs="Times New Roman" w:eastAsia="Times New Roman" w:hAnsi="Times New Roman"/>
          <w:sz w:val="14"/>
          <w:szCs w:val="14"/>
          <w:color w:val="auto"/>
        </w:rPr>
        <w:t>. As long as the Participant’s request for review is pending (including the 180-day period in Section XVII(b), above), the Participant or his duly authorized representative may review pertinent Plan documents and may submit issues and comments in writing to the Committee.</w:t>
      </w:r>
    </w:p>
    <w:p>
      <w:pPr>
        <w:spacing w:after="0" w:line="131" w:lineRule="exact"/>
        <w:rPr>
          <w:rFonts w:ascii="Times New Roman" w:cs="Times New Roman" w:eastAsia="Times New Roman" w:hAnsi="Times New Roman"/>
          <w:sz w:val="14"/>
          <w:szCs w:val="14"/>
          <w:color w:val="auto"/>
        </w:rPr>
      </w:pPr>
    </w:p>
    <w:p>
      <w:pPr>
        <w:ind w:firstLine="251"/>
        <w:spacing w:after="0" w:line="272" w:lineRule="auto"/>
        <w:tabs>
          <w:tab w:leader="none" w:pos="464"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Decision by Committee</w:t>
      </w:r>
      <w:r>
        <w:rPr>
          <w:rFonts w:ascii="Times New Roman" w:cs="Times New Roman" w:eastAsia="Times New Roman" w:hAnsi="Times New Roman"/>
          <w:sz w:val="14"/>
          <w:szCs w:val="14"/>
          <w:color w:val="auto"/>
        </w:rPr>
        <w:t>. A final decision, which shall be binding upon the Participant, shall be made by the Committee within 60 days of the filing by the Participant of his request for reconsideration.</w:t>
      </w:r>
    </w:p>
    <w:p>
      <w:pPr>
        <w:spacing w:after="0" w:line="131" w:lineRule="exact"/>
        <w:rPr>
          <w:rFonts w:ascii="Times New Roman" w:cs="Times New Roman" w:eastAsia="Times New Roman" w:hAnsi="Times New Roman"/>
          <w:sz w:val="14"/>
          <w:szCs w:val="14"/>
          <w:color w:val="auto"/>
        </w:rPr>
      </w:pPr>
    </w:p>
    <w:p>
      <w:pPr>
        <w:ind w:firstLine="251"/>
        <w:spacing w:after="0" w:line="272" w:lineRule="auto"/>
        <w:tabs>
          <w:tab w:leader="none" w:pos="435"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by Committee</w:t>
      </w:r>
      <w:r>
        <w:rPr>
          <w:rFonts w:ascii="Times New Roman" w:cs="Times New Roman" w:eastAsia="Times New Roman" w:hAnsi="Times New Roman"/>
          <w:sz w:val="14"/>
          <w:szCs w:val="14"/>
          <w:color w:val="auto"/>
        </w:rPr>
        <w:t>. The Committee’s decision shall be conveyed to the Participant in writing and shall include specific reasons for the decision, written in a manner calculated to be understood by the Participant, with specific references to the pertinent Plan provisions on which the decision is based.</w:t>
      </w:r>
    </w:p>
    <w:p>
      <w:pPr>
        <w:spacing w:after="0" w:line="131" w:lineRule="exact"/>
        <w:rPr>
          <w:rFonts w:ascii="Times New Roman" w:cs="Times New Roman" w:eastAsia="Times New Roman" w:hAnsi="Times New Roman"/>
          <w:sz w:val="14"/>
          <w:szCs w:val="14"/>
          <w:color w:val="auto"/>
        </w:rPr>
      </w:pPr>
    </w:p>
    <w:p>
      <w:pPr>
        <w:ind w:left="420" w:hanging="169"/>
        <w:spacing w:after="0"/>
        <w:tabs>
          <w:tab w:leader="none" w:pos="4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Arbitration</w:t>
      </w:r>
      <w:r>
        <w:rPr>
          <w:rFonts w:ascii="Times New Roman" w:cs="Times New Roman" w:eastAsia="Times New Roman" w:hAnsi="Times New Roman"/>
          <w:sz w:val="14"/>
          <w:szCs w:val="14"/>
          <w:color w:val="auto"/>
        </w:rPr>
        <w:t>. No Participant may avail himself of the arbitration provisions of Section XI(m), hereof, unless he or she complies with the foregoing provisions of this Article XVII.</w:t>
      </w:r>
    </w:p>
    <w:p>
      <w:pPr>
        <w:spacing w:after="0" w:line="169" w:lineRule="exact"/>
        <w:rPr>
          <w:rFonts w:ascii="Times New Roman" w:cs="Times New Roman" w:eastAsia="Times New Roman" w:hAnsi="Times New Roman"/>
          <w:sz w:val="14"/>
          <w:szCs w:val="14"/>
          <w:color w:val="auto"/>
        </w:rPr>
      </w:pPr>
    </w:p>
    <w:p>
      <w:pPr>
        <w:ind w:left="440" w:hanging="189"/>
        <w:spacing w:after="0"/>
        <w:tabs>
          <w:tab w:leader="none" w:pos="4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Plan Administrator</w:t>
      </w:r>
      <w:r>
        <w:rPr>
          <w:rFonts w:ascii="Times New Roman" w:cs="Times New Roman" w:eastAsia="Times New Roman" w:hAnsi="Times New Roman"/>
          <w:sz w:val="14"/>
          <w:szCs w:val="14"/>
          <w:color w:val="auto"/>
        </w:rPr>
        <w:t>. For purposes of application of this Article XVII, the Committee shall serve as the plan administrator of the Plan, as required by, and defined under, ERISA.</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XVIII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FOREIGN AWARDS AND RIGHTS</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Notwithstanding any provision of the Plan to the contrary, in order to comply with the laws in countries and other jurisdictions in which the Company and its Subsidiaries have Eligible Individuals, the Committee, in its sole discretion, shall have the power and authority to (i) modify the terms and conditions of any Plan Award granted to Eligible Individuals to comply with Applicable Laws of jurisdictions where Eligible Individuals reside; (ii) establish sub-plans and determine the Exercise Price, exercise procedures and other terms and procedures and rules, to the extent such actions may be necessary or advisable, including adoption of rules, procedures or sub-plans applicable to particular Subsidiaries or Participants residing in particular locations; provided, however, that no such sub-plans and/or modifications shall increase the share limits contained in Section 2 or otherwise require stockholder approval; and (iii) take any action, before or after a Plan Award is made, that it deems advisable to obtain approval or comply with any necessary local governmental regulatory exemptions or approvals. Without limiting the generality of the foregoing, the Committee is specifically authorized to adopt rules, procedures and sub-plans with provisions that limit or modify rights on eligibility to receive a Plan Award under the Plan or on Termination of Service, available methods of exercise or settlement of a Plan Award, payment of Tax-Related Items, the shifting of employer tax liability to a Participant, the withholding procedures and handling of any Share certificates or other indicia of ownership which may vary with local requirements. The Committee may also adopt sub-plans to the Plan intended to allow the Company to grant tax-qualified Plan Awards in a particular jurisdiction and, as part of such sub-plan, may restrict the sale of Shares and/or modify the Change in Control and adjustments provisions of the Plan to the extent necessary to comply the tax requirements of the jurisdiction. Notwithstanding the foregoing, the Committee may not take any actions hereunder, and no Plan Awards shall be granted, that would violate the Securities Act, Exchange Act, the Code, or any securities law.</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furtherance of the foregoing, Appendix A of the Plan shall set forth the sub-plan for Participants who are taxpayers in the State of Israel as of the effective date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4"/>
          <w:szCs w:val="14"/>
          <w:b w:val="1"/>
          <w:bCs w:val="1"/>
          <w:color w:val="auto"/>
        </w:rPr>
        <w:t>APPENDIX A</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2020 OMNIBUS PERFORMANCE AWARD PLAN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SUB-PLAN – ISRAELI TAXPAYERS</w:t>
      </w:r>
    </w:p>
    <w:p>
      <w:pPr>
        <w:spacing w:after="0" w:line="170" w:lineRule="exact"/>
        <w:rPr>
          <w:sz w:val="20"/>
          <w:szCs w:val="20"/>
          <w:color w:val="auto"/>
        </w:rPr>
      </w:pPr>
    </w:p>
    <w:p>
      <w:pPr>
        <w:ind w:left="140" w:hanging="137"/>
        <w:spacing w:after="0"/>
        <w:tabs>
          <w:tab w:leader="none" w:pos="1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SPECIAL PROVISIONS FOR ISRAELI TAXPAYERS</w:t>
      </w:r>
    </w:p>
    <w:p>
      <w:pPr>
        <w:spacing w:after="0" w:line="170" w:lineRule="exact"/>
        <w:rPr>
          <w:sz w:val="20"/>
          <w:szCs w:val="20"/>
          <w:color w:val="auto"/>
        </w:rPr>
      </w:pPr>
    </w:p>
    <w:p>
      <w:pPr>
        <w:jc w:val="both"/>
        <w:ind w:firstLine="248"/>
        <w:spacing w:after="0" w:line="278" w:lineRule="auto"/>
        <w:rPr>
          <w:sz w:val="20"/>
          <w:szCs w:val="20"/>
          <w:color w:val="auto"/>
        </w:rPr>
      </w:pPr>
      <w:r>
        <w:rPr>
          <w:rFonts w:ascii="Times New Roman" w:cs="Times New Roman" w:eastAsia="Times New Roman" w:hAnsi="Times New Roman"/>
          <w:sz w:val="14"/>
          <w:szCs w:val="14"/>
          <w:color w:val="auto"/>
        </w:rPr>
        <w:t>1.1 This Sub-Plan for Israeli Taxpayers (the “</w:t>
      </w:r>
      <w:r>
        <w:rPr>
          <w:rFonts w:ascii="Times New Roman" w:cs="Times New Roman" w:eastAsia="Times New Roman" w:hAnsi="Times New Roman"/>
          <w:sz w:val="14"/>
          <w:szCs w:val="14"/>
          <w:b w:val="1"/>
          <w:bCs w:val="1"/>
          <w:color w:val="auto"/>
        </w:rPr>
        <w:t>Sub-Plan</w:t>
      </w:r>
      <w:r>
        <w:rPr>
          <w:rFonts w:ascii="Times New Roman" w:cs="Times New Roman" w:eastAsia="Times New Roman" w:hAnsi="Times New Roman"/>
          <w:sz w:val="14"/>
          <w:szCs w:val="14"/>
          <w:color w:val="auto"/>
        </w:rPr>
        <w:t>”) to the Microbot Medical Inc. 2020 Omnibus Performance Award Plan, as amended (the “Plan”) is made in accordance with Section II(d)(xvii) and Article XVIII of the Plan. This Sub-Plan was approved by the Committee on July 17, 2020, subject to stockholder approval.</w:t>
      </w:r>
    </w:p>
    <w:p>
      <w:pPr>
        <w:spacing w:after="0" w:line="127" w:lineRule="exact"/>
        <w:rPr>
          <w:sz w:val="20"/>
          <w:szCs w:val="20"/>
          <w:color w:val="auto"/>
        </w:rPr>
      </w:pPr>
    </w:p>
    <w:p>
      <w:pPr>
        <w:jc w:val="both"/>
        <w:ind w:firstLine="248"/>
        <w:spacing w:after="0" w:line="272" w:lineRule="auto"/>
        <w:rPr>
          <w:sz w:val="20"/>
          <w:szCs w:val="20"/>
          <w:color w:val="auto"/>
        </w:rPr>
      </w:pPr>
      <w:r>
        <w:rPr>
          <w:rFonts w:ascii="Times New Roman" w:cs="Times New Roman" w:eastAsia="Times New Roman" w:hAnsi="Times New Roman"/>
          <w:sz w:val="14"/>
          <w:szCs w:val="14"/>
          <w:color w:val="auto"/>
        </w:rPr>
        <w:t>1.2 The provisions specified hereunder apply only to persons who are deemed to be residents of the State of Israel for tax purposes, or are otherwise subject to taxation in Israel with respect to Plan Awards.</w:t>
      </w:r>
    </w:p>
    <w:p>
      <w:pPr>
        <w:spacing w:after="0" w:line="131" w:lineRule="exact"/>
        <w:rPr>
          <w:sz w:val="20"/>
          <w:szCs w:val="20"/>
          <w:color w:val="auto"/>
        </w:rPr>
      </w:pPr>
    </w:p>
    <w:p>
      <w:pPr>
        <w:jc w:val="both"/>
        <w:ind w:firstLine="248"/>
        <w:spacing w:after="0" w:line="255" w:lineRule="auto"/>
        <w:rPr>
          <w:sz w:val="20"/>
          <w:szCs w:val="20"/>
          <w:color w:val="auto"/>
        </w:rPr>
      </w:pPr>
      <w:r>
        <w:rPr>
          <w:rFonts w:ascii="Times New Roman" w:cs="Times New Roman" w:eastAsia="Times New Roman" w:hAnsi="Times New Roman"/>
          <w:sz w:val="14"/>
          <w:szCs w:val="14"/>
          <w:color w:val="auto"/>
        </w:rPr>
        <w:t>1.3 This Sub-Plan applies with respect to Plan Awards granted under the Plan. The purpose of this Sub-Plan is to establish certain rules and limitations applicable to Plan Awards that may be granted or issued under the Plan from time to time, in compliance with the tax, securities and other applicable laws currently in force in the State of Israel. Except as otherwise provided by this Sub-Plan, all grants made pursuant to this Sub-Plan shall be governed by the terms of the Plan. This Sub-Plan is applicable only to grants made after the date of its adoption. This Sub-Plan complies with, and is subject to the ITO and Section 102. An Option granted under this Sub-Plan will be deemed a Non-Qualified Stock Option for the purposes of U.S. taxation.</w:t>
      </w:r>
    </w:p>
    <w:p>
      <w:pPr>
        <w:spacing w:after="0" w:line="142" w:lineRule="exact"/>
        <w:rPr>
          <w:sz w:val="20"/>
          <w:szCs w:val="20"/>
          <w:color w:val="auto"/>
        </w:rPr>
      </w:pPr>
    </w:p>
    <w:p>
      <w:pPr>
        <w:jc w:val="both"/>
        <w:ind w:firstLine="248"/>
        <w:spacing w:after="0" w:line="272" w:lineRule="auto"/>
        <w:rPr>
          <w:sz w:val="20"/>
          <w:szCs w:val="20"/>
          <w:color w:val="auto"/>
        </w:rPr>
      </w:pPr>
      <w:r>
        <w:rPr>
          <w:rFonts w:ascii="Times New Roman" w:cs="Times New Roman" w:eastAsia="Times New Roman" w:hAnsi="Times New Roman"/>
          <w:sz w:val="14"/>
          <w:szCs w:val="14"/>
          <w:color w:val="auto"/>
        </w:rPr>
        <w:t>1.4 The Plan and this Sub-Plan shall be read together. In any case of contradiction, whether explicit or implied, between the provisions of this Sub-Plan and the Plan, the provisions of this Sub-Plan shall govern.</w:t>
      </w:r>
    </w:p>
    <w:p>
      <w:pPr>
        <w:spacing w:after="0" w:line="127" w:lineRule="exact"/>
        <w:rPr>
          <w:sz w:val="20"/>
          <w:szCs w:val="20"/>
          <w:color w:val="auto"/>
        </w:rPr>
      </w:pPr>
    </w:p>
    <w:p>
      <w:pPr>
        <w:ind w:left="140" w:hanging="137"/>
        <w:spacing w:after="0"/>
        <w:tabs>
          <w:tab w:leader="none" w:pos="1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DEFINITIONS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Capitalized terms not otherwise defined herein shall have the meaning assigned to them in the Plan. The following additional definitions will apply to grants made pursuant to this Sub-Plan:</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3(i) Award</w:t>
      </w:r>
      <w:r>
        <w:rPr>
          <w:rFonts w:ascii="Times New Roman" w:cs="Times New Roman" w:eastAsia="Times New Roman" w:hAnsi="Times New Roman"/>
          <w:sz w:val="14"/>
          <w:szCs w:val="14"/>
          <w:color w:val="auto"/>
        </w:rPr>
        <w:t>” means a Plan Award, which is subject to taxation pursuant to Section 3(i) of the ITO, which has been granted to any person who is not an Eligible 102 Participant.</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102 Capital Gains Track</w:t>
      </w:r>
      <w:r>
        <w:rPr>
          <w:rFonts w:ascii="Times New Roman" w:cs="Times New Roman" w:eastAsia="Times New Roman" w:hAnsi="Times New Roman"/>
          <w:sz w:val="13"/>
          <w:szCs w:val="13"/>
          <w:color w:val="auto"/>
        </w:rPr>
        <w:t>” means the tax alternative set forth in Section 102(b)(2) of the ITO pursuant to which all or a part of the income resulting from the sale of Shares is taxable as a capital gain.</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102 Capital Gains Track Grant</w:t>
      </w:r>
      <w:r>
        <w:rPr>
          <w:rFonts w:ascii="Times New Roman" w:cs="Times New Roman" w:eastAsia="Times New Roman" w:hAnsi="Times New Roman"/>
          <w:sz w:val="14"/>
          <w:szCs w:val="14"/>
          <w:color w:val="auto"/>
        </w:rPr>
        <w:t>” means a 102 Trustee Grant qualifying for the special tax treatment under the 102 Capital Gains Track.</w:t>
      </w:r>
    </w:p>
    <w:p>
      <w:pPr>
        <w:spacing w:after="0" w:line="170" w:lineRule="exact"/>
        <w:rPr>
          <w:sz w:val="20"/>
          <w:szCs w:val="20"/>
          <w:color w:val="auto"/>
        </w:rPr>
      </w:pPr>
    </w:p>
    <w:p>
      <w:pPr>
        <w:jc w:val="both"/>
        <w:ind w:firstLine="248"/>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102 Ordinary Income Track</w:t>
      </w:r>
      <w:r>
        <w:rPr>
          <w:rFonts w:ascii="Times New Roman" w:cs="Times New Roman" w:eastAsia="Times New Roman" w:hAnsi="Times New Roman"/>
          <w:sz w:val="14"/>
          <w:szCs w:val="14"/>
          <w:color w:val="auto"/>
        </w:rPr>
        <w:t>” means the tax alternative set forth in Section 102(b)(1) of the ITO pursuant to which income resulting from the sale of Shares derived from Plan Awards is taxed as ordinary income.</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102 Ordinary Income Track Grant</w:t>
      </w:r>
      <w:r>
        <w:rPr>
          <w:rFonts w:ascii="Times New Roman" w:cs="Times New Roman" w:eastAsia="Times New Roman" w:hAnsi="Times New Roman"/>
          <w:sz w:val="14"/>
          <w:szCs w:val="14"/>
          <w:color w:val="auto"/>
        </w:rPr>
        <w:t>” means a 102 Trustee Grant qualifying for the ordinary income tax treatment under the 102 Ordinary Income Track.</w:t>
      </w:r>
    </w:p>
    <w:p>
      <w:pPr>
        <w:spacing w:after="0" w:line="170" w:lineRule="exact"/>
        <w:rPr>
          <w:sz w:val="20"/>
          <w:szCs w:val="20"/>
          <w:color w:val="auto"/>
        </w:rPr>
      </w:pPr>
    </w:p>
    <w:p>
      <w:pPr>
        <w:jc w:val="both"/>
        <w:ind w:firstLine="248"/>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102 Trustee Grant</w:t>
      </w:r>
      <w:r>
        <w:rPr>
          <w:rFonts w:ascii="Times New Roman" w:cs="Times New Roman" w:eastAsia="Times New Roman" w:hAnsi="Times New Roman"/>
          <w:sz w:val="14"/>
          <w:szCs w:val="14"/>
          <w:color w:val="auto"/>
        </w:rPr>
        <w:t>” means a Plan Award of an Option, Performance Share, Performance Unit, share of Restricted Stock or Restricted Stock Unit, granted pursuant to Section 102(b) of the ITO and held in trust by a Trustee for the benefit of the Eligible 102 Participant, and includes both 102 Capital Gains Track Grants and 102 Ordinary Income Track Grants.</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Affiliate</w:t>
      </w:r>
      <w:r>
        <w:rPr>
          <w:rFonts w:ascii="Times New Roman" w:cs="Times New Roman" w:eastAsia="Times New Roman" w:hAnsi="Times New Roman"/>
          <w:sz w:val="14"/>
          <w:szCs w:val="14"/>
          <w:color w:val="auto"/>
        </w:rPr>
        <w:t>” for the purpose of grants made under this Sub-Plan, means any Affiliate, as defined in the Plan, that is an “employing company” within the meaning of Section 102(a) of the ITO.</w:t>
      </w:r>
    </w:p>
    <w:p>
      <w:pPr>
        <w:spacing w:after="0" w:line="170" w:lineRule="exact"/>
        <w:rPr>
          <w:sz w:val="20"/>
          <w:szCs w:val="20"/>
          <w:color w:val="auto"/>
        </w:rPr>
      </w:pPr>
    </w:p>
    <w:p>
      <w:pPr>
        <w:jc w:val="both"/>
        <w:ind w:firstLine="248"/>
        <w:spacing w:after="0" w:line="29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Controlling Shareholder</w:t>
      </w:r>
      <w:r>
        <w:rPr>
          <w:rFonts w:ascii="Times New Roman" w:cs="Times New Roman" w:eastAsia="Times New Roman" w:hAnsi="Times New Roman"/>
          <w:sz w:val="13"/>
          <w:szCs w:val="13"/>
          <w:color w:val="auto"/>
        </w:rPr>
        <w:t>” as defined in Section 32(9) of the ITO, currently defined as an individual who prior to the grant or as a result of the grant or exercise of any Plan Award, holds or would hold, directly or indirectly, in his name or with a relative (as defined in the ITO) (i) 10% of the outstanding share capital of the Company or 10% of the voting power of the Company, (ii) the right to hold or purchase 10% of the outstanding equity or voting power, (iii) the right to obtain 10% of the “profit” of the Company (as defined in the ITO), or (iv) the right to appoint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6470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57" w:name="page58"/>
    <w:bookmarkEnd w:id="57"/>
    <w:p>
      <w:pPr>
        <w:jc w:val="both"/>
        <w:ind w:firstLine="248"/>
        <w:spacing w:after="0" w:line="25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Deposit Requirements</w:t>
      </w:r>
      <w:r>
        <w:rPr>
          <w:rFonts w:ascii="Times New Roman" w:cs="Times New Roman" w:eastAsia="Times New Roman" w:hAnsi="Times New Roman"/>
          <w:sz w:val="14"/>
          <w:szCs w:val="14"/>
          <w:color w:val="auto"/>
        </w:rPr>
        <w:t>” shall mean with respect a 102 Trustee Grant, the requirement to evidence deposit of a Plan Award with the Trustee, in accordance with Section 102, in order to qualify as a 102 Trustee Grant. As of the time of approval of this Sub-Plan, the ITA guidelines regarding Deposit Requirements for 102 Capital Gains Track Grants require that the Trustee be provided with (a) the resolutions approving Plan Awards intended to qualify as 102 Capital Gains Track Grants within 45 days of the date of Committee’s approval of such Plan Award, including full details of the terms of the Plan Awards, and (b) a copy of the Award Agreement executed by the Eligible 102 Participant and/or Eligible 102 Participant’s consent to the requirements of the 102 Capital Gains Track Grant within 90 days of the Committee’s approval of such Plan Award, and (c) with respect to Plan Awards of Restricted Stock, either a share certificate and copy of the Company’s share register evidencing issuance of the Shares underlying such Plan Award in the name of the Trustee for the benefit of the Eligible 102 Participant, or deposit of the Shares with a financial institution in an account administered in the name of the Trustee, as applicable, in each case, within 90 days of the date of the Committee’s approval of such Plan Award.</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Election</w:t>
      </w:r>
      <w:r>
        <w:rPr>
          <w:rFonts w:ascii="Times New Roman" w:cs="Times New Roman" w:eastAsia="Times New Roman" w:hAnsi="Times New Roman"/>
          <w:sz w:val="14"/>
          <w:szCs w:val="14"/>
          <w:color w:val="auto"/>
        </w:rPr>
        <w:t>” means the Company’s choice of the type of 102 Trustee Grants it will make under the Plan (as between capital gains track or ordinary income track), as filed with the ITA.</w:t>
      </w:r>
    </w:p>
    <w:p>
      <w:pPr>
        <w:spacing w:after="0" w:line="170" w:lineRule="exact"/>
        <w:rPr>
          <w:sz w:val="20"/>
          <w:szCs w:val="20"/>
          <w:color w:val="auto"/>
        </w:rPr>
      </w:pPr>
    </w:p>
    <w:p>
      <w:pPr>
        <w:jc w:val="both"/>
        <w:ind w:firstLine="248"/>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Eligible 102 Participant</w:t>
      </w:r>
      <w:r>
        <w:rPr>
          <w:rFonts w:ascii="Times New Roman" w:cs="Times New Roman" w:eastAsia="Times New Roman" w:hAnsi="Times New Roman"/>
          <w:sz w:val="14"/>
          <w:szCs w:val="14"/>
          <w:color w:val="auto"/>
        </w:rPr>
        <w:t>” means a Participant who is a person employed by the Company or its Affiliates, including an individual who is serving as an office holder (as defined in the ITO), who is not a Controlling Shareholder.</w:t>
      </w:r>
    </w:p>
    <w:p>
      <w:pPr>
        <w:spacing w:after="0" w:line="123" w:lineRule="exact"/>
        <w:rPr>
          <w:sz w:val="20"/>
          <w:szCs w:val="20"/>
          <w:color w:val="auto"/>
        </w:rPr>
      </w:pPr>
    </w:p>
    <w:p>
      <w:pPr>
        <w:jc w:val="both"/>
        <w:ind w:firstLine="248"/>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Israeli Fair Market Value</w:t>
      </w:r>
      <w:r>
        <w:rPr>
          <w:rFonts w:ascii="Times New Roman" w:cs="Times New Roman" w:eastAsia="Times New Roman" w:hAnsi="Times New Roman"/>
          <w:sz w:val="14"/>
          <w:szCs w:val="14"/>
          <w:color w:val="auto"/>
        </w:rPr>
        <w:t>” shall mean with respect to 102 Capital Gains Track Grants only, for the sole purpose of determining tax liability pursuant to Section 102(b)(3) of the ITO, if at the date of grant the Company’s shares are listed on any established stock exchange or a national market system or if the Company’s shares will be registered for trading within ninety (90) days following the date of grant, the fair market value of the Shares at the date of grant shall be determined in accordance with the average value of the Company’s shares on the thirty (30) trading days preceding the date of grant or on the thirty (30) trading days following the date of registration for trading, as the case may be.</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ITA</w:t>
      </w:r>
      <w:r>
        <w:rPr>
          <w:rFonts w:ascii="Times New Roman" w:cs="Times New Roman" w:eastAsia="Times New Roman" w:hAnsi="Times New Roman"/>
          <w:sz w:val="14"/>
          <w:szCs w:val="14"/>
          <w:color w:val="auto"/>
        </w:rPr>
        <w:t>” means the Israeli Tax Authority.</w:t>
      </w:r>
    </w:p>
    <w:p>
      <w:pPr>
        <w:spacing w:after="0" w:line="170" w:lineRule="exact"/>
        <w:rPr>
          <w:sz w:val="20"/>
          <w:szCs w:val="20"/>
          <w:color w:val="auto"/>
        </w:rPr>
      </w:pPr>
    </w:p>
    <w:p>
      <w:pPr>
        <w:jc w:val="both"/>
        <w:ind w:firstLine="248"/>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ITO</w:t>
      </w:r>
      <w:r>
        <w:rPr>
          <w:rFonts w:ascii="Times New Roman" w:cs="Times New Roman" w:eastAsia="Times New Roman" w:hAnsi="Times New Roman"/>
          <w:sz w:val="14"/>
          <w:szCs w:val="14"/>
          <w:color w:val="auto"/>
        </w:rPr>
        <w:t>” means the Israeli Income Tax Ordinance (New Version), 1961, and the rules, regulations, orders or procedures promulgated thereunder and any amendments thereto, including specifically the Rules, all as may be amended from time to time.</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Non-Trustee Grant</w:t>
      </w:r>
      <w:r>
        <w:rPr>
          <w:rFonts w:ascii="Times New Roman" w:cs="Times New Roman" w:eastAsia="Times New Roman" w:hAnsi="Times New Roman"/>
          <w:sz w:val="14"/>
          <w:szCs w:val="14"/>
          <w:color w:val="auto"/>
        </w:rPr>
        <w:t>” means a Plan Award granted to an Eligible 102 Participant pursuant to Section 102(c) of the ITO and not held in trust by a Trustee.</w:t>
      </w:r>
    </w:p>
    <w:p>
      <w:pPr>
        <w:spacing w:after="0" w:line="170" w:lineRule="exact"/>
        <w:rPr>
          <w:sz w:val="20"/>
          <w:szCs w:val="20"/>
          <w:color w:val="auto"/>
        </w:rPr>
      </w:pPr>
    </w:p>
    <w:p>
      <w:pPr>
        <w:jc w:val="both"/>
        <w:ind w:firstLine="248"/>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Required Holding Period</w:t>
      </w:r>
      <w:r>
        <w:rPr>
          <w:rFonts w:ascii="Times New Roman" w:cs="Times New Roman" w:eastAsia="Times New Roman" w:hAnsi="Times New Roman"/>
          <w:sz w:val="14"/>
          <w:szCs w:val="14"/>
          <w:color w:val="auto"/>
        </w:rPr>
        <w:t>” means the requisite period prescribed by the ITO and the Rules, or such other period as may be required by the ITA, with respect to 102 Trustee Grants, during which Plan Awards granted by the Company must be held by the Trustee for the benefit of the person to whom it was granted. As of the date of the adoption of this Sub-Plan, the Required Holding Period for 102 Capital Gains Track Grants is 24 months from the date of grant of the Plan Award.</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Rules</w:t>
      </w:r>
      <w:r>
        <w:rPr>
          <w:rFonts w:ascii="Times New Roman" w:cs="Times New Roman" w:eastAsia="Times New Roman" w:hAnsi="Times New Roman"/>
          <w:sz w:val="14"/>
          <w:szCs w:val="14"/>
          <w:color w:val="auto"/>
        </w:rPr>
        <w:t>” means the Income Tax Rules (Tax Benefits in Share Issuance to Employees), 2003.</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Section 102</w:t>
      </w:r>
      <w:r>
        <w:rPr>
          <w:rFonts w:ascii="Times New Roman" w:cs="Times New Roman" w:eastAsia="Times New Roman" w:hAnsi="Times New Roman"/>
          <w:sz w:val="14"/>
          <w:szCs w:val="14"/>
          <w:color w:val="auto"/>
        </w:rPr>
        <w:t>” shall mean the provisions of Section 102 of the ITO, as amended from time to time.</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4"/>
          <w:szCs w:val="14"/>
          <w:color w:val="auto"/>
        </w:rPr>
        <w:t>” shall mean shares of Common Stock, as defined in the Plan.</w:t>
      </w:r>
    </w:p>
    <w:p>
      <w:pPr>
        <w:spacing w:after="0" w:line="170" w:lineRule="exact"/>
        <w:rPr>
          <w:sz w:val="20"/>
          <w:szCs w:val="20"/>
          <w:color w:val="auto"/>
        </w:rPr>
      </w:pPr>
    </w:p>
    <w:p>
      <w:pPr>
        <w:jc w:val="both"/>
        <w:ind w:firstLine="248"/>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Trustee</w:t>
      </w:r>
      <w:r>
        <w:rPr>
          <w:rFonts w:ascii="Times New Roman" w:cs="Times New Roman" w:eastAsia="Times New Roman" w:hAnsi="Times New Roman"/>
          <w:sz w:val="14"/>
          <w:szCs w:val="14"/>
          <w:color w:val="auto"/>
        </w:rPr>
        <w:t>” means a person or entity designated by the Committee to serve as a trustee for the purposes of this Sub-Plan and approved by the ITA in accordance with the provisions of Section 102(a) of the ITO.</w:t>
      </w:r>
    </w:p>
    <w:p>
      <w:pPr>
        <w:spacing w:after="0" w:line="123" w:lineRule="exact"/>
        <w:rPr>
          <w:sz w:val="20"/>
          <w:szCs w:val="20"/>
          <w:color w:val="auto"/>
        </w:rPr>
      </w:pPr>
    </w:p>
    <w:p>
      <w:pPr>
        <w:ind w:left="140" w:hanging="137"/>
        <w:spacing w:after="0"/>
        <w:tabs>
          <w:tab w:leader="none" w:pos="1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TYPES OF PLAN AWARDS AND SECTION 102 ELECTION</w:t>
      </w:r>
    </w:p>
    <w:p>
      <w:pPr>
        <w:spacing w:after="0" w:line="174" w:lineRule="exact"/>
        <w:rPr>
          <w:sz w:val="20"/>
          <w:szCs w:val="20"/>
          <w:color w:val="auto"/>
        </w:rPr>
      </w:pPr>
    </w:p>
    <w:p>
      <w:pPr>
        <w:jc w:val="both"/>
        <w:ind w:firstLine="248"/>
        <w:spacing w:after="0" w:line="281" w:lineRule="auto"/>
        <w:rPr>
          <w:sz w:val="20"/>
          <w:szCs w:val="20"/>
          <w:color w:val="auto"/>
        </w:rPr>
      </w:pPr>
      <w:r>
        <w:rPr>
          <w:rFonts w:ascii="Times New Roman" w:cs="Times New Roman" w:eastAsia="Times New Roman" w:hAnsi="Times New Roman"/>
          <w:sz w:val="13"/>
          <w:szCs w:val="13"/>
          <w:color w:val="auto"/>
        </w:rPr>
        <w:t>3.1 Plan Awards made as 102 Trustee Grants shall be made pursuant to either (a) Section 102(b)(2) of the ITO as 102 Capital Gains Track Grants or (b) Section 102(b)(1) of the ITO as 102 Ordinary Income Track Grants. The Company’s Election regarding the type of 102 Trustee Grant it chooses to make shall be filed with the ITA. Once the Company (or its Affiliate) has filed such Election, it may change the type of 102 Trustee Grant that it chooses to make only after the passage of at least 12 months from the end of the calendar year in which the first grant was made in accordance with the previous Election, in accordance with Section 102. For the avoidance of doubt, such Election shall not prevent the Company from granting Non-Trustee Grants to Eligible 102 Participants at any time.</w:t>
      </w:r>
    </w:p>
    <w:p>
      <w:pPr>
        <w:spacing w:after="0" w:line="126" w:lineRule="exact"/>
        <w:rPr>
          <w:sz w:val="20"/>
          <w:szCs w:val="20"/>
          <w:color w:val="auto"/>
        </w:rPr>
      </w:pPr>
    </w:p>
    <w:p>
      <w:pPr>
        <w:jc w:val="both"/>
        <w:ind w:firstLine="248"/>
        <w:spacing w:after="0" w:line="272" w:lineRule="auto"/>
        <w:rPr>
          <w:sz w:val="20"/>
          <w:szCs w:val="20"/>
          <w:color w:val="auto"/>
        </w:rPr>
      </w:pPr>
      <w:r>
        <w:rPr>
          <w:rFonts w:ascii="Times New Roman" w:cs="Times New Roman" w:eastAsia="Times New Roman" w:hAnsi="Times New Roman"/>
          <w:sz w:val="14"/>
          <w:szCs w:val="14"/>
          <w:color w:val="auto"/>
        </w:rPr>
        <w:t>3.2 Eligible 102 Participants may receive only 102 Trustee Grants or Non-Trustee Grants under this Sub-Plan. Participants who are not Eligible 102 Participants may be granted only 3(i) Awards under this Sub-Plan.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16470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58" w:name="page59"/>
    <w:bookmarkEnd w:id="58"/>
    <w:p>
      <w:pPr>
        <w:ind w:firstLine="248"/>
        <w:spacing w:after="0" w:line="272" w:lineRule="auto"/>
        <w:rPr>
          <w:sz w:val="20"/>
          <w:szCs w:val="20"/>
          <w:color w:val="auto"/>
        </w:rPr>
      </w:pPr>
      <w:r>
        <w:rPr>
          <w:rFonts w:ascii="Times New Roman" w:cs="Times New Roman" w:eastAsia="Times New Roman" w:hAnsi="Times New Roman"/>
          <w:sz w:val="14"/>
          <w:szCs w:val="14"/>
          <w:color w:val="auto"/>
        </w:rPr>
        <w:t>3.3 No 102 Trustee Grants may be made effective pursuant to this Sub-Plan until 30 days after the date the requisite filings required by the ITO and the Rules, including the filing of the Plan and Sub-Plan, have been made with the ITA.</w:t>
      </w:r>
    </w:p>
    <w:p>
      <w:pPr>
        <w:spacing w:after="0" w:line="131" w:lineRule="exact"/>
        <w:rPr>
          <w:sz w:val="20"/>
          <w:szCs w:val="20"/>
          <w:color w:val="auto"/>
        </w:rPr>
      </w:pPr>
    </w:p>
    <w:p>
      <w:pPr>
        <w:ind w:firstLine="248"/>
        <w:spacing w:after="0" w:line="272" w:lineRule="auto"/>
        <w:rPr>
          <w:sz w:val="20"/>
          <w:szCs w:val="20"/>
          <w:color w:val="auto"/>
        </w:rPr>
      </w:pPr>
      <w:r>
        <w:rPr>
          <w:rFonts w:ascii="Times New Roman" w:cs="Times New Roman" w:eastAsia="Times New Roman" w:hAnsi="Times New Roman"/>
          <w:sz w:val="14"/>
          <w:szCs w:val="14"/>
          <w:color w:val="auto"/>
        </w:rPr>
        <w:t>3.4 The Award Agreement shall indicate whether the grant is a 102 Trustee Grant, a Non-Trustee Grant or a 3(i) Award; and, if the grant is a 102 Trustee Grant, whether it is a 102 Capital Gains Track Grant or a 102 Ordinary Income Track Grant.</w:t>
      </w:r>
    </w:p>
    <w:p>
      <w:pPr>
        <w:spacing w:after="0" w:line="127" w:lineRule="exact"/>
        <w:rPr>
          <w:sz w:val="20"/>
          <w:szCs w:val="20"/>
          <w:color w:val="auto"/>
        </w:rPr>
      </w:pPr>
    </w:p>
    <w:p>
      <w:pPr>
        <w:ind w:left="140" w:hanging="137"/>
        <w:spacing w:after="0"/>
        <w:tabs>
          <w:tab w:leader="none" w:pos="1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TERMS AND CONDITIONS OF 102 TRUSTEE GRANTS</w:t>
      </w:r>
    </w:p>
    <w:p>
      <w:pPr>
        <w:spacing w:after="0" w:line="174" w:lineRule="exact"/>
        <w:rPr>
          <w:sz w:val="20"/>
          <w:szCs w:val="20"/>
          <w:color w:val="auto"/>
        </w:rPr>
      </w:pPr>
    </w:p>
    <w:p>
      <w:pPr>
        <w:jc w:val="both"/>
        <w:ind w:firstLine="248"/>
        <w:spacing w:after="0" w:line="272" w:lineRule="auto"/>
        <w:rPr>
          <w:sz w:val="20"/>
          <w:szCs w:val="20"/>
          <w:color w:val="auto"/>
        </w:rPr>
      </w:pPr>
      <w:r>
        <w:rPr>
          <w:rFonts w:ascii="Times New Roman" w:cs="Times New Roman" w:eastAsia="Times New Roman" w:hAnsi="Times New Roman"/>
          <w:sz w:val="14"/>
          <w:szCs w:val="14"/>
          <w:color w:val="auto"/>
        </w:rPr>
        <w:t>4.1 Unless determined otherwise by the Committee, each 102 Trustee Grant will be deemed granted on the date approved by the Committee and stated in a written or electronic notice by the Company, provided that the Company and the Trustee have complied with any applicable requirements set forth by the ITA with regard to such grants.</w:t>
      </w:r>
    </w:p>
    <w:p>
      <w:pPr>
        <w:spacing w:after="0" w:line="131" w:lineRule="exact"/>
        <w:rPr>
          <w:sz w:val="20"/>
          <w:szCs w:val="20"/>
          <w:color w:val="auto"/>
        </w:rPr>
      </w:pPr>
    </w:p>
    <w:p>
      <w:pPr>
        <w:jc w:val="both"/>
        <w:ind w:firstLine="248"/>
        <w:spacing w:after="0" w:line="253" w:lineRule="auto"/>
        <w:rPr>
          <w:sz w:val="20"/>
          <w:szCs w:val="20"/>
          <w:color w:val="auto"/>
        </w:rPr>
      </w:pPr>
      <w:r>
        <w:rPr>
          <w:rFonts w:ascii="Times New Roman" w:cs="Times New Roman" w:eastAsia="Times New Roman" w:hAnsi="Times New Roman"/>
          <w:sz w:val="14"/>
          <w:szCs w:val="14"/>
          <w:color w:val="auto"/>
        </w:rPr>
        <w:t>4.2 Each 102 Trustee Grant granted to an Eligible 102 Participant and each certificate for Shares acquired pursuant to a 102 Trustee Grant shall be deposited with a Trustee in compliance with the Deposit Requirements and held in trust by the Trustee (or be subject to a supervisory trustee arrangement if approved by the ITA). After termination of the Required Holding Period, upon request of the Participant, the Trustee may release such Plan Awards and any Shares issued with respect to such Plan Award, provided that (i) the Trustee has received an acknowledgment from the ITA that the Eligible 102 Participant has paid any applicable tax due pursuant to the ITO or (ii) the Trustee and/or the Company or its Affiliate withholds any applicable tax due pursuant to the ITO. The Trustee shall not release any 102 Trustee Grants or shares issued with respect to the 102 Trustee Grants prior to the full payment of the Eligible 102 Participant’s tax liabilities.</w:t>
      </w:r>
    </w:p>
    <w:p>
      <w:pPr>
        <w:spacing w:after="0" w:line="143" w:lineRule="exact"/>
        <w:rPr>
          <w:sz w:val="20"/>
          <w:szCs w:val="20"/>
          <w:color w:val="auto"/>
        </w:rPr>
      </w:pPr>
    </w:p>
    <w:p>
      <w:pPr>
        <w:jc w:val="both"/>
        <w:ind w:firstLine="248"/>
        <w:spacing w:after="0" w:line="273" w:lineRule="auto"/>
        <w:rPr>
          <w:sz w:val="20"/>
          <w:szCs w:val="20"/>
          <w:color w:val="auto"/>
        </w:rPr>
      </w:pPr>
      <w:r>
        <w:rPr>
          <w:rFonts w:ascii="Times New Roman" w:cs="Times New Roman" w:eastAsia="Times New Roman" w:hAnsi="Times New Roman"/>
          <w:sz w:val="13"/>
          <w:szCs w:val="13"/>
          <w:color w:val="auto"/>
        </w:rPr>
        <w:t>4.3 Each 102 Trustee Grant shall be subject to the relevant terms of Section 102 and the ITO, which shall be deemed an integral part of the 102 Trustee Grant and shall prevail over any term contained in the Plan, this Sub-Plan or Award Agreement that is not consistent therewith. Any provision of the ITO and any approvals of the ITA not expressly specified in this Sub-Plan or any document evidencing a Plan Award that are necessary to receive or maintain any tax benefit pursuant to the Section 102 shall be binding on the Eligible 102 Participant. The Trustee and the Eligible 102 Participant granted a 102 Trustee Grant shall comply with the ITO, and the terms and conditions of the Trust Agreement entered into between the Company and the Trustee. For avoidance of doubt, it is reiterated that compliance with the ITO specifically includes compliance with the Rules. Further, the Eligible 102 Participant agrees to execute any and all documents which the Company or the Trustee may reasonably determine to be necessary in order to comply with the provision of any applicable law, and, particularly, Section 102. With respect to 102 Capital Gain Track Grants, to the extent that the Shares are listed on any established stock exchange or a national market system, the provisions of Section 102(b)(3) of the ITO will apply with respect to the Israeli tax rate applicable to such Plan Awards.</w:t>
      </w:r>
    </w:p>
    <w:p>
      <w:pPr>
        <w:spacing w:after="0" w:line="132" w:lineRule="exact"/>
        <w:rPr>
          <w:sz w:val="20"/>
          <w:szCs w:val="20"/>
          <w:color w:val="auto"/>
        </w:rPr>
      </w:pPr>
    </w:p>
    <w:p>
      <w:pPr>
        <w:jc w:val="both"/>
        <w:ind w:firstLine="248"/>
        <w:spacing w:after="0" w:line="250" w:lineRule="auto"/>
        <w:rPr>
          <w:sz w:val="20"/>
          <w:szCs w:val="20"/>
          <w:color w:val="auto"/>
        </w:rPr>
      </w:pPr>
      <w:r>
        <w:rPr>
          <w:rFonts w:ascii="Times New Roman" w:cs="Times New Roman" w:eastAsia="Times New Roman" w:hAnsi="Times New Roman"/>
          <w:sz w:val="14"/>
          <w:szCs w:val="14"/>
          <w:color w:val="auto"/>
        </w:rPr>
        <w:t>4.4 During the Required Holding Period, the Eligible 102 Participant shall not require the Trustee to release or sell the Plan Awards and Shares received subsequently following any realization of rights derived from Plan Awards or Shares (including stock dividends) to the Eligible 102 Participant or to a third party, unless permitted to do so by applicable law. Notwithstanding the foregoing, the Trustee may, pursuant to a written request and subject to applicable law, release and transfer such Shares to a designated third party, provided that both of the following conditions have been fulfilled prior to such transfer: (i) all taxes required to be paid upon the release and transfer of the shares have been withheld for transfer to the tax authorities and (ii) the Trustee has received written confirmation from the Company that all requirements for such release and transfer have been fulfilled according to the terms of the Company’s corporate documents, the Plan, any applicable Award Agreement and applicable law. To avoid doubt, such sale or release during the Required Holding Period will result in different tax ramifications to the Eligible 102 Participant under Section 102 of the ITO and the Rules and/or any other regulations or orders or procedures promulgated thereunder, which shall apply to and shall be borne solely by such Eligible 102 Participant (including tax and mandatory payments otherwise payable by the Company or its Affiliates, which would not apply absent a sale or release during the Required Holding Period).</w:t>
      </w:r>
    </w:p>
    <w:p>
      <w:pPr>
        <w:spacing w:after="0" w:line="146" w:lineRule="exact"/>
        <w:rPr>
          <w:sz w:val="20"/>
          <w:szCs w:val="20"/>
          <w:color w:val="auto"/>
        </w:rPr>
      </w:pPr>
    </w:p>
    <w:p>
      <w:pPr>
        <w:jc w:val="both"/>
        <w:ind w:firstLine="248"/>
        <w:spacing w:after="0" w:line="281" w:lineRule="auto"/>
        <w:rPr>
          <w:sz w:val="20"/>
          <w:szCs w:val="20"/>
          <w:color w:val="auto"/>
        </w:rPr>
      </w:pPr>
      <w:r>
        <w:rPr>
          <w:rFonts w:ascii="Times New Roman" w:cs="Times New Roman" w:eastAsia="Times New Roman" w:hAnsi="Times New Roman"/>
          <w:sz w:val="13"/>
          <w:szCs w:val="13"/>
          <w:color w:val="auto"/>
        </w:rPr>
        <w:t>4.5 In the event a stock dividend is declared and/or additional rights are granted with respect to Shares which derive from Plan Awards granted as 102 Trustee Grants, such dividend and/or rights shall also be subject to the provisions of this Section 4 and the Required Holding Period for such dividend shares and/or rights shall be measured from the commencement of the Required Holding Period for the Plan Award with respect to which the dividend was declared and/or rights granted. In the event of a cash dividend on Shares, the Trustee shall transfer the dividend proceeds to the Eligible 102 Participant in accordance with the Plan after deduction of taxes and mandatory payments in compliance with applicable withholding requirements, and subject to any other requirements imposed by the 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193675</wp:posOffset>
            </wp:positionV>
            <wp:extent cx="7164705"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59" w:name="page60"/>
    <w:bookmarkEnd w:id="59"/>
    <w:p>
      <w:pPr>
        <w:jc w:val="both"/>
        <w:ind w:firstLine="248"/>
        <w:spacing w:after="0" w:line="255" w:lineRule="auto"/>
        <w:rPr>
          <w:sz w:val="20"/>
          <w:szCs w:val="20"/>
          <w:color w:val="auto"/>
        </w:rPr>
      </w:pPr>
      <w:r>
        <w:rPr>
          <w:rFonts w:ascii="Times New Roman" w:cs="Times New Roman" w:eastAsia="Times New Roman" w:hAnsi="Times New Roman"/>
          <w:sz w:val="14"/>
          <w:szCs w:val="14"/>
          <w:color w:val="auto"/>
        </w:rPr>
        <w:t>4.6 If a Plan Award granted as a 102 Trustee Grant is exercised during the Required Holding Period, the Shares issued upon such exercise shall be issued in the name of the Trustee for the benefit of the Eligible 102 Participant (or be subject to a supervisory trustee arrangement if approved by the ITA). If such a Plan Award is exercised or settled after the Required Holding Period ends, the Shares issued upon such exercise or settlement shall, at the election of the Eligible 102 Participant, either (i) be issued in the name of the Trustee (or be subject to a supervisory trustee arrangement if approved by the ITA), or (ii) be transferred to the Eligible 102 Participant directly, provided that the Eligible 102 Participant first complies with all applicable provisions of the Plan and this Sub-Plan.</w:t>
      </w:r>
    </w:p>
    <w:p>
      <w:pPr>
        <w:spacing w:after="0" w:line="142" w:lineRule="exact"/>
        <w:rPr>
          <w:sz w:val="20"/>
          <w:szCs w:val="20"/>
          <w:color w:val="auto"/>
        </w:rPr>
      </w:pPr>
    </w:p>
    <w:p>
      <w:pPr>
        <w:jc w:val="both"/>
        <w:ind w:firstLine="248"/>
        <w:spacing w:after="0" w:line="248" w:lineRule="auto"/>
        <w:rPr>
          <w:sz w:val="20"/>
          <w:szCs w:val="20"/>
          <w:color w:val="auto"/>
        </w:rPr>
      </w:pPr>
      <w:r>
        <w:rPr>
          <w:rFonts w:ascii="Times New Roman" w:cs="Times New Roman" w:eastAsia="Times New Roman" w:hAnsi="Times New Roman"/>
          <w:sz w:val="14"/>
          <w:szCs w:val="14"/>
          <w:color w:val="auto"/>
        </w:rPr>
        <w:t>4.7 To avoid doubt: (i) notwithstanding anything to the contrary in the Plan, payment upon exercise or purchase of Plan Awards granted as a 102 Trustee Grant, may only be paid by cash or check, and not by surrender or withholding of Shares, or by reduction of shares pursuant to a cashless exercise, net exercise or similar arrangement, or other forms of payment, unless and to the extent permitted under Section 102 or as expressly authorized by the ITA; (ii) notwithstanding anything to the contrary in the Plan, certain adjustments and amendments to the terms of Plan Awards granted under the 102 Capital Gains Track, including an exchange program, recapitalization events, dividend and so forth, may disqualify the Options from benefitting from the tax benefits under the 102 Capital Gains Track, unless the prior approval of the ITA is obtained; (iii) notwithstanding anything to the contrary in the Plan, repurchase rights with regard to Plan Awards made as 102 Capital Gains Track Grants shall be subject to compliance with Section 102 requirements and/or the express approval of the ITA; (iv) Stock Appreciation Rights may not be granted under the 102 Capital Gains Track unless and to the extent expressly authorized by the ITA; (v) grants of Restricted Stock Units under the 102 Capital Gains Track may require the prior approval of the ITA; (vi) notwithstanding anything to the contrary in the Plan, amounts equivalent to dividends, distributions or interest may not be settled in shares with respect to Plan Awards granted under 102 Capital Gains Track Awards without the prior approval of the ITA; (vii) Performance Shares may require the approval of the ITA in order to qualify under the 102 Capital Gains Track; (viii) notwithstanding anything to the contrary in the Plan, Plan Awards granted under the 102 Capital Gains Track may only be settled in Shares and not in cash, and Cash Incentives will not qualify under the 102 Capital Gains Track and (ix) notwithstanding anything to the contrary in the Plan, the continuance or substitution of 102 Capital Gains Track Grants upon the merger or consolidation of the Corporation shall be subject to compliance with Section 102 requirements and/or the express approval of the ITA.</w:t>
      </w:r>
    </w:p>
    <w:p>
      <w:pPr>
        <w:spacing w:after="0" w:line="149" w:lineRule="exact"/>
        <w:rPr>
          <w:sz w:val="20"/>
          <w:szCs w:val="20"/>
          <w:color w:val="auto"/>
        </w:rPr>
      </w:pPr>
    </w:p>
    <w:p>
      <w:pPr>
        <w:ind w:left="140" w:hanging="137"/>
        <w:spacing w:after="0"/>
        <w:tabs>
          <w:tab w:leader="none" w:pos="1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ASSIGNABILITY</w:t>
      </w:r>
    </w:p>
    <w:p>
      <w:pPr>
        <w:spacing w:after="0" w:line="1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As long as Plan Awards or Shares are held by the Trustee on behalf of the Eligible 102 Participant, all rights of the Eligible 102 Participant over the Shares are personal, cannot be transferred, assigned, pledged or mortgaged, other than by will or laws of descent and distribution.</w:t>
      </w:r>
    </w:p>
    <w:p>
      <w:pPr>
        <w:spacing w:after="0" w:line="127" w:lineRule="exact"/>
        <w:rPr>
          <w:sz w:val="20"/>
          <w:szCs w:val="20"/>
          <w:color w:val="auto"/>
        </w:rPr>
      </w:pPr>
    </w:p>
    <w:p>
      <w:pPr>
        <w:ind w:left="140" w:hanging="137"/>
        <w:spacing w:after="0"/>
        <w:tabs>
          <w:tab w:leader="none" w:pos="1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TAX CONSEQUENCES</w:t>
      </w:r>
    </w:p>
    <w:p>
      <w:pPr>
        <w:spacing w:after="0" w:line="174" w:lineRule="exact"/>
        <w:rPr>
          <w:sz w:val="20"/>
          <w:szCs w:val="20"/>
          <w:color w:val="auto"/>
        </w:rPr>
      </w:pPr>
    </w:p>
    <w:p>
      <w:pPr>
        <w:jc w:val="both"/>
        <w:ind w:firstLine="248"/>
        <w:spacing w:after="0" w:line="248" w:lineRule="auto"/>
        <w:rPr>
          <w:sz w:val="20"/>
          <w:szCs w:val="20"/>
          <w:color w:val="auto"/>
        </w:rPr>
      </w:pPr>
      <w:r>
        <w:rPr>
          <w:rFonts w:ascii="Times New Roman" w:cs="Times New Roman" w:eastAsia="Times New Roman" w:hAnsi="Times New Roman"/>
          <w:sz w:val="14"/>
          <w:szCs w:val="14"/>
          <w:color w:val="auto"/>
        </w:rPr>
        <w:t>6.1 Any tax consequences arising from the grant or settlement of any Plan Award, the exercise of any Option, the issuance, sale or transfer and payment for the Shares covered thereby, or from any other event or act (of the Company and/or its Affiliates and/or the Trustee and/or the Participant) relating to a Plan Award or Shares issued thereupon shall be borne solely by the Participant. The Company and/or its Affiliates, and/or the Trustee shall withhold taxes according to the requirements under the applicable laws, rules, and regulations, including withholding taxes at source. Furthermore, the Participant shall agree to indemnify the Company and/or its Affiliates and/or the Trustee and hold them harmless against and from any and all liability for any such tax or interest or penalty thereon, including without limitation, liabilities relating to the necessity to withhold, or to have withheld, any such tax from any payment made to the Participant. The Company or any of its Affiliates, and the Trustee may make such provisions and take such steps as it/they may deem necessary or appropriate for the withholding of all taxes required by law to be withheld with respect to a Plan Award granted under the Plan and the exercise, sale, transfer or other disposition thereof, including, but not limited, to (i) deducting the amount so required to be withheld from any other amount then or thereafter payable to a Participant, including by deducting any such amount from a Participant’s salary or other amounts payable to the Participant, to the maximum extent permitted under law; and/or (ii) requiring a Participant to pay to the Company or any of its Affiliates the amount so required to be withheld; and/or (iii) withholding otherwise deliverable Shares having a Fair Market Value equal to the minimum amount statutorily required to be withheld; and/or (iv) selling a sufficient number of such Shares otherwise deliverable to a Participant through such means as the Company may determine in its sole discretion (whether through a broker or otherwise) equal to the amount required to be withheld either through a voluntary sale or through a mandatory sale arranged by the Company (on the Participant’s behalf pursuant to the Participant’s authorization as expressed by acceptance of the Plan Award under the terms herein), to the extent permitted by applicable law or pursuant to the approval of the ITA. In addition, the Participant will be required to pay any amount (including penalties) that exceeds the tax to be withheld and transferred to the tax authorities, pursuant to applicable tax laws, regulations and rules.</w:t>
      </w:r>
    </w:p>
    <w:p>
      <w:pPr>
        <w:spacing w:after="0" w:line="151" w:lineRule="exact"/>
        <w:rPr>
          <w:sz w:val="20"/>
          <w:szCs w:val="20"/>
          <w:color w:val="auto"/>
        </w:rPr>
      </w:pPr>
    </w:p>
    <w:p>
      <w:pPr>
        <w:jc w:val="both"/>
        <w:ind w:firstLine="248"/>
        <w:spacing w:after="0" w:line="255" w:lineRule="auto"/>
        <w:rPr>
          <w:sz w:val="20"/>
          <w:szCs w:val="20"/>
          <w:color w:val="auto"/>
        </w:rPr>
      </w:pPr>
      <w:r>
        <w:rPr>
          <w:rFonts w:ascii="Times New Roman" w:cs="Times New Roman" w:eastAsia="Times New Roman" w:hAnsi="Times New Roman"/>
          <w:sz w:val="14"/>
          <w:szCs w:val="14"/>
          <w:color w:val="auto"/>
        </w:rPr>
        <w:t>6.2 The Company does not represent or undertake that a Plan Award will qualify for or comply with the requisites of any particular tax treatment (such as the 102 Capital Gains Track), nor shall the Company, its assignees or successors be required to take any action for the qualification of any Plan Award under such tax treatment. The Company shall have no liability of any kind or nature in the event that, as a result of application of applicable law, actions by the Trustee or any position or interpretation of the ITA, or for any other reason whatsoever, a Plan Award shall be deemed to not qualify for any particular tax treatment.</w:t>
      </w:r>
    </w:p>
    <w:p>
      <w:pPr>
        <w:spacing w:after="0" w:line="142" w:lineRule="exact"/>
        <w:rPr>
          <w:sz w:val="20"/>
          <w:szCs w:val="20"/>
          <w:color w:val="auto"/>
        </w:rPr>
      </w:pPr>
    </w:p>
    <w:p>
      <w:pPr>
        <w:jc w:val="both"/>
        <w:ind w:firstLine="248"/>
        <w:spacing w:after="0" w:line="312" w:lineRule="auto"/>
        <w:rPr>
          <w:sz w:val="20"/>
          <w:szCs w:val="20"/>
          <w:color w:val="auto"/>
        </w:rPr>
      </w:pPr>
      <w:r>
        <w:rPr>
          <w:rFonts w:ascii="Times New Roman" w:cs="Times New Roman" w:eastAsia="Times New Roman" w:hAnsi="Times New Roman"/>
          <w:sz w:val="13"/>
          <w:szCs w:val="13"/>
          <w:color w:val="auto"/>
        </w:rPr>
        <w:t>6.3 With respect to Non-Trustee Grants, if the Eligible 102 Participant ceases to be employed by the Company or any Affiliate, the Eligible 102 Participant shall extend to the Company and/or its Affiliate a security or guarantee for the payment of tax due at the time of sale of Shares to the satisfaction of the Company, all in accordance with the provisions of Section 102 of the ITO and the Rules.</w:t>
      </w:r>
    </w:p>
    <w:p>
      <w:pPr>
        <w:spacing w:after="0" w:line="103" w:lineRule="exact"/>
        <w:rPr>
          <w:sz w:val="20"/>
          <w:szCs w:val="20"/>
          <w:color w:val="auto"/>
        </w:rPr>
      </w:pPr>
    </w:p>
    <w:p>
      <w:pPr>
        <w:ind w:left="140" w:hanging="137"/>
        <w:spacing w:after="0"/>
        <w:tabs>
          <w:tab w:leader="none" w:pos="1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SECURITIES LAWS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All Plan Awards hereunder shall be subject to compliance with the Israeli Securities Law, 1968,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9533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1695" cy="9533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88112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1695" cy="88112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1."/>
      <w:numFmt w:val="decimal"/>
      <w:start w:val="1"/>
    </w:lvl>
  </w:abstractNum>
  <w:abstractNum w:abstractNumId="4">
    <w:nsid w:val="5072367"/>
    <w:multiLevelType w:val="hybridMultilevel"/>
    <w:lvl w:ilvl="0">
      <w:lvlJc w:val="left"/>
      <w:lvlText w:val="%1."/>
      <w:numFmt w:val="lowerRoman"/>
      <w:start w:val="1"/>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1)"/>
      <w:numFmt w:val="decimal"/>
      <w:start w:val="1"/>
    </w:lvl>
  </w:abstractNum>
  <w:abstractNum w:abstractNumId="7">
    <w:nsid w:val="7724C67E"/>
    <w:multiLevelType w:val="hybridMultilevel"/>
    <w:lvl w:ilvl="0">
      <w:lvlJc w:val="left"/>
      <w:lvlText w:val="(%1)"/>
      <w:numFmt w:val="decimal"/>
      <w:start w:val="1"/>
    </w:lvl>
  </w:abstractNum>
  <w:abstractNum w:abstractNumId="8">
    <w:nsid w:val="5C482A97"/>
    <w:multiLevelType w:val="hybridMultilevel"/>
    <w:lvl w:ilvl="0">
      <w:lvlJc w:val="left"/>
      <w:lvlText w:val="(%1)"/>
      <w:numFmt w:val="decimal"/>
      <w:start w:val="1"/>
    </w:lvl>
  </w:abstractNum>
  <w:abstractNum w:abstractNumId="9">
    <w:nsid w:val="2463B9EA"/>
    <w:multiLevelType w:val="hybridMultilevel"/>
    <w:lvl w:ilvl="0">
      <w:lvlJc w:val="left"/>
      <w:lvlText w:val="(%1)"/>
      <w:numFmt w:val="decimal"/>
      <w:start w:val="1"/>
    </w:lvl>
  </w:abstractNum>
  <w:abstractNum w:abstractNumId="10">
    <w:nsid w:val="5E884ADC"/>
    <w:multiLevelType w:val="hybridMultilevel"/>
    <w:lvl w:ilvl="0">
      <w:lvlJc w:val="left"/>
      <w:lvlText w:val="(%1)"/>
      <w:numFmt w:val="decimal"/>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1)"/>
      <w:numFmt w:val="decimal"/>
      <w:start w:val="1"/>
    </w:lvl>
  </w:abstractNum>
  <w:abstractNum w:abstractNumId="14">
    <w:nsid w:val="153EA438"/>
    <w:multiLevelType w:val="hybridMultilevel"/>
    <w:lvl w:ilvl="0">
      <w:lvlJc w:val="left"/>
      <w:lvlText w:val="(%1)"/>
      <w:numFmt w:val="decimal"/>
      <w:start w:val="781"/>
    </w:lvl>
  </w:abstractNum>
  <w:abstractNum w:abstractNumId="15">
    <w:nsid w:val="3855585C"/>
    <w:multiLevelType w:val="hybridMultilevel"/>
    <w:lvl w:ilvl="0">
      <w:lvlJc w:val="left"/>
      <w:lvlText w:val="(%1)"/>
      <w:numFmt w:val="lowerLetter"/>
      <w:start w:val="1"/>
    </w:lvl>
  </w:abstractNum>
  <w:abstractNum w:abstractNumId="16">
    <w:nsid w:val="70A64E2A"/>
    <w:multiLevelType w:val="hybridMultilevel"/>
    <w:lvl w:ilvl="0">
      <w:lvlJc w:val="left"/>
      <w:lvlText w:val="(%1)"/>
      <w:numFmt w:val="lowerLetter"/>
      <w:start w:val="7"/>
    </w:lvl>
    <w:lvl w:ilvl="1">
      <w:lvlJc w:val="left"/>
      <w:lvlText w:val="(%2)"/>
      <w:numFmt w:val="lowerRoman"/>
      <w:start w:val="1"/>
    </w:lvl>
  </w:abstractNum>
  <w:abstractNum w:abstractNumId="17">
    <w:nsid w:val="6A2342EC"/>
    <w:multiLevelType w:val="hybridMultilevel"/>
    <w:lvl w:ilvl="0">
      <w:lvlJc w:val="left"/>
      <w:lvlText w:val="(%1)"/>
      <w:numFmt w:val="lowerLetter"/>
      <w:start w:val="8"/>
    </w:lvl>
  </w:abstractNum>
  <w:abstractNum w:abstractNumId="18">
    <w:nsid w:val="2A487CB0"/>
    <w:multiLevelType w:val="hybridMultilevel"/>
    <w:lvl w:ilvl="0">
      <w:lvlJc w:val="left"/>
      <w:lvlText w:val="(%1)"/>
      <w:numFmt w:val="lowerLetter"/>
      <w:start w:val="14"/>
    </w:lvl>
    <w:lvl w:ilvl="1">
      <w:lvlJc w:val="left"/>
      <w:lvlText w:val="(%2)"/>
      <w:numFmt w:val="lowerRoman"/>
      <w:start w:val="1"/>
    </w:lvl>
  </w:abstractNum>
  <w:abstractNum w:abstractNumId="19">
    <w:nsid w:val="1D4ED43B"/>
    <w:multiLevelType w:val="hybridMultilevel"/>
    <w:lvl w:ilvl="0">
      <w:lvlJc w:val="left"/>
      <w:lvlText w:val="(%1)"/>
      <w:numFmt w:val="lowerLetter"/>
      <w:start w:val="27"/>
    </w:lvl>
  </w:abstractNum>
  <w:abstractNum w:abstractNumId="20">
    <w:nsid w:val="725A06FB"/>
    <w:multiLevelType w:val="hybridMultilevel"/>
    <w:lvl w:ilvl="0">
      <w:lvlJc w:val="left"/>
      <w:lvlText w:val="(%1)"/>
      <w:numFmt w:val="lowerLetter"/>
      <w:start w:val="1"/>
    </w:lvl>
    <w:lvl w:ilvl="1">
      <w:lvlJc w:val="left"/>
      <w:lvlText w:val="(%2)"/>
      <w:numFmt w:val="lowerRoman"/>
      <w:start w:val="1"/>
    </w:lvl>
  </w:abstractNum>
  <w:abstractNum w:abstractNumId="21">
    <w:nsid w:val="2CD89A32"/>
    <w:multiLevelType w:val="hybridMultilevel"/>
    <w:lvl w:ilvl="0">
      <w:lvlJc w:val="left"/>
      <w:lvlText w:val="%1"/>
      <w:numFmt w:val="lowerLetter"/>
      <w:start w:val="1"/>
    </w:lvl>
    <w:lvl w:ilvl="1">
      <w:lvlJc w:val="left"/>
      <w:lvlText w:val="(%2)"/>
      <w:numFmt w:val="lowerRoman"/>
      <w:start w:val="5"/>
    </w:lvl>
  </w:abstractNum>
  <w:abstractNum w:abstractNumId="22">
    <w:nsid w:val="57E4CCAF"/>
    <w:multiLevelType w:val="hybridMultilevel"/>
    <w:lvl w:ilvl="0">
      <w:lvlJc w:val="left"/>
      <w:lvlText w:val="(%1)"/>
      <w:numFmt w:val="lowerLetter"/>
      <w:start w:val="5"/>
    </w:lvl>
    <w:lvl w:ilvl="1">
      <w:lvlJc w:val="left"/>
      <w:lvlText w:val="%2"/>
      <w:numFmt w:val="lowerRoman"/>
      <w:start w:val="1"/>
    </w:lvl>
  </w:abstractNum>
  <w:abstractNum w:abstractNumId="23">
    <w:nsid w:val="7A6D8D3C"/>
    <w:multiLevelType w:val="hybridMultilevel"/>
    <w:lvl w:ilvl="0">
      <w:lvlJc w:val="left"/>
      <w:lvlText w:val="(%1)"/>
      <w:numFmt w:val="lowerLetter"/>
      <w:start w:val="8"/>
    </w:lvl>
  </w:abstractNum>
  <w:abstractNum w:abstractNumId="24">
    <w:nsid w:val="4B588F54"/>
    <w:multiLevelType w:val="hybridMultilevel"/>
    <w:lvl w:ilvl="0">
      <w:lvlJc w:val="left"/>
      <w:lvlText w:val="(%1)"/>
      <w:numFmt w:val="lowerLetter"/>
      <w:start w:val="1"/>
    </w:lvl>
  </w:abstractNum>
  <w:abstractNum w:abstractNumId="25">
    <w:nsid w:val="542289EC"/>
    <w:multiLevelType w:val="hybridMultilevel"/>
    <w:lvl w:ilvl="0">
      <w:lvlJc w:val="left"/>
      <w:lvlText w:val="(%1)"/>
      <w:numFmt w:val="lowerLetter"/>
      <w:start w:val="1"/>
    </w:lvl>
  </w:abstractNum>
  <w:abstractNum w:abstractNumId="26">
    <w:nsid w:val="6DE91B18"/>
    <w:multiLevelType w:val="hybridMultilevel"/>
    <w:lvl w:ilvl="0">
      <w:lvlJc w:val="left"/>
      <w:lvlText w:val="(%1)"/>
      <w:numFmt w:val="lowerLetter"/>
      <w:start w:val="2"/>
    </w:lvl>
  </w:abstractNum>
  <w:abstractNum w:abstractNumId="27">
    <w:nsid w:val="38437FDB"/>
    <w:multiLevelType w:val="hybridMultilevel"/>
    <w:lvl w:ilvl="0">
      <w:lvlJc w:val="left"/>
      <w:lvlText w:val="(%1)"/>
      <w:numFmt w:val="lowerLetter"/>
      <w:start w:val="1"/>
    </w:lvl>
    <w:lvl w:ilvl="1">
      <w:lvlJc w:val="left"/>
      <w:lvlText w:val="(%2)"/>
      <w:numFmt w:val="lowerLetter"/>
      <w:start w:val="9"/>
    </w:lvl>
  </w:abstractNum>
  <w:abstractNum w:abstractNumId="28">
    <w:nsid w:val="7644A45C"/>
    <w:multiLevelType w:val="hybridMultilevel"/>
    <w:lvl w:ilvl="0">
      <w:lvlJc w:val="left"/>
      <w:lvlText w:val="%1"/>
      <w:numFmt w:val="lowerLetter"/>
      <w:start w:val="1"/>
    </w:lvl>
    <w:lvl w:ilvl="1">
      <w:lvlJc w:val="left"/>
      <w:lvlText w:val="(%2)"/>
      <w:numFmt w:val="lowerRoman"/>
      <w:start w:val="2"/>
    </w:lvl>
  </w:abstractNum>
  <w:abstractNum w:abstractNumId="29">
    <w:nsid w:val="32FFF902"/>
    <w:multiLevelType w:val="hybridMultilevel"/>
    <w:lvl w:ilvl="0">
      <w:lvlJc w:val="left"/>
      <w:lvlText w:val="(%1)"/>
      <w:numFmt w:val="lowerLetter"/>
      <w:start w:val="2"/>
    </w:lvl>
    <w:lvl w:ilvl="1">
      <w:lvlJc w:val="left"/>
      <w:lvlText w:val="%2"/>
      <w:numFmt w:val="lowerRoman"/>
      <w:start w:val="1"/>
    </w:lvl>
  </w:abstractNum>
  <w:abstractNum w:abstractNumId="30">
    <w:nsid w:val="684A481A"/>
    <w:multiLevelType w:val="hybridMultilevel"/>
    <w:lvl w:ilvl="0">
      <w:lvlJc w:val="left"/>
      <w:lvlText w:val="%1"/>
      <w:numFmt w:val="lowerRoman"/>
      <w:start w:val="1"/>
    </w:lvl>
    <w:lvl w:ilvl="1">
      <w:lvlJc w:val="left"/>
      <w:lvlText w:val="(%2)"/>
      <w:numFmt w:val="lowerLetter"/>
      <w:start w:val="7"/>
    </w:lvl>
  </w:abstractNum>
  <w:abstractNum w:abstractNumId="31">
    <w:nsid w:val="579478FE"/>
    <w:multiLevelType w:val="hybridMultilevel"/>
    <w:lvl w:ilvl="0">
      <w:lvlJc w:val="left"/>
      <w:lvlText w:val="(%1)"/>
      <w:numFmt w:val="lowerRoman"/>
      <w:start w:val="6"/>
    </w:lvl>
    <w:lvl w:ilvl="1">
      <w:lvlJc w:val="left"/>
      <w:lvlText w:val="(%2)"/>
      <w:numFmt w:val="lowerLetter"/>
      <w:start w:val="8"/>
    </w:lvl>
  </w:abstractNum>
  <w:abstractNum w:abstractNumId="32">
    <w:nsid w:val="749ABB43"/>
    <w:multiLevelType w:val="hybridMultilevel"/>
    <w:lvl w:ilvl="0">
      <w:lvlJc w:val="left"/>
      <w:lvlText w:val="(%1)"/>
      <w:numFmt w:val="lowerLetter"/>
      <w:start w:val="1"/>
    </w:lvl>
    <w:lvl w:ilvl="1">
      <w:lvlJc w:val="left"/>
      <w:lvlText w:val="(%2)"/>
      <w:numFmt w:val="lowerRoman"/>
      <w:start w:val="1"/>
    </w:lvl>
  </w:abstractNum>
  <w:abstractNum w:abstractNumId="33">
    <w:nsid w:val="3DC240FB"/>
    <w:multiLevelType w:val="hybridMultilevel"/>
    <w:lvl w:ilvl="0">
      <w:lvlJc w:val="left"/>
      <w:lvlText w:val="%1"/>
      <w:numFmt w:val="lowerLetter"/>
      <w:start w:val="1"/>
    </w:lvl>
    <w:lvl w:ilvl="1">
      <w:lvlJc w:val="left"/>
      <w:lvlText w:val="(%2)"/>
      <w:numFmt w:val="lowerLetter"/>
      <w:start w:val="61"/>
    </w:lvl>
  </w:abstractNum>
  <w:abstractNum w:abstractNumId="34">
    <w:nsid w:val="1BA026FA"/>
    <w:multiLevelType w:val="hybridMultilevel"/>
    <w:lvl w:ilvl="0">
      <w:lvlJc w:val="left"/>
      <w:lvlText w:val="(%1)"/>
      <w:numFmt w:val="lowerLetter"/>
      <w:start w:val="2"/>
    </w:lvl>
    <w:lvl w:ilvl="1">
      <w:lvlJc w:val="left"/>
      <w:lvlText w:val="(%2)"/>
      <w:numFmt w:val="lowerLetter"/>
      <w:start w:val="9"/>
    </w:lvl>
  </w:abstractNum>
  <w:abstractNum w:abstractNumId="35">
    <w:nsid w:val="79A1DEAA"/>
    <w:multiLevelType w:val="hybridMultilevel"/>
    <w:lvl w:ilvl="0">
      <w:lvlJc w:val="left"/>
      <w:lvlText w:val="%1"/>
      <w:numFmt w:val="lowerLetter"/>
      <w:start w:val="1"/>
    </w:lvl>
    <w:lvl w:ilvl="1">
      <w:lvlJc w:val="left"/>
      <w:lvlText w:val="(%2)"/>
      <w:numFmt w:val="lowerRoman"/>
      <w:start w:val="2"/>
    </w:lvl>
  </w:abstractNum>
  <w:abstractNum w:abstractNumId="36">
    <w:nsid w:val="75C6C33A"/>
    <w:multiLevelType w:val="hybridMultilevel"/>
    <w:lvl w:ilvl="0">
      <w:lvlJc w:val="left"/>
      <w:lvlText w:val="(%1)"/>
      <w:numFmt w:val="lowerLetter"/>
      <w:start w:val="3"/>
    </w:lvl>
    <w:lvl w:ilvl="1">
      <w:lvlJc w:val="left"/>
      <w:lvlText w:val="%2"/>
      <w:numFmt w:val="lowerRoman"/>
      <w:start w:val="1"/>
    </w:lvl>
  </w:abstractNum>
  <w:abstractNum w:abstractNumId="37">
    <w:nsid w:val="12E685FB"/>
    <w:multiLevelType w:val="hybridMultilevel"/>
    <w:lvl w:ilvl="0">
      <w:lvlJc w:val="left"/>
      <w:lvlText w:val="(%1)"/>
      <w:numFmt w:val="lowerLetter"/>
      <w:start w:val="1"/>
    </w:lvl>
  </w:abstractNum>
  <w:abstractNum w:abstractNumId="38">
    <w:nsid w:val="70C6A529"/>
    <w:multiLevelType w:val="hybridMultilevel"/>
    <w:lvl w:ilvl="0">
      <w:lvlJc w:val="left"/>
      <w:lvlText w:val="%1"/>
      <w:numFmt w:val="lowerLetter"/>
      <w:start w:val="1"/>
    </w:lvl>
    <w:lvl w:ilvl="1">
      <w:lvlJc w:val="left"/>
      <w:lvlText w:val="(%2)"/>
      <w:numFmt w:val="lowerLetter"/>
      <w:start w:val="2"/>
    </w:lvl>
  </w:abstractNum>
  <w:abstractNum w:abstractNumId="39">
    <w:nsid w:val="520EEDD1"/>
    <w:multiLevelType w:val="hybridMultilevel"/>
    <w:lvl w:ilvl="0">
      <w:lvlJc w:val="left"/>
      <w:lvlText w:val="(%1)"/>
      <w:numFmt w:val="lowerLetter"/>
      <w:start w:val="35"/>
    </w:lvl>
    <w:lvl w:ilvl="1">
      <w:lvlJc w:val="left"/>
      <w:lvlText w:val="(%2)"/>
      <w:numFmt w:val="lowerLetter"/>
      <w:start w:val="4"/>
    </w:lvl>
  </w:abstractNum>
  <w:abstractNum w:abstractNumId="40">
    <w:nsid w:val="374A3FE6"/>
    <w:multiLevelType w:val="hybridMultilevel"/>
    <w:lvl w:ilvl="0">
      <w:lvlJc w:val="left"/>
      <w:lvlText w:val="(%1)"/>
      <w:numFmt w:val="lowerLetter"/>
      <w:start w:val="1"/>
    </w:lvl>
  </w:abstractNum>
  <w:abstractNum w:abstractNumId="41">
    <w:nsid w:val="4F4EF005"/>
    <w:multiLevelType w:val="hybridMultilevel"/>
    <w:lvl w:ilvl="0">
      <w:lvlJc w:val="left"/>
      <w:lvlText w:val="(%1)"/>
      <w:numFmt w:val="lowerLetter"/>
      <w:start w:val="1"/>
    </w:lvl>
  </w:abstractNum>
  <w:abstractNum w:abstractNumId="42">
    <w:nsid w:val="23F9C13C"/>
    <w:multiLevelType w:val="hybridMultilevel"/>
    <w:lvl w:ilvl="0">
      <w:lvlJc w:val="left"/>
      <w:lvlText w:val="(%1)"/>
      <w:numFmt w:val="lowerLetter"/>
      <w:start w:val="1"/>
    </w:lvl>
  </w:abstractNum>
  <w:abstractNum w:abstractNumId="43">
    <w:nsid w:val="649BB77C"/>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44">
    <w:nsid w:val="275AC794"/>
    <w:multiLevelType w:val="hybridMultilevel"/>
    <w:lvl w:ilvl="0">
      <w:lvlJc w:val="left"/>
      <w:lvlText w:val="(%1)"/>
      <w:numFmt w:val="lowerLetter"/>
      <w:start w:val="3"/>
    </w:lvl>
  </w:abstractNum>
  <w:abstractNum w:abstractNumId="45">
    <w:nsid w:val="39386575"/>
    <w:multiLevelType w:val="hybridMultilevel"/>
    <w:lvl w:ilvl="0">
      <w:lvlJc w:val="left"/>
      <w:lvlText w:val="(%1)"/>
      <w:numFmt w:val="lowerLetter"/>
      <w:start w:val="1"/>
    </w:lvl>
  </w:abstractNum>
  <w:abstractNum w:abstractNumId="46">
    <w:nsid w:val="1CF10FD8"/>
    <w:multiLevelType w:val="hybridMultilevel"/>
    <w:lvl w:ilvl="0">
      <w:lvlJc w:val="left"/>
      <w:lvlText w:val="(%1)"/>
      <w:numFmt w:val="lowerLetter"/>
      <w:start w:val="9"/>
    </w:lvl>
    <w:lvl w:ilvl="1">
      <w:lvlJc w:val="left"/>
      <w:lvlText w:val="(%2)"/>
      <w:numFmt w:val="lowerRoman"/>
      <w:start w:val="1"/>
    </w:lvl>
  </w:abstractNum>
  <w:abstractNum w:abstractNumId="47">
    <w:nsid w:val="180115BE"/>
    <w:multiLevelType w:val="hybridMultilevel"/>
    <w:lvl w:ilvl="0">
      <w:lvlJc w:val="left"/>
      <w:lvlText w:val="(%1)"/>
      <w:numFmt w:val="lowerLetter"/>
      <w:start w:val="14"/>
    </w:lvl>
    <w:lvl w:ilvl="1">
      <w:lvlJc w:val="left"/>
      <w:lvlText w:val="(%2)"/>
      <w:numFmt w:val="lowerRoman"/>
      <w:start w:val="1"/>
    </w:lvl>
    <w:lvl w:ilvl="2">
      <w:lvlJc w:val="left"/>
      <w:lvlText w:val="(%3)"/>
      <w:numFmt w:val="lowerLetter"/>
      <w:start w:val="1"/>
    </w:lvl>
  </w:abstractNum>
  <w:abstractNum w:abstractNumId="48">
    <w:nsid w:val="235BA861"/>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
    </w:lvl>
  </w:abstractNum>
  <w:abstractNum w:abstractNumId="49">
    <w:nsid w:val="47398C89"/>
    <w:multiLevelType w:val="hybridMultilevel"/>
    <w:lvl w:ilvl="0">
      <w:lvlJc w:val="left"/>
      <w:lvlText w:val="%1"/>
      <w:numFmt w:val="lowerLetter"/>
      <w:start w:val="1"/>
    </w:lvl>
    <w:lvl w:ilvl="1">
      <w:lvlJc w:val="left"/>
      <w:lvlText w:val="(%2)"/>
      <w:numFmt w:val="lowerRoman"/>
      <w:start w:val="5"/>
    </w:lvl>
    <w:lvl w:ilvl="2">
      <w:lvlJc w:val="left"/>
      <w:lvlText w:val="%3"/>
      <w:numFmt w:val="lowerLetter"/>
      <w:start w:val="1"/>
    </w:lvl>
  </w:abstractNum>
  <w:abstractNum w:abstractNumId="50">
    <w:nsid w:val="354FE9F9"/>
    <w:multiLevelType w:val="hybridMultilevel"/>
    <w:lvl w:ilvl="0">
      <w:lvlJc w:val="left"/>
      <w:lvlText w:val="(%1)"/>
      <w:numFmt w:val="lowerLetter"/>
      <w:start w:val="18"/>
    </w:lvl>
    <w:lvl w:ilvl="1">
      <w:lvlJc w:val="left"/>
      <w:lvlText w:val="%2"/>
      <w:numFmt w:val="lowerRoman"/>
      <w:start w:val="1"/>
    </w:lvl>
    <w:lvl w:ilvl="2">
      <w:lvlJc w:val="left"/>
      <w:lvlText w:val="%3"/>
      <w:numFmt w:val="lowerLetter"/>
      <w:start w:val="1"/>
    </w:lvl>
  </w:abstractNum>
  <w:abstractNum w:abstractNumId="51">
    <w:nsid w:val="15B5AF5C"/>
    <w:multiLevelType w:val="hybridMultilevel"/>
    <w:lvl w:ilvl="0">
      <w:lvlJc w:val="left"/>
      <w:lvlText w:val="(%1)"/>
      <w:numFmt w:val="lowerLetter"/>
      <w:start w:val="19"/>
    </w:lvl>
  </w:abstractNum>
  <w:abstractNum w:abstractNumId="52">
    <w:nsid w:val="741226BB"/>
    <w:multiLevelType w:val="hybridMultilevel"/>
    <w:lvl w:ilvl="0">
      <w:lvlJc w:val="left"/>
      <w:lvlText w:val="(%1)"/>
      <w:numFmt w:val="lowerRoman"/>
      <w:start w:val="5"/>
    </w:lvl>
    <w:lvl w:ilvl="1">
      <w:lvlJc w:val="left"/>
      <w:lvlText w:val="(%2)"/>
      <w:numFmt w:val="lowerRoman"/>
      <w:start w:val="1"/>
    </w:lvl>
  </w:abstractNum>
  <w:abstractNum w:abstractNumId="53">
    <w:nsid w:val="D34B6A8"/>
    <w:multiLevelType w:val="hybridMultilevel"/>
    <w:lvl w:ilvl="0">
      <w:lvlJc w:val="left"/>
      <w:lvlText w:val="(%1)"/>
      <w:numFmt w:val="lowerLetter"/>
      <w:start w:val="23"/>
    </w:lvl>
  </w:abstractNum>
  <w:abstractNum w:abstractNumId="54">
    <w:nsid w:val="10233C99"/>
    <w:multiLevelType w:val="hybridMultilevel"/>
    <w:lvl w:ilvl="0">
      <w:lvlJc w:val="left"/>
      <w:lvlText w:val="(%1)"/>
      <w:numFmt w:val="lowerLetter"/>
      <w:start w:val="26"/>
    </w:lvl>
  </w:abstractNum>
  <w:abstractNum w:abstractNumId="55">
    <w:nsid w:val="3F6AB60F"/>
    <w:multiLevelType w:val="hybridMultilevel"/>
    <w:lvl w:ilvl="0">
      <w:lvlJc w:val="left"/>
      <w:lvlText w:val="(%1)"/>
      <w:numFmt w:val="lowerLetter"/>
      <w:start w:val="27"/>
    </w:lvl>
  </w:abstractNum>
  <w:abstractNum w:abstractNumId="56">
    <w:nsid w:val="61574095"/>
    <w:multiLevelType w:val="hybridMultilevel"/>
    <w:lvl w:ilvl="0">
      <w:lvlJc w:val="left"/>
      <w:lvlText w:val="(%1)"/>
      <w:numFmt w:val="lowerLetter"/>
      <w:start w:val="1"/>
    </w:lvl>
    <w:lvl w:ilvl="1">
      <w:lvlJc w:val="left"/>
      <w:lvlText w:val="(%2)"/>
      <w:numFmt w:val="lowerRoman"/>
      <w:start w:val="1"/>
    </w:lvl>
  </w:abstractNum>
  <w:abstractNum w:abstractNumId="57">
    <w:nsid w:val="7E0C57B1"/>
    <w:multiLevelType w:val="hybridMultilevel"/>
    <w:lvl w:ilvl="0">
      <w:lvlJc w:val="left"/>
      <w:lvlText w:val="(%1)"/>
      <w:numFmt w:val="lowerLetter"/>
      <w:start w:val="1"/>
    </w:lvl>
  </w:abstractNum>
  <w:abstractNum w:abstractNumId="58">
    <w:nsid w:val="77AE35EB"/>
    <w:multiLevelType w:val="hybridMultilevel"/>
    <w:lvl w:ilvl="0">
      <w:lvlJc w:val="left"/>
      <w:lvlText w:val="(%1)"/>
      <w:numFmt w:val="lowerLetter"/>
      <w:start w:val="1"/>
    </w:lvl>
  </w:abstractNum>
  <w:abstractNum w:abstractNumId="59">
    <w:nsid w:val="579BE4F1"/>
    <w:multiLevelType w:val="hybridMultilevel"/>
    <w:lvl w:ilvl="0">
      <w:lvlJc w:val="left"/>
      <w:lvlText w:val="(%1)"/>
      <w:numFmt w:val="lowerLetter"/>
      <w:start w:val="1"/>
    </w:lvl>
    <w:lvl w:ilvl="1">
      <w:lvlJc w:val="left"/>
      <w:lvlText w:val="(%2)"/>
      <w:numFmt w:val="lowerRoman"/>
      <w:start w:val="1"/>
    </w:lvl>
  </w:abstractNum>
  <w:abstractNum w:abstractNumId="60">
    <w:nsid w:val="310C50B3"/>
    <w:multiLevelType w:val="hybridMultilevel"/>
    <w:lvl w:ilvl="0">
      <w:lvlJc w:val="left"/>
      <w:lvlText w:val="%1."/>
      <w:numFmt w:val="decimal"/>
      <w:start w:val="1"/>
    </w:lvl>
  </w:abstractNum>
  <w:abstractNum w:abstractNumId="61">
    <w:nsid w:val="5FF87E05"/>
    <w:multiLevelType w:val="hybridMultilevel"/>
    <w:lvl w:ilvl="0">
      <w:lvlJc w:val="left"/>
      <w:lvlText w:val="%1."/>
      <w:numFmt w:val="decimal"/>
      <w:start w:val="2"/>
    </w:lvl>
  </w:abstractNum>
  <w:abstractNum w:abstractNumId="62">
    <w:nsid w:val="2F305DEF"/>
    <w:multiLevelType w:val="hybridMultilevel"/>
    <w:lvl w:ilvl="0">
      <w:lvlJc w:val="left"/>
      <w:lvlText w:val="%1."/>
      <w:numFmt w:val="decimal"/>
      <w:start w:val="3"/>
    </w:lvl>
  </w:abstractNum>
  <w:abstractNum w:abstractNumId="63">
    <w:nsid w:val="25A70BF7"/>
    <w:multiLevelType w:val="hybridMultilevel"/>
    <w:lvl w:ilvl="0">
      <w:lvlJc w:val="left"/>
      <w:lvlText w:val="%1."/>
      <w:numFmt w:val="decimal"/>
      <w:start w:val="4"/>
    </w:lvl>
  </w:abstractNum>
  <w:abstractNum w:abstractNumId="64">
    <w:nsid w:val="1DBABF00"/>
    <w:multiLevelType w:val="hybridMultilevel"/>
    <w:lvl w:ilvl="0">
      <w:lvlJc w:val="left"/>
      <w:lvlText w:val="%1."/>
      <w:numFmt w:val="decimal"/>
      <w:start w:val="5"/>
    </w:lvl>
  </w:abstractNum>
  <w:abstractNum w:abstractNumId="65">
    <w:nsid w:val="4AD084E9"/>
    <w:multiLevelType w:val="hybridMultilevel"/>
    <w:lvl w:ilvl="0">
      <w:lvlJc w:val="left"/>
      <w:lvlText w:val="%1."/>
      <w:numFmt w:val="decimal"/>
      <w:start w:val="6"/>
    </w:lvl>
  </w:abstractNum>
  <w:abstractNum w:abstractNumId="66">
    <w:nsid w:val="1F48EAA1"/>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2026-11-03T07:33:15Z</dcterms:created>
  <dcterms:modified xsi:type="dcterms:W3CDTF">2026-11-03T07:33:15Z</dcterms:modified>
</cp:coreProperties>
</file>