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ind w:right="-319"/>
        <w:spacing w:after="0"/>
        <w:rPr>
          <w:sz w:val="20"/>
          <w:szCs w:val="20"/>
          <w:color w:val="auto"/>
        </w:rPr>
      </w:pPr>
      <w:r>
        <w:rPr>
          <w:rFonts w:ascii="Arial" w:cs="Arial" w:eastAsia="Arial" w:hAnsi="Arial"/>
          <w:sz w:val="25"/>
          <w:szCs w:val="25"/>
          <w:color w:val="auto"/>
        </w:rPr>
        <w:t>SECURITIES AND EXCHANGE COMMISSION</w:t>
      </w: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Washington, D.C. 20549</w:t>
      </w:r>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32"/>
          <w:szCs w:val="32"/>
          <w:color w:val="auto"/>
        </w:rPr>
        <w:t>FORM 10-Q</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QUARTERLY REPORT UNDER SECTION 13 OR 15(d) OF</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0"/>
          <w:szCs w:val="20"/>
          <w:color w:val="auto"/>
        </w:rPr>
      </w:pPr>
    </w:p>
    <w:p>
      <w:pPr>
        <w:spacing w:after="0" w:line="211" w:lineRule="exact"/>
        <w:rPr>
          <w:sz w:val="20"/>
          <w:szCs w:val="20"/>
          <w:color w:val="auto"/>
        </w:rPr>
      </w:pPr>
    </w:p>
    <w:p>
      <w:pPr>
        <w:ind w:left="2000"/>
        <w:spacing w:after="0"/>
        <w:tabs>
          <w:tab w:leader="none" w:pos="6520" w:val="left"/>
        </w:tabs>
        <w:rPr>
          <w:sz w:val="20"/>
          <w:szCs w:val="20"/>
          <w:color w:val="auto"/>
        </w:rPr>
      </w:pPr>
      <w:r>
        <w:rPr>
          <w:rFonts w:ascii="Arial" w:cs="Arial" w:eastAsia="Arial" w:hAnsi="Arial"/>
          <w:sz w:val="18"/>
          <w:szCs w:val="18"/>
          <w:color w:val="auto"/>
        </w:rPr>
        <w:t>For the quarter ended: September 30, 2004</w:t>
      </w:r>
      <w:r>
        <w:rPr>
          <w:sz w:val="20"/>
          <w:szCs w:val="20"/>
          <w:color w:val="auto"/>
        </w:rPr>
        <w:tab/>
      </w:r>
      <w:r>
        <w:rPr>
          <w:rFonts w:ascii="Arial" w:cs="Arial" w:eastAsia="Arial" w:hAnsi="Arial"/>
          <w:sz w:val="16"/>
          <w:szCs w:val="16"/>
          <w:color w:val="auto"/>
        </w:rPr>
        <w:t>Commission File Number: 0-19871</w:t>
      </w: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43"/>
          <w:szCs w:val="43"/>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297815</wp:posOffset>
            </wp:positionV>
            <wp:extent cx="32848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2580" w:type="dxa"/>
        <w:tblCellMar>
          <w:top w:w="0" w:type="dxa"/>
          <w:left w:w="0" w:type="dxa"/>
          <w:bottom w:w="0" w:type="dxa"/>
          <w:right w:w="0" w:type="dxa"/>
        </w:tblCellMar>
      </w:tblPr>
      <w:tr>
        <w:trPr>
          <w:trHeight w:val="237"/>
        </w:trPr>
        <w:tc>
          <w:tcPr>
            <w:tcW w:w="4080" w:type="dxa"/>
            <w:vAlign w:val="bottom"/>
            <w:gridSpan w:val="3"/>
          </w:tcPr>
          <w:p>
            <w:pPr>
              <w:jc w:val="center"/>
              <w:ind w:right="1100"/>
              <w:spacing w:after="0"/>
              <w:rPr>
                <w:sz w:val="20"/>
                <w:szCs w:val="20"/>
                <w:color w:val="auto"/>
              </w:rPr>
            </w:pPr>
            <w:r>
              <w:rPr>
                <w:rFonts w:ascii="Arial" w:cs="Arial" w:eastAsia="Arial" w:hAnsi="Arial"/>
                <w:sz w:val="18"/>
                <w:szCs w:val="18"/>
                <w:color w:val="auto"/>
                <w:w w:val="96"/>
              </w:rPr>
              <w:t>DELAWARE</w:t>
            </w:r>
          </w:p>
        </w:tc>
        <w:tc>
          <w:tcPr>
            <w:tcW w:w="2200" w:type="dxa"/>
            <w:vAlign w:val="bottom"/>
          </w:tcPr>
          <w:p>
            <w:pPr>
              <w:jc w:val="center"/>
              <w:ind w:right="710"/>
              <w:spacing w:after="0"/>
              <w:rPr>
                <w:sz w:val="20"/>
                <w:szCs w:val="20"/>
                <w:color w:val="auto"/>
              </w:rPr>
            </w:pPr>
            <w:r>
              <w:rPr>
                <w:rFonts w:ascii="Arial" w:cs="Arial" w:eastAsia="Arial" w:hAnsi="Arial"/>
                <w:sz w:val="18"/>
                <w:szCs w:val="18"/>
                <w:color w:val="auto"/>
                <w:w w:val="91"/>
              </w:rPr>
              <w:t>94-3078125</w:t>
            </w:r>
          </w:p>
        </w:tc>
      </w:tr>
      <w:tr>
        <w:trPr>
          <w:trHeight w:val="215"/>
        </w:trPr>
        <w:tc>
          <w:tcPr>
            <w:tcW w:w="298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300" w:type="dxa"/>
            <w:vAlign w:val="bottom"/>
          </w:tcPr>
          <w:p>
            <w:pPr>
              <w:spacing w:after="0"/>
              <w:rPr>
                <w:sz w:val="18"/>
                <w:szCs w:val="18"/>
                <w:color w:val="auto"/>
              </w:rPr>
            </w:pPr>
          </w:p>
        </w:tc>
        <w:tc>
          <w:tcPr>
            <w:tcW w:w="800" w:type="dxa"/>
            <w:vAlign w:val="bottom"/>
            <w:tcBorders>
              <w:top w:val="single" w:sz="8" w:color="808080"/>
            </w:tcBorders>
          </w:tcPr>
          <w:p>
            <w:pPr>
              <w:spacing w:after="0"/>
              <w:rPr>
                <w:sz w:val="18"/>
                <w:szCs w:val="18"/>
                <w:color w:val="auto"/>
              </w:rPr>
            </w:pPr>
          </w:p>
        </w:tc>
        <w:tc>
          <w:tcPr>
            <w:tcW w:w="2200" w:type="dxa"/>
            <w:vAlign w:val="bottom"/>
            <w:tcBorders>
              <w:top w:val="single" w:sz="8" w:color="808080"/>
            </w:tcBorders>
          </w:tcPr>
          <w:p>
            <w:pPr>
              <w:jc w:val="center"/>
              <w:ind w:right="7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gridSpan w:val="3"/>
          </w:tcPr>
          <w:p>
            <w:pPr>
              <w:jc w:val="center"/>
              <w:ind w:right="1120"/>
              <w:spacing w:after="0"/>
              <w:rPr>
                <w:sz w:val="20"/>
                <w:szCs w:val="20"/>
                <w:color w:val="auto"/>
              </w:rPr>
            </w:pPr>
            <w:r>
              <w:rPr>
                <w:rFonts w:ascii="Arial" w:cs="Arial" w:eastAsia="Arial" w:hAnsi="Arial"/>
                <w:sz w:val="18"/>
                <w:szCs w:val="18"/>
                <w:color w:val="auto"/>
                <w:w w:val="92"/>
              </w:rPr>
              <w:t>incorporation or organization)</w:t>
            </w:r>
          </w:p>
        </w:tc>
        <w:tc>
          <w:tcPr>
            <w:tcW w:w="2200" w:type="dxa"/>
            <w:vAlign w:val="bottom"/>
          </w:tcPr>
          <w:p>
            <w:pPr>
              <w:jc w:val="center"/>
              <w:ind w:right="710"/>
              <w:spacing w:after="0"/>
              <w:rPr>
                <w:sz w:val="20"/>
                <w:szCs w:val="20"/>
                <w:color w:val="auto"/>
              </w:rPr>
            </w:pPr>
            <w:r>
              <w:rPr>
                <w:rFonts w:ascii="Arial" w:cs="Arial" w:eastAsia="Arial" w:hAnsi="Arial"/>
                <w:sz w:val="18"/>
                <w:szCs w:val="18"/>
                <w:color w:val="auto"/>
                <w:w w:val="95"/>
              </w:rPr>
              <w:t>identification No)</w:t>
            </w:r>
          </w:p>
        </w:tc>
      </w:tr>
      <w:tr>
        <w:trPr>
          <w:trHeight w:val="391"/>
        </w:trPr>
        <w:tc>
          <w:tcPr>
            <w:tcW w:w="4080" w:type="dxa"/>
            <w:vAlign w:val="bottom"/>
            <w:gridSpan w:val="3"/>
          </w:tcPr>
          <w:p>
            <w:pPr>
              <w:jc w:val="center"/>
              <w:ind w:left="2110"/>
              <w:spacing w:after="0"/>
              <w:rPr>
                <w:sz w:val="20"/>
                <w:szCs w:val="20"/>
                <w:color w:val="auto"/>
              </w:rPr>
            </w:pPr>
            <w:r>
              <w:rPr>
                <w:rFonts w:ascii="Arial" w:cs="Arial" w:eastAsia="Arial" w:hAnsi="Arial"/>
                <w:sz w:val="18"/>
                <w:szCs w:val="18"/>
                <w:color w:val="auto"/>
                <w:w w:val="93"/>
              </w:rPr>
              <w:t>3155 PORTER DRIVE</w:t>
            </w:r>
          </w:p>
        </w:tc>
        <w:tc>
          <w:tcPr>
            <w:tcW w:w="2200" w:type="dxa"/>
            <w:vAlign w:val="bottom"/>
          </w:tcPr>
          <w:p>
            <w:pPr>
              <w:spacing w:after="0"/>
              <w:rPr>
                <w:sz w:val="24"/>
                <w:szCs w:val="24"/>
                <w:color w:val="auto"/>
              </w:rPr>
            </w:pPr>
          </w:p>
        </w:tc>
      </w:tr>
      <w:tr>
        <w:trPr>
          <w:trHeight w:val="230"/>
        </w:trPr>
        <w:tc>
          <w:tcPr>
            <w:tcW w:w="4080" w:type="dxa"/>
            <w:vAlign w:val="bottom"/>
            <w:gridSpan w:val="3"/>
          </w:tcPr>
          <w:p>
            <w:pPr>
              <w:jc w:val="center"/>
              <w:ind w:left="2110"/>
              <w:spacing w:after="0"/>
              <w:rPr>
                <w:sz w:val="20"/>
                <w:szCs w:val="20"/>
                <w:color w:val="auto"/>
              </w:rPr>
            </w:pPr>
            <w:r>
              <w:rPr>
                <w:rFonts w:ascii="Arial" w:cs="Arial" w:eastAsia="Arial" w:hAnsi="Arial"/>
                <w:sz w:val="18"/>
                <w:szCs w:val="18"/>
                <w:color w:val="auto"/>
                <w:w w:val="94"/>
              </w:rPr>
              <w:t>PALO ALTO, CA 94304</w:t>
            </w:r>
          </w:p>
        </w:tc>
        <w:tc>
          <w:tcPr>
            <w:tcW w:w="2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111760</wp:posOffset>
            </wp:positionV>
            <wp:extent cx="32848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126365</wp:posOffset>
            </wp:positionV>
            <wp:extent cx="32848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Yes [X] No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Yes [ ] No [X]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October 25, 2004, there were 54,256,938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gridSpan w:val="2"/>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300" w:type="dxa"/>
            <w:vAlign w:val="bottom"/>
            <w:vMerge w:val="restart"/>
          </w:tcPr>
          <w:p>
            <w:pPr>
              <w:spacing w:after="0"/>
              <w:rPr>
                <w:sz w:val="16"/>
                <w:szCs w:val="16"/>
                <w:color w:val="auto"/>
              </w:rPr>
            </w:pPr>
          </w:p>
        </w:tc>
        <w:tc>
          <w:tcPr>
            <w:tcW w:w="2260" w:type="dxa"/>
            <w:vAlign w:val="bottom"/>
            <w:gridSpan w:val="6"/>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6640" w:type="dxa"/>
            <w:vAlign w:val="bottom"/>
            <w:gridSpan w:val="12"/>
            <w:vMerge w:val="restart"/>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66"/>
        </w:trPr>
        <w:tc>
          <w:tcPr>
            <w:tcW w:w="600" w:type="dxa"/>
            <w:vAlign w:val="bottom"/>
            <w:tcBorders>
              <w:bottom w:val="single" w:sz="8" w:color="0000EE"/>
            </w:tcBorders>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260" w:type="dxa"/>
            <w:vAlign w:val="bottom"/>
            <w:tcBorders>
              <w:bottom w:val="single" w:sz="8" w:color="0000EE"/>
            </w:tcBorders>
            <w:gridSpan w:val="6"/>
            <w:vMerge w:val="continue"/>
          </w:tcPr>
          <w:p>
            <w:pPr>
              <w:spacing w:after="0"/>
              <w:rPr>
                <w:sz w:val="13"/>
                <w:szCs w:val="13"/>
                <w:color w:val="auto"/>
              </w:rPr>
            </w:pPr>
          </w:p>
        </w:tc>
        <w:tc>
          <w:tcPr>
            <w:tcW w:w="6640" w:type="dxa"/>
            <w:vAlign w:val="bottom"/>
            <w:gridSpan w:val="12"/>
            <w:vMerge w:val="continue"/>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80" w:type="dxa"/>
            <w:vAlign w:val="bottom"/>
            <w:gridSpan w:val="2"/>
          </w:tcPr>
          <w:p>
            <w:pPr>
              <w:spacing w:after="0"/>
              <w:rPr>
                <w:sz w:val="17"/>
                <w:szCs w:val="17"/>
                <w:color w:val="auto"/>
              </w:rPr>
            </w:pPr>
          </w:p>
        </w:tc>
        <w:tc>
          <w:tcPr>
            <w:tcW w:w="2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480" w:type="dxa"/>
            <w:vAlign w:val="bottom"/>
            <w:gridSpan w:val="10"/>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9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September 30, 2004 and December 31, 2003</w:t>
              </w:r>
            </w:hyperlink>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nine months ended September 30, 2004 and 2003</w:t>
              </w:r>
            </w:hyperlink>
          </w:p>
        </w:tc>
        <w:tc>
          <w:tcPr>
            <w:tcW w:w="400" w:type="dxa"/>
            <w:vAlign w:val="bottom"/>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2004 and 2003</w:t>
              </w:r>
            </w:hyperlink>
          </w:p>
        </w:tc>
        <w:tc>
          <w:tcPr>
            <w:tcW w:w="1060" w:type="dxa"/>
            <w:vAlign w:val="bottom"/>
            <w:gridSpan w:val="2"/>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00" w:type="dxa"/>
            <w:vAlign w:val="bottom"/>
            <w:gridSpan w:val="6"/>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2.</w:t>
              </w:r>
            </w:hyperlink>
          </w:p>
        </w:tc>
        <w:tc>
          <w:tcPr>
            <w:tcW w:w="380" w:type="dxa"/>
            <w:vAlign w:val="bottom"/>
            <w:gridSpan w:val="2"/>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2440" w:type="dxa"/>
            <w:vAlign w:val="bottom"/>
            <w:gridSpan w:val="3"/>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380" w:type="dxa"/>
            <w:vAlign w:val="bottom"/>
            <w:gridSpan w:val="2"/>
          </w:tcPr>
          <w:p>
            <w:pPr>
              <w:spacing w:after="0"/>
              <w:rPr>
                <w:sz w:val="17"/>
                <w:szCs w:val="17"/>
                <w:color w:val="auto"/>
              </w:rPr>
            </w:pPr>
          </w:p>
        </w:tc>
        <w:tc>
          <w:tcPr>
            <w:tcW w:w="890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380" w:type="dxa"/>
            <w:vAlign w:val="bottom"/>
            <w:gridSpan w:val="2"/>
          </w:tcPr>
          <w:p>
            <w:pPr>
              <w:spacing w:after="0"/>
              <w:rPr>
                <w:sz w:val="17"/>
                <w:szCs w:val="17"/>
                <w:color w:val="auto"/>
              </w:rPr>
            </w:pPr>
          </w:p>
        </w:tc>
        <w:tc>
          <w:tcPr>
            <w:tcW w:w="4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4500" w:type="dxa"/>
            <w:vAlign w:val="bottom"/>
            <w:gridSpan w:val="5"/>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1.</w:t>
              </w:r>
            </w:hyperlink>
          </w:p>
        </w:tc>
        <w:tc>
          <w:tcPr>
            <w:tcW w:w="380" w:type="dxa"/>
            <w:vAlign w:val="bottom"/>
            <w:tcBorders>
              <w:top w:val="single" w:sz="8" w:color="0000EE"/>
            </w:tcBorders>
            <w:gridSpan w:val="2"/>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340" w:type="dxa"/>
            <w:vAlign w:val="bottom"/>
            <w:tcBorders>
              <w:top w:val="single" w:sz="8" w:color="0000EE"/>
            </w:tcBorders>
          </w:tcPr>
          <w:p>
            <w:pPr>
              <w:spacing w:after="0"/>
              <w:rPr>
                <w:sz w:val="17"/>
                <w:szCs w:val="17"/>
                <w:color w:val="auto"/>
              </w:rPr>
            </w:pPr>
          </w:p>
        </w:tc>
        <w:tc>
          <w:tcPr>
            <w:tcW w:w="7220" w:type="dxa"/>
            <w:vAlign w:val="bottom"/>
            <w:gridSpan w:val="14"/>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380" w:type="dxa"/>
            <w:vAlign w:val="bottom"/>
            <w:gridSpan w:val="2"/>
          </w:tcPr>
          <w:p>
            <w:pPr>
              <w:spacing w:after="0"/>
              <w:rPr>
                <w:sz w:val="17"/>
                <w:szCs w:val="17"/>
                <w:color w:val="auto"/>
              </w:rPr>
            </w:pPr>
          </w:p>
        </w:tc>
        <w:tc>
          <w:tcPr>
            <w:tcW w:w="30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Changes in Securities and use of Proceeds</w:t>
              </w:r>
            </w:hyperlink>
          </w:p>
        </w:tc>
        <w:tc>
          <w:tcPr>
            <w:tcW w:w="5860" w:type="dxa"/>
            <w:vAlign w:val="bottom"/>
            <w:gridSpan w:val="8"/>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380" w:type="dxa"/>
            <w:vAlign w:val="bottom"/>
            <w:gridSpan w:val="2"/>
          </w:tcPr>
          <w:p>
            <w:pPr>
              <w:spacing w:after="0"/>
              <w:rPr>
                <w:sz w:val="17"/>
                <w:szCs w:val="17"/>
                <w:color w:val="auto"/>
              </w:rPr>
            </w:pPr>
          </w:p>
        </w:tc>
        <w:tc>
          <w:tcPr>
            <w:tcW w:w="890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380" w:type="dxa"/>
            <w:vAlign w:val="bottom"/>
            <w:gridSpan w:val="2"/>
          </w:tcPr>
          <w:p>
            <w:pPr>
              <w:spacing w:after="0"/>
              <w:rPr>
                <w:sz w:val="17"/>
                <w:szCs w:val="17"/>
                <w:color w:val="auto"/>
              </w:rPr>
            </w:pPr>
          </w:p>
        </w:tc>
        <w:tc>
          <w:tcPr>
            <w:tcW w:w="890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Security-Holders</w:t>
              </w:r>
            </w:hyperlink>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5.</w:t>
              </w:r>
            </w:hyperlink>
          </w:p>
        </w:tc>
        <w:tc>
          <w:tcPr>
            <w:tcW w:w="38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Other Information</w:t>
              </w:r>
            </w:hyperlink>
          </w:p>
        </w:tc>
        <w:tc>
          <w:tcPr>
            <w:tcW w:w="2460" w:type="dxa"/>
            <w:vAlign w:val="bottom"/>
            <w:tcBorders>
              <w:top w:val="single" w:sz="8" w:color="0000EE"/>
            </w:tcBorders>
            <w:gridSpan w:val="9"/>
          </w:tcPr>
          <w:p>
            <w:pPr>
              <w:spacing w:after="0"/>
              <w:rPr>
                <w:sz w:val="17"/>
                <w:szCs w:val="17"/>
                <w:color w:val="auto"/>
              </w:rPr>
            </w:pPr>
          </w:p>
        </w:tc>
        <w:tc>
          <w:tcPr>
            <w:tcW w:w="5120" w:type="dxa"/>
            <w:vAlign w:val="bottom"/>
            <w:gridSpan w:val="7"/>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380" w:type="dxa"/>
            <w:vAlign w:val="bottom"/>
            <w:gridSpan w:val="2"/>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 and Reports on Form 8-K</w:t>
              </w:r>
            </w:hyperlink>
          </w:p>
        </w:tc>
        <w:tc>
          <w:tcPr>
            <w:tcW w:w="6400" w:type="dxa"/>
            <w:vAlign w:val="bottom"/>
            <w:gridSpan w:val="9"/>
          </w:tcPr>
          <w:p>
            <w:pPr>
              <w:spacing w:after="0"/>
              <w:rPr>
                <w:sz w:val="17"/>
                <w:szCs w:val="17"/>
                <w:color w:val="auto"/>
              </w:rPr>
            </w:pPr>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126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240" w:top="122" w:right="559" w:bottom="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32.2</w:t>
      </w:r>
    </w:p>
    <w:p>
      <w:pPr>
        <w:spacing w:after="0" w:line="17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5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 2004</w:t>
            </w:r>
          </w:p>
        </w:tc>
        <w:tc>
          <w:tcPr>
            <w:tcW w:w="280" w:type="dxa"/>
            <w:vAlign w:val="bottom"/>
          </w:tcPr>
          <w:p>
            <w:pPr>
              <w:spacing w:after="0"/>
              <w:rPr>
                <w:sz w:val="16"/>
                <w:szCs w:val="16"/>
                <w:color w:val="auto"/>
              </w:rPr>
            </w:pPr>
          </w:p>
        </w:tc>
        <w:tc>
          <w:tcPr>
            <w:tcW w:w="25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23,141,313</w:t>
            </w:r>
          </w:p>
        </w:tc>
        <w:tc>
          <w:tcPr>
            <w:tcW w:w="8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13,081,703</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7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72,484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145,463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current assets</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218,977</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180,048</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23,432,774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13,407,214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Property, plant and equipment, net</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3,447,496</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3,611,402</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Other assets, net</w:t>
            </w:r>
          </w:p>
        </w:tc>
        <w:tc>
          <w:tcPr>
            <w:tcW w:w="760" w:type="dxa"/>
            <w:vAlign w:val="bottom"/>
          </w:tcPr>
          <w:p>
            <w:pPr>
              <w:spacing w:after="0"/>
              <w:rPr>
                <w:sz w:val="20"/>
                <w:szCs w:val="20"/>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2,723,452</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2,767,798</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29,603,722</w:t>
            </w:r>
          </w:p>
        </w:tc>
        <w:tc>
          <w:tcPr>
            <w:tcW w:w="8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19,786,414</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760" w:type="dxa"/>
            <w:vAlign w:val="bottom"/>
            <w:tcBorders>
              <w:right w:val="single" w:sz="8" w:color="808080"/>
            </w:tcBorders>
          </w:tcPr>
          <w:p>
            <w:pPr>
              <w:spacing w:after="0"/>
              <w:rPr>
                <w:sz w:val="6"/>
                <w:szCs w:val="6"/>
                <w:color w:val="auto"/>
              </w:rPr>
            </w:pPr>
          </w:p>
        </w:tc>
        <w:tc>
          <w:tcPr>
            <w:tcW w:w="960" w:type="dxa"/>
            <w:vAlign w:val="bottom"/>
            <w:tcBorders>
              <w:right w:val="single" w:sz="8" w:color="808080"/>
            </w:tcBorders>
            <w:shd w:val="clear" w:color="auto" w:fill="808080"/>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980" w:type="dxa"/>
            <w:vAlign w:val="bottom"/>
            <w:tcBorders>
              <w:right w:val="single" w:sz="8" w:color="808080"/>
            </w:tcBorders>
            <w:shd w:val="clear" w:color="auto" w:fill="808080"/>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604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1,293,181</w:t>
            </w:r>
          </w:p>
        </w:tc>
        <w:tc>
          <w:tcPr>
            <w:tcW w:w="8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454,434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expenses</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938,818</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1,041,150</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Accrued wind-down expenses, current portion</w:t>
            </w:r>
          </w:p>
        </w:tc>
        <w:tc>
          <w:tcPr>
            <w:tcW w:w="7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1,039,399</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789,000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Current maturities of capital lease obligations</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241,667</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237,084</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3,513,065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2,521,668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Capital lease obligations, less current maturities</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1,667,917</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1,849,583</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Deposits &amp; other long-term liabilities</w:t>
            </w:r>
          </w:p>
        </w:tc>
        <w:tc>
          <w:tcPr>
            <w:tcW w:w="7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521,420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521,420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Accrued wind-down expenses, non-current portion</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3,873,750</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3,033,984</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 rent</w:t>
            </w:r>
          </w:p>
        </w:tc>
        <w:tc>
          <w:tcPr>
            <w:tcW w:w="760" w:type="dxa"/>
            <w:vAlign w:val="bottom"/>
          </w:tcPr>
          <w:p>
            <w:pPr>
              <w:spacing w:after="0"/>
              <w:rPr>
                <w:sz w:val="20"/>
                <w:szCs w:val="20"/>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616,901</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896,201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10,193,053</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8,822,856</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7"/>
              </w:rPr>
              <w:t>Common stock, $.01 par value; 125,000,000 shares authorized; 54,251,938</w:t>
            </w:r>
          </w:p>
        </w:tc>
        <w:tc>
          <w:tcPr>
            <w:tcW w:w="760" w:type="dxa"/>
            <w:vAlign w:val="bottom"/>
            <w:tcBorders>
              <w:right w:val="single" w:sz="8" w:color="EEEEEE"/>
            </w:tcBorders>
            <w:shd w:val="clear" w:color="auto" w:fill="EEEEEE"/>
          </w:tcPr>
          <w:p>
            <w:pPr>
              <w:spacing w:after="0"/>
              <w:rPr>
                <w:sz w:val="17"/>
                <w:szCs w:val="17"/>
                <w:color w:val="auto"/>
              </w:rPr>
            </w:pPr>
          </w:p>
        </w:tc>
        <w:tc>
          <w:tcPr>
            <w:tcW w:w="960" w:type="dxa"/>
            <w:vAlign w:val="bottom"/>
            <w:tcBorders>
              <w:right w:val="single" w:sz="8" w:color="EEEEEE"/>
            </w:tcBorders>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60" w:type="dxa"/>
            <w:vAlign w:val="bottom"/>
            <w:tcBorders>
              <w:right w:val="single" w:sz="8" w:color="EEEEEE"/>
            </w:tcBorders>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6"/>
              </w:rPr>
              <w:t>and 40,998,858 shares issued and outstanding at September 30, 2004 and</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December 31, 2003, respectively</w:t>
            </w:r>
          </w:p>
        </w:tc>
        <w:tc>
          <w:tcPr>
            <w:tcW w:w="760" w:type="dxa"/>
            <w:vAlign w:val="bottom"/>
            <w:tcBorders>
              <w:right w:val="single" w:sz="8" w:color="EEEEEE"/>
            </w:tcBorders>
            <w:shd w:val="clear" w:color="auto" w:fill="EEEEEE"/>
          </w:tcPr>
          <w:p>
            <w:pPr>
              <w:spacing w:after="0"/>
              <w:rPr>
                <w:sz w:val="20"/>
                <w:szCs w:val="20"/>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542,519</w:t>
            </w:r>
          </w:p>
        </w:tc>
        <w:tc>
          <w:tcPr>
            <w:tcW w:w="8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760" w:type="dxa"/>
            <w:vAlign w:val="bottom"/>
            <w:tcBorders>
              <w:right w:val="single" w:sz="8" w:color="EEEEEE"/>
            </w:tcBorders>
            <w:shd w:val="clear" w:color="auto" w:fill="EEEEEE"/>
          </w:tcPr>
          <w:p>
            <w:pPr>
              <w:spacing w:after="0"/>
              <w:rPr>
                <w:sz w:val="20"/>
                <w:szCs w:val="20"/>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409,988</w:t>
            </w:r>
          </w:p>
        </w:tc>
        <w:tc>
          <w:tcPr>
            <w:tcW w:w="8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7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189,021,644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170,406,393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deficit</w:t>
            </w:r>
          </w:p>
        </w:tc>
        <w:tc>
          <w:tcPr>
            <w:tcW w:w="760" w:type="dxa"/>
            <w:vAlign w:val="bottom"/>
            <w:tcBorders>
              <w:right w:val="single" w:sz="8" w:color="EEEEEE"/>
            </w:tcBorders>
            <w:shd w:val="clear" w:color="auto" w:fill="EEEEEE"/>
          </w:tcPr>
          <w:p>
            <w:pPr>
              <w:spacing w:after="0"/>
              <w:rPr>
                <w:sz w:val="18"/>
                <w:szCs w:val="18"/>
                <w:color w:val="auto"/>
              </w:rPr>
            </w:pPr>
          </w:p>
        </w:tc>
        <w:tc>
          <w:tcPr>
            <w:tcW w:w="1780" w:type="dxa"/>
            <w:vAlign w:val="bottom"/>
            <w:gridSpan w:val="2"/>
            <w:shd w:val="clear" w:color="auto" w:fill="EEEEEE"/>
          </w:tcPr>
          <w:p>
            <w:pPr>
              <w:jc w:val="right"/>
              <w:ind w:right="780"/>
              <w:spacing w:after="0"/>
              <w:rPr>
                <w:sz w:val="20"/>
                <w:szCs w:val="20"/>
                <w:color w:val="auto"/>
              </w:rPr>
            </w:pPr>
            <w:r>
              <w:rPr>
                <w:rFonts w:ascii="Arial" w:cs="Arial" w:eastAsia="Arial" w:hAnsi="Arial"/>
                <w:sz w:val="18"/>
                <w:szCs w:val="18"/>
                <w:color w:val="auto"/>
                <w:w w:val="87"/>
              </w:rPr>
              <w:t>(169,285,774)</w:t>
            </w: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800" w:type="dxa"/>
            <w:vAlign w:val="bottom"/>
            <w:gridSpan w:val="2"/>
            <w:shd w:val="clear" w:color="auto" w:fill="EEEEEE"/>
          </w:tcPr>
          <w:p>
            <w:pPr>
              <w:jc w:val="right"/>
              <w:ind w:right="780"/>
              <w:spacing w:after="0"/>
              <w:rPr>
                <w:sz w:val="20"/>
                <w:szCs w:val="20"/>
                <w:color w:val="auto"/>
              </w:rPr>
            </w:pPr>
            <w:r>
              <w:rPr>
                <w:rFonts w:ascii="Arial" w:cs="Arial" w:eastAsia="Arial" w:hAnsi="Arial"/>
                <w:sz w:val="18"/>
                <w:szCs w:val="18"/>
                <w:color w:val="auto"/>
                <w:w w:val="89"/>
              </w:rPr>
              <w:t>(158,874,915)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76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(867,720)</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(977,908)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right w:val="single" w:sz="8" w:color="EEEEEE"/>
            </w:tcBorders>
            <w:shd w:val="clear" w:color="auto" w:fill="EEEEEE"/>
          </w:tcPr>
          <w:p>
            <w:pPr>
              <w:spacing w:after="0"/>
              <w:rPr>
                <w:sz w:val="18"/>
                <w:szCs w:val="18"/>
                <w:color w:val="auto"/>
              </w:rPr>
            </w:pPr>
          </w:p>
        </w:tc>
        <w:tc>
          <w:tcPr>
            <w:tcW w:w="96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19,410,669</w:t>
            </w: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10,963,558</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29,603,722</w:t>
            </w:r>
          </w:p>
        </w:tc>
        <w:tc>
          <w:tcPr>
            <w:tcW w:w="8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19,786,414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4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Revenue from grants</w:t>
            </w:r>
          </w:p>
        </w:tc>
        <w:tc>
          <w:tcPr>
            <w:tcW w:w="400" w:type="dxa"/>
            <w:vAlign w:val="bottom"/>
          </w:tcPr>
          <w:p>
            <w:pPr>
              <w:spacing w:after="0"/>
              <w:rPr>
                <w:sz w:val="18"/>
                <w:szCs w:val="18"/>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29,389</w:t>
            </w:r>
          </w:p>
        </w:tc>
        <w:tc>
          <w:tcPr>
            <w:tcW w:w="3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92,593</w:t>
            </w:r>
          </w:p>
        </w:tc>
        <w:tc>
          <w:tcPr>
            <w:tcW w:w="4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141,889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Revenue from licensing agreements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4,541</w:t>
            </w: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3,401</w:t>
            </w: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10,877</w:t>
            </w: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10,151</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32,790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103,470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152,040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2,075,025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1,444,219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5,882,366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4,524,115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904,104</w:t>
            </w: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782,835</w:t>
            </w: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2,645,092</w:t>
            </w: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2,380,865</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Wind-down expenses</w:t>
            </w:r>
          </w:p>
        </w:tc>
        <w:tc>
          <w:tcPr>
            <w:tcW w:w="40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4"/>
              </w:rPr>
              <w:t>1,345,564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224,194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1,943,707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697,797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4,324,693</w:t>
            </w: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2,451,248</w:t>
            </w: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10,471,165</w:t>
            </w: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7,602,777</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(4,320,152)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(2,418,458)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(10,367,695)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(7,450,737)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12,745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158,942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0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rPr>
              <w:t>(46,093)</w:t>
            </w: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(50,198)</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(145,025)</w:t>
            </w: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(157,501)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(53,886)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26,628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88"/>
              <w:spacing w:after="0"/>
              <w:rPr>
                <w:sz w:val="20"/>
                <w:szCs w:val="20"/>
                <w:color w:val="auto"/>
              </w:rPr>
            </w:pPr>
            <w:r>
              <w:rPr>
                <w:rFonts w:ascii="Arial" w:cs="Arial" w:eastAsia="Arial" w:hAnsi="Arial"/>
                <w:sz w:val="18"/>
                <w:szCs w:val="18"/>
                <w:color w:val="auto"/>
              </w:rPr>
              <w:t>(57,081)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32,848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right w:val="single" w:sz="8" w:color="808080"/>
            </w:tcBorders>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rPr>
              <w:t>(17,448)</w:t>
            </w: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(10,825)</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(43,164)</w:t>
            </w: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(100,698)</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(4,337,600)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(2,429,283)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(10,410,859)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(7,551,435)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Dividend to preferred stockholders</w:t>
            </w:r>
          </w:p>
        </w:tc>
        <w:tc>
          <w:tcPr>
            <w:tcW w:w="40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46,833</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Deemed dividend</w:t>
            </w:r>
          </w:p>
        </w:tc>
        <w:tc>
          <w:tcPr>
            <w:tcW w:w="400" w:type="dxa"/>
            <w:vAlign w:val="bottom"/>
          </w:tcPr>
          <w:p>
            <w:pPr>
              <w:spacing w:after="0"/>
              <w:rPr>
                <w:sz w:val="19"/>
                <w:szCs w:val="19"/>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169,968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1,658,270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6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w:t>
            </w: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w w:val="95"/>
              </w:rPr>
              <w:t>4,337,600)</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7"/>
              </w:rPr>
              <w:t>2,599,251)</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w w:val="93"/>
              </w:rPr>
              <w:t>10,410,859)</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7"/>
              </w:rPr>
              <w:t>9,256,538)</w:t>
            </w:r>
          </w:p>
        </w:tc>
        <w:tc>
          <w:tcPr>
            <w:tcW w:w="0" w:type="dxa"/>
            <w:vAlign w:val="bottom"/>
          </w:tcPr>
          <w:p>
            <w:pPr>
              <w:spacing w:after="0"/>
              <w:rPr>
                <w:sz w:val="1"/>
                <w:szCs w:val="1"/>
                <w:color w:val="auto"/>
              </w:rPr>
            </w:pPr>
          </w:p>
        </w:tc>
      </w:tr>
      <w:tr>
        <w:trPr>
          <w:trHeight w:val="71"/>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applicable to common</w:t>
            </w:r>
          </w:p>
        </w:tc>
        <w:tc>
          <w:tcPr>
            <w:tcW w:w="400" w:type="dxa"/>
            <w:vAlign w:val="bottom"/>
            <w:tcBorders>
              <w:right w:val="single" w:sz="8" w:color="808080"/>
            </w:tcBorders>
          </w:tcPr>
          <w:p>
            <w:pPr>
              <w:spacing w:after="0"/>
              <w:rPr>
                <w:sz w:val="6"/>
                <w:szCs w:val="6"/>
                <w:color w:val="auto"/>
              </w:rPr>
            </w:pPr>
          </w:p>
        </w:tc>
        <w:tc>
          <w:tcPr>
            <w:tcW w:w="800" w:type="dxa"/>
            <w:vAlign w:val="bottom"/>
            <w:tcBorders>
              <w:right w:val="single" w:sz="8" w:color="808080"/>
            </w:tcBorders>
            <w:shd w:val="clear" w:color="auto" w:fill="808080"/>
          </w:tcPr>
          <w:p>
            <w:pPr>
              <w:spacing w:after="0"/>
              <w:rPr>
                <w:sz w:val="6"/>
                <w:szCs w:val="6"/>
                <w:color w:val="auto"/>
              </w:rPr>
            </w:pPr>
          </w:p>
        </w:tc>
        <w:tc>
          <w:tcPr>
            <w:tcW w:w="340" w:type="dxa"/>
            <w:vAlign w:val="bottom"/>
            <w:tcBorders>
              <w:left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right w:val="single" w:sz="8" w:color="808080"/>
            </w:tcBorders>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360" w:type="dxa"/>
            <w:vAlign w:val="bottom"/>
            <w:tcBorders>
              <w:left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400" w:type="dxa"/>
            <w:vAlign w:val="bottom"/>
            <w:tcBorders>
              <w:left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right w:val="single" w:sz="8" w:color="808080"/>
            </w:tcBorders>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36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stockholders; basic and diluted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0.08)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0.08)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8"/>
              <w:spacing w:after="0"/>
              <w:rPr>
                <w:sz w:val="20"/>
                <w:szCs w:val="20"/>
                <w:color w:val="auto"/>
              </w:rPr>
            </w:pPr>
            <w:r>
              <w:rPr>
                <w:rFonts w:ascii="Arial" w:cs="Arial" w:eastAsia="Arial" w:hAnsi="Arial"/>
                <w:sz w:val="18"/>
                <w:szCs w:val="18"/>
                <w:color w:val="auto"/>
              </w:rPr>
              <w:t>0.23)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Weighted average shares used to compute</w:t>
            </w:r>
          </w:p>
        </w:tc>
        <w:tc>
          <w:tcPr>
            <w:tcW w:w="400" w:type="dxa"/>
            <w:vAlign w:val="bottom"/>
            <w:tcBorders>
              <w:right w:val="single" w:sz="8" w:color="EEEEEE"/>
            </w:tcBorders>
            <w:shd w:val="clear" w:color="auto" w:fill="EEEEEE"/>
          </w:tcPr>
          <w:p>
            <w:pPr>
              <w:spacing w:after="0"/>
              <w:rPr>
                <w:sz w:val="17"/>
                <w:szCs w:val="17"/>
                <w:color w:val="auto"/>
              </w:rPr>
            </w:pPr>
          </w:p>
        </w:tc>
        <w:tc>
          <w:tcPr>
            <w:tcW w:w="800" w:type="dxa"/>
            <w:vAlign w:val="bottom"/>
            <w:tcBorders>
              <w:right w:val="single" w:sz="8" w:color="EEEEEE"/>
            </w:tcBorders>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tcBorders>
              <w:lef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00" w:type="dxa"/>
            <w:vAlign w:val="bottom"/>
            <w:tcBorders>
              <w:lef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net loss per share applicable to common</w:t>
            </w:r>
          </w:p>
        </w:tc>
        <w:tc>
          <w:tcPr>
            <w:tcW w:w="4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basic and diluted</w:t>
            </w:r>
          </w:p>
        </w:tc>
        <w:tc>
          <w:tcPr>
            <w:tcW w:w="400" w:type="dxa"/>
            <w:vAlign w:val="bottom"/>
            <w:tcBorders>
              <w:right w:val="single" w:sz="8" w:color="EEEEEE"/>
            </w:tcBorders>
            <w:shd w:val="clear" w:color="auto" w:fill="EEEEEE"/>
          </w:tcPr>
          <w:p>
            <w:pPr>
              <w:spacing w:after="0"/>
              <w:rPr>
                <w:sz w:val="20"/>
                <w:szCs w:val="20"/>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54,232,231</w:t>
            </w:r>
          </w:p>
        </w:tc>
        <w:tc>
          <w:tcPr>
            <w:tcW w:w="340" w:type="dxa"/>
            <w:vAlign w:val="bottom"/>
            <w:tcBorders>
              <w:left w:val="single" w:sz="8" w:color="EEEEEE"/>
            </w:tcBorders>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33,824,249</w:t>
            </w:r>
          </w:p>
        </w:tc>
        <w:tc>
          <w:tcPr>
            <w:tcW w:w="360" w:type="dxa"/>
            <w:vAlign w:val="bottom"/>
            <w:tcBorders>
              <w:left w:val="single" w:sz="8" w:color="EEEEEE"/>
            </w:tcBorders>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46,132,704</w:t>
            </w:r>
          </w:p>
        </w:tc>
        <w:tc>
          <w:tcPr>
            <w:tcW w:w="400" w:type="dxa"/>
            <w:vAlign w:val="bottom"/>
            <w:tcBorders>
              <w:lef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30,666,932</w:t>
            </w:r>
          </w:p>
        </w:tc>
        <w:tc>
          <w:tcPr>
            <w:tcW w:w="36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9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Nine Months Ended</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6"/>
                <w:szCs w:val="16"/>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7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w w:val="87"/>
              </w:rPr>
              <w:t>10,410,859)</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w w:val="92"/>
              </w:rPr>
              <w:t>7,551,435)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769,402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758,271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Amortization of deferred compensation</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8,482</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225,787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174,650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296,206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 on disposal of fixed assets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50,045</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interest receivable</w:t>
            </w:r>
          </w:p>
        </w:tc>
        <w:tc>
          <w:tcPr>
            <w:tcW w:w="52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68"/>
              <w:spacing w:after="0"/>
              <w:rPr>
                <w:sz w:val="20"/>
                <w:szCs w:val="20"/>
                <w:color w:val="auto"/>
              </w:rPr>
            </w:pPr>
            <w:r>
              <w:rPr>
                <w:rFonts w:ascii="Arial" w:cs="Arial" w:eastAsia="Arial" w:hAnsi="Arial"/>
                <w:sz w:val="18"/>
                <w:szCs w:val="18"/>
                <w:color w:val="auto"/>
              </w:rPr>
              <w:t>(20,566)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385"/>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93,545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rPr>
              <w:t>(45,702)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current assets</w:t>
            </w:r>
          </w:p>
        </w:tc>
        <w:tc>
          <w:tcPr>
            <w:tcW w:w="52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68"/>
              <w:spacing w:after="0"/>
              <w:rPr>
                <w:sz w:val="20"/>
                <w:szCs w:val="20"/>
                <w:color w:val="auto"/>
              </w:rPr>
            </w:pPr>
            <w:r>
              <w:rPr>
                <w:rFonts w:ascii="Arial" w:cs="Arial" w:eastAsia="Arial" w:hAnsi="Arial"/>
                <w:sz w:val="18"/>
                <w:szCs w:val="18"/>
                <w:color w:val="auto"/>
              </w:rPr>
              <w:t>(38,929)</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385"/>
              <w:spacing w:after="0"/>
              <w:rPr>
                <w:sz w:val="20"/>
                <w:szCs w:val="20"/>
                <w:color w:val="auto"/>
              </w:rPr>
            </w:pPr>
            <w:r>
              <w:rPr>
                <w:rFonts w:ascii="Arial" w:cs="Arial" w:eastAsia="Arial" w:hAnsi="Arial"/>
                <w:sz w:val="18"/>
                <w:szCs w:val="18"/>
                <w:color w:val="auto"/>
              </w:rPr>
              <w:t>(112,777)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Other assets, net</w:t>
            </w:r>
          </w:p>
        </w:tc>
        <w:tc>
          <w:tcPr>
            <w:tcW w:w="520" w:type="dxa"/>
            <w:vAlign w:val="bottom"/>
          </w:tcPr>
          <w:p>
            <w:pPr>
              <w:spacing w:after="0"/>
              <w:rPr>
                <w:sz w:val="18"/>
                <w:szCs w:val="18"/>
                <w:color w:val="auto"/>
              </w:rPr>
            </w:pPr>
          </w:p>
        </w:tc>
        <w:tc>
          <w:tcPr>
            <w:tcW w:w="10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rPr>
              <w:t>(277,866)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736,415</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170,046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Accrued wind-down expenses</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1,090,165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Deferred rent</w:t>
            </w:r>
          </w:p>
        </w:tc>
        <w:tc>
          <w:tcPr>
            <w:tcW w:w="52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68"/>
              <w:spacing w:after="0"/>
              <w:rPr>
                <w:sz w:val="20"/>
                <w:szCs w:val="20"/>
                <w:color w:val="auto"/>
              </w:rPr>
            </w:pPr>
            <w:r>
              <w:rPr>
                <w:rFonts w:ascii="Arial" w:cs="Arial" w:eastAsia="Arial" w:hAnsi="Arial"/>
                <w:sz w:val="18"/>
                <w:szCs w:val="18"/>
                <w:color w:val="auto"/>
              </w:rPr>
              <w:t>(279,300)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385"/>
              <w:spacing w:after="0"/>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right w:val="single" w:sz="8" w:color="808080"/>
            </w:tcBorders>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Pr>
          <w:p>
            <w:pPr>
              <w:spacing w:after="0"/>
              <w:rPr>
                <w:sz w:val="20"/>
                <w:szCs w:val="20"/>
                <w:color w:val="auto"/>
              </w:rPr>
            </w:pP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w w:val="91"/>
              </w:rPr>
              <w:t>(7,826,950)</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w w:val="86"/>
              </w:rPr>
              <w:t>(6,556,084)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520" w:type="dxa"/>
            <w:vAlign w:val="bottom"/>
          </w:tcPr>
          <w:p>
            <w:pPr>
              <w:spacing w:after="0"/>
              <w:rPr>
                <w:sz w:val="18"/>
                <w:szCs w:val="18"/>
                <w:color w:val="auto"/>
              </w:rPr>
            </w:pP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(581,194)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rPr>
              <w:t>(180,498)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Acquisition of other assets</w:t>
            </w:r>
          </w:p>
        </w:tc>
        <w:tc>
          <w:tcPr>
            <w:tcW w:w="52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68"/>
              <w:spacing w:after="0"/>
              <w:rPr>
                <w:sz w:val="20"/>
                <w:szCs w:val="20"/>
                <w:color w:val="auto"/>
              </w:rPr>
            </w:pPr>
            <w:r>
              <w:rPr>
                <w:rFonts w:ascii="Arial" w:cs="Arial" w:eastAsia="Arial" w:hAnsi="Arial"/>
                <w:sz w:val="18"/>
                <w:szCs w:val="18"/>
                <w:color w:val="auto"/>
              </w:rPr>
              <w:t>(15,000)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right w:val="single" w:sz="8" w:color="808080"/>
            </w:tcBorders>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20"/>
                <w:szCs w:val="20"/>
                <w:color w:val="auto"/>
              </w:rPr>
            </w:pP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(596,194)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rPr>
              <w:t>(180,498)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Proceeds from the exercise of stock options</w:t>
            </w:r>
          </w:p>
        </w:tc>
        <w:tc>
          <w:tcPr>
            <w:tcW w:w="520" w:type="dxa"/>
            <w:vAlign w:val="bottom"/>
          </w:tcPr>
          <w:p>
            <w:pPr>
              <w:spacing w:after="0"/>
              <w:rPr>
                <w:sz w:val="18"/>
                <w:szCs w:val="18"/>
                <w:color w:val="auto"/>
              </w:rPr>
            </w:pPr>
          </w:p>
        </w:tc>
        <w:tc>
          <w:tcPr>
            <w:tcW w:w="10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30,087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issuance of common stock, net</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18,659,837</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6,810,396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Principal payments under capital lease obligations</w:t>
            </w:r>
          </w:p>
        </w:tc>
        <w:tc>
          <w:tcPr>
            <w:tcW w:w="520" w:type="dxa"/>
            <w:vAlign w:val="bottom"/>
          </w:tcPr>
          <w:p>
            <w:pPr>
              <w:spacing w:after="0"/>
              <w:rPr>
                <w:sz w:val="18"/>
                <w:szCs w:val="18"/>
                <w:color w:val="auto"/>
              </w:rPr>
            </w:pP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(177,083)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rPr>
              <w:t>(170,417)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18,482,754</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6,670,066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right w:val="single" w:sz="8" w:color="808080"/>
            </w:tcBorders>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10,059,610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gridSpan w:val="2"/>
          </w:tcPr>
          <w:p>
            <w:pPr>
              <w:jc w:val="right"/>
              <w:ind w:right="385"/>
              <w:spacing w:after="0"/>
              <w:rPr>
                <w:sz w:val="20"/>
                <w:szCs w:val="20"/>
                <w:color w:val="auto"/>
              </w:rPr>
            </w:pPr>
            <w:r>
              <w:rPr>
                <w:rFonts w:ascii="Arial" w:cs="Arial" w:eastAsia="Arial" w:hAnsi="Arial"/>
                <w:sz w:val="18"/>
                <w:szCs w:val="18"/>
                <w:color w:val="auto"/>
              </w:rPr>
              <w:t>(66,516)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13,081,703</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4,236,367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80" w:type="dxa"/>
            <w:vAlign w:val="bottom"/>
            <w:tcBorders>
              <w:right w:val="single" w:sz="8" w:color="808080"/>
            </w:tcBorders>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23,141,313</w:t>
            </w:r>
          </w:p>
        </w:tc>
        <w:tc>
          <w:tcPr>
            <w:tcW w:w="20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4,169,851</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2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 paid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145,025</w:t>
            </w:r>
          </w:p>
        </w:tc>
        <w:tc>
          <w:tcPr>
            <w:tcW w:w="2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157,501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5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5720" w:type="dxa"/>
            <w:vAlign w:val="bottom"/>
          </w:tcPr>
          <w:p>
            <w:pPr>
              <w:spacing w:after="0"/>
              <w:rPr>
                <w:sz w:val="20"/>
                <w:szCs w:val="20"/>
                <w:color w:val="auto"/>
              </w:rPr>
            </w:pPr>
            <w:r>
              <w:rPr>
                <w:rFonts w:ascii="Arial" w:cs="Arial" w:eastAsia="Arial" w:hAnsi="Arial"/>
                <w:sz w:val="1"/>
                <w:szCs w:val="1"/>
                <w:color w:val="auto"/>
              </w:rPr>
              <w:t>Stock issued for licensing agreements</w:t>
            </w:r>
          </w:p>
        </w:tc>
        <w:tc>
          <w:tcPr>
            <w:tcW w:w="520" w:type="dxa"/>
            <w:vAlign w:val="bottom"/>
          </w:tcPr>
          <w:p>
            <w:pPr>
              <w:jc w:val="right"/>
              <w:spacing w:after="0"/>
              <w:rPr>
                <w:sz w:val="20"/>
                <w:szCs w:val="20"/>
                <w:color w:val="auto"/>
              </w:rPr>
            </w:pPr>
            <w:r>
              <w:rPr>
                <w:rFonts w:ascii="Arial" w:cs="Arial" w:eastAsia="Arial" w:hAnsi="Arial"/>
                <w:sz w:val="1"/>
                <w:szCs w:val="1"/>
                <w:color w:val="auto"/>
              </w:rPr>
              <w:t>$</w:t>
            </w:r>
          </w:p>
        </w:tc>
        <w:tc>
          <w:tcPr>
            <w:tcW w:w="800" w:type="dxa"/>
            <w:vAlign w:val="bottom"/>
          </w:tcPr>
          <w:p>
            <w:pPr>
              <w:jc w:val="right"/>
              <w:spacing w:after="0"/>
              <w:rPr>
                <w:sz w:val="20"/>
                <w:szCs w:val="20"/>
                <w:color w:val="auto"/>
              </w:rPr>
            </w:pPr>
            <w:r>
              <w:rPr>
                <w:rFonts w:ascii="Arial" w:cs="Arial" w:eastAsia="Arial" w:hAnsi="Arial"/>
                <w:sz w:val="1"/>
                <w:szCs w:val="1"/>
                <w:color w:val="auto"/>
              </w:rPr>
              <w:t>15,000</w:t>
            </w:r>
          </w:p>
        </w:tc>
        <w:tc>
          <w:tcPr>
            <w:tcW w:w="200" w:type="dxa"/>
            <w:vAlign w:val="bottom"/>
          </w:tcPr>
          <w:p>
            <w:pPr>
              <w:spacing w:after="0" w:line="20" w:lineRule="exact"/>
              <w:rPr>
                <w:sz w:val="1"/>
                <w:szCs w:val="1"/>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
                <w:szCs w:val="1"/>
                <w:color w:val="auto"/>
              </w:rPr>
              <w:t>$</w:t>
            </w:r>
          </w:p>
        </w:tc>
        <w:tc>
          <w:tcPr>
            <w:tcW w:w="780" w:type="dxa"/>
            <w:vAlign w:val="bottom"/>
          </w:tcPr>
          <w:p>
            <w:pPr>
              <w:jc w:val="right"/>
              <w:spacing w:after="0"/>
              <w:rPr>
                <w:sz w:val="20"/>
                <w:szCs w:val="20"/>
                <w:color w:val="auto"/>
              </w:rPr>
            </w:pPr>
            <w:r>
              <w:rPr>
                <w:rFonts w:ascii="Arial" w:cs="Arial" w:eastAsia="Arial" w:hAnsi="Arial"/>
                <w:sz w:val="1"/>
                <w:szCs w:val="1"/>
                <w:color w:val="auto"/>
              </w:rPr>
              <w:t>3,920</w:t>
            </w:r>
          </w:p>
        </w:tc>
        <w:tc>
          <w:tcPr>
            <w:tcW w:w="500" w:type="dxa"/>
            <w:vAlign w:val="bottom"/>
            <w:vMerge w:val="restart"/>
          </w:tcPr>
          <w:p>
            <w:pPr>
              <w:jc w:val="right"/>
              <w:ind w:right="265"/>
              <w:spacing w:after="0"/>
              <w:rPr>
                <w:sz w:val="20"/>
                <w:szCs w:val="20"/>
                <w:color w:val="auto"/>
              </w:rPr>
            </w:pPr>
            <w:r>
              <w:rPr>
                <w:rFonts w:ascii="Arial" w:cs="Arial" w:eastAsia="Arial" w:hAnsi="Arial"/>
                <w:sz w:val="15"/>
                <w:szCs w:val="15"/>
                <w:color w:val="auto"/>
                <w:w w:val="83"/>
              </w:rPr>
              <w:t>[2]</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firstLine="8"/>
        <w:spacing w:after="0" w:line="264"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terms of a license agreement with the California Institute of Technology (Cal Tech), fees of $10,000 and $5,000 were due on the issuance of two patents to which StemCells holds a license from Cal Tech, payable in cash or stock at the Company’s choice. Company elected to pay the fees in stock and issued 9,535 unregistered shares to Cal Tech.</w:t>
      </w:r>
    </w:p>
    <w:p>
      <w:pPr>
        <w:spacing w:after="0" w:line="140" w:lineRule="exact"/>
        <w:rPr>
          <w:rFonts w:ascii="Arial" w:cs="Arial" w:eastAsia="Arial" w:hAnsi="Arial"/>
          <w:sz w:val="18"/>
          <w:szCs w:val="18"/>
          <w:color w:val="auto"/>
        </w:rPr>
      </w:pPr>
    </w:p>
    <w:p>
      <w:pPr>
        <w:ind w:right="42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terms of an amended license agreement with the Oregon Health Sciences University (OHSU), 4,000 shares of stock were due to OHSU on execution of the amended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 and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nine months ended September 30, 2004, are not necessarily indicative of the results that may be expected for the entire fiscal year ending December 31, 2004.</w:t>
      </w:r>
    </w:p>
    <w:p>
      <w:pPr>
        <w:spacing w:after="0" w:line="137"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2003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2003, included on Form 10-K.</w:t>
      </w:r>
    </w:p>
    <w:p>
      <w:pPr>
        <w:spacing w:after="0" w:line="10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Certain amounts reported in previous periods have been reclassified to conform to the 2004 presentation. These reclassifications had no effect on operating or net income.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8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jc w:val="center"/>
              <w:ind w:right="314"/>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3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applicable to common</w:t>
            </w:r>
          </w:p>
        </w:tc>
        <w:tc>
          <w:tcPr>
            <w:tcW w:w="34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w w:val="93"/>
              </w:rPr>
              <w:t>(4,337,600)</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w w:val="91"/>
              </w:rPr>
              <w:t>(2,599,251)</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279"/>
              <w:spacing w:after="0"/>
              <w:rPr>
                <w:sz w:val="20"/>
                <w:szCs w:val="20"/>
                <w:color w:val="auto"/>
              </w:rPr>
            </w:pPr>
            <w:r>
              <w:rPr>
                <w:rFonts w:ascii="Arial" w:cs="Arial" w:eastAsia="Arial" w:hAnsi="Arial"/>
                <w:sz w:val="18"/>
                <w:szCs w:val="18"/>
                <w:color w:val="auto"/>
                <w:w w:val="90"/>
              </w:rPr>
              <w:t>(10,410,859)</w:t>
            </w:r>
          </w:p>
        </w:tc>
        <w:tc>
          <w:tcPr>
            <w:tcW w:w="2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w w:val="91"/>
              </w:rPr>
              <w:t>(9,256,538)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computing net loss per share applicable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to common stockholders, basic and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80" w:type="dxa"/>
            <w:vAlign w:val="bottom"/>
          </w:tcPr>
          <w:p>
            <w:pPr>
              <w:jc w:val="right"/>
              <w:ind w:right="279"/>
              <w:spacing w:after="0"/>
              <w:rPr>
                <w:sz w:val="20"/>
                <w:szCs w:val="20"/>
                <w:color w:val="auto"/>
              </w:rPr>
            </w:pPr>
            <w:r>
              <w:rPr>
                <w:rFonts w:ascii="Arial" w:cs="Arial" w:eastAsia="Arial" w:hAnsi="Arial"/>
                <w:sz w:val="18"/>
                <w:szCs w:val="18"/>
                <w:color w:val="auto"/>
                <w:w w:val="88"/>
              </w:rPr>
              <w:t>54,232,231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274"/>
              <w:spacing w:after="0"/>
              <w:rPr>
                <w:sz w:val="20"/>
                <w:szCs w:val="20"/>
                <w:color w:val="auto"/>
              </w:rPr>
            </w:pPr>
            <w:r>
              <w:rPr>
                <w:rFonts w:ascii="Arial" w:cs="Arial" w:eastAsia="Arial" w:hAnsi="Arial"/>
                <w:sz w:val="18"/>
                <w:szCs w:val="18"/>
                <w:color w:val="auto"/>
                <w:w w:val="86"/>
              </w:rPr>
              <w:t>33,824,249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9"/>
              <w:spacing w:after="0"/>
              <w:rPr>
                <w:sz w:val="20"/>
                <w:szCs w:val="20"/>
                <w:color w:val="auto"/>
              </w:rPr>
            </w:pPr>
            <w:r>
              <w:rPr>
                <w:rFonts w:ascii="Arial" w:cs="Arial" w:eastAsia="Arial" w:hAnsi="Arial"/>
                <w:sz w:val="18"/>
                <w:szCs w:val="18"/>
                <w:color w:val="auto"/>
                <w:w w:val="95"/>
              </w:rPr>
              <w:t>46,132,704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294"/>
              <w:spacing w:after="0"/>
              <w:rPr>
                <w:sz w:val="20"/>
                <w:szCs w:val="20"/>
                <w:color w:val="auto"/>
              </w:rPr>
            </w:pPr>
            <w:r>
              <w:rPr>
                <w:rFonts w:ascii="Arial" w:cs="Arial" w:eastAsia="Arial" w:hAnsi="Arial"/>
                <w:sz w:val="18"/>
                <w:szCs w:val="18"/>
                <w:color w:val="auto"/>
                <w:w w:val="86"/>
              </w:rPr>
              <w:t>30,666,932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per share applicable to common</w:t>
            </w:r>
          </w:p>
        </w:tc>
        <w:tc>
          <w:tcPr>
            <w:tcW w:w="34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basic and diluted.</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(0.08)</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(0.08)</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279"/>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291"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20" w:type="dxa"/>
            <w:vAlign w:val="bottom"/>
            <w:gridSpan w:val="7"/>
          </w:tcPr>
          <w:p>
            <w:pPr>
              <w:ind w:left="540"/>
              <w:spacing w:after="0"/>
              <w:rPr>
                <w:sz w:val="20"/>
                <w:szCs w:val="20"/>
                <w:color w:val="auto"/>
              </w:rPr>
            </w:pPr>
            <w:r>
              <w:rPr>
                <w:rFonts w:ascii="Arial" w:cs="Arial" w:eastAsia="Arial" w:hAnsi="Arial"/>
                <w:sz w:val="14"/>
                <w:szCs w:val="14"/>
                <w:b w:val="1"/>
                <w:bCs w:val="1"/>
                <w:color w:val="auto"/>
              </w:rPr>
              <w:t>Outstanding at September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34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Convertible preferred stock</w:t>
            </w:r>
          </w:p>
        </w:tc>
        <w:tc>
          <w:tcPr>
            <w:tcW w:w="52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20" w:type="dxa"/>
            <w:vAlign w:val="bottom"/>
            <w:gridSpan w:val="4"/>
            <w:shd w:val="clear" w:color="auto" w:fill="EEEEEE"/>
          </w:tcPr>
          <w:p>
            <w:pPr>
              <w:ind w:left="82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Outstanding options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6,222,389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gridSpan w:val="4"/>
          </w:tcPr>
          <w:p>
            <w:pPr>
              <w:ind w:left="820"/>
              <w:spacing w:after="0"/>
              <w:rPr>
                <w:sz w:val="20"/>
                <w:szCs w:val="20"/>
                <w:color w:val="auto"/>
              </w:rPr>
            </w:pPr>
            <w:r>
              <w:rPr>
                <w:rFonts w:ascii="Arial" w:cs="Arial" w:eastAsia="Arial" w:hAnsi="Arial"/>
                <w:sz w:val="18"/>
                <w:szCs w:val="18"/>
                <w:color w:val="auto"/>
              </w:rPr>
              <w:t>4,537,436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Outstanding warrants</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6,038,430</w:t>
            </w: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20" w:type="dxa"/>
            <w:vAlign w:val="bottom"/>
            <w:gridSpan w:val="4"/>
            <w:shd w:val="clear" w:color="auto" w:fill="EEEEEE"/>
          </w:tcPr>
          <w:p>
            <w:pPr>
              <w:ind w:left="820"/>
              <w:spacing w:after="0"/>
              <w:rPr>
                <w:sz w:val="20"/>
                <w:szCs w:val="20"/>
                <w:color w:val="auto"/>
              </w:rPr>
            </w:pPr>
            <w:r>
              <w:rPr>
                <w:rFonts w:ascii="Arial" w:cs="Arial" w:eastAsia="Arial" w:hAnsi="Arial"/>
                <w:sz w:val="18"/>
                <w:szCs w:val="18"/>
                <w:color w:val="auto"/>
              </w:rPr>
              <w:t>3,180,238</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8"/>
              </w:rPr>
              <w:t>12,260,819</w:t>
            </w:r>
          </w:p>
        </w:tc>
        <w:tc>
          <w:tcPr>
            <w:tcW w:w="20" w:type="dxa"/>
            <w:vAlign w:val="bottom"/>
            <w:tcBorders>
              <w:bottom w:val="single" w:sz="8" w:color="808080"/>
            </w:tcBorders>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72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w w:val="87"/>
              </w:rPr>
              <w:t>8,717,674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these circumstances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For purposes of disclosures pursuant to Statement of Financial Accounting Standards No. 123, “Accounting for Stock-Based Compensation,” (SFAS 123) as amended by Statement of Financial Accounting Standards No. 148,</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“Accounting for Stock-Based Compensation — Transition and Disclosure,” (SFAS 148), the estimated fair value of options is amortized to expense over the options’ vesting period. The following table illustrates the effect on net loss and net loss per share if the Company had applied the fair value recognition provisions of FAS 123 to stock-based employee compensation:</w:t>
      </w:r>
    </w:p>
    <w:p>
      <w:pPr>
        <w:spacing w:after="0" w:line="35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00" w:type="dxa"/>
            <w:vAlign w:val="bottom"/>
            <w:gridSpan w:val="5"/>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September 30,</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61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61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applicable to</w:t>
            </w: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common stockholders – as</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reported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(4,337,600)</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3"/>
              </w:rPr>
              <w:t>(2,599,251)</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(10,410,859)</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93"/>
              </w:rPr>
              <w:t>(9,256,538)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Add: Stock-based</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employee/director</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compensation expense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included in reported net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loss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55,961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33,868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176,968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Total stock-based</w:t>
            </w: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employee/director</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compensation expense</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under the fair value based</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method for all awards</w:t>
            </w:r>
          </w:p>
        </w:tc>
        <w:tc>
          <w:tcPr>
            <w:tcW w:w="44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(168,124)</w:t>
            </w: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(200,643)</w:t>
            </w: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(588,613)</w:t>
            </w:r>
          </w:p>
        </w:tc>
        <w:tc>
          <w:tcPr>
            <w:tcW w:w="4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2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(657,961)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Net loss applicable to</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common stockholders –</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proforma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1"/>
              </w:rPr>
              <w:t>(4,505,724)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3"/>
              </w:rPr>
              <w:t>(2,743,933)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(10,965,604)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w w:val="93"/>
              </w:rPr>
              <w:t>(9,737,531)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Basic and diluted net loss</w:t>
            </w: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per share applicable to</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stockholders as</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reported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(0.08)</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(0.08)</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(0.23)</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Basic and diluted net loss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per share applicable to</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common stockholders –</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pro forma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(0.08)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Shares used in basic and</w:t>
            </w: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 loss per share</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applicable to common</w:t>
            </w: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 amounts</w:t>
            </w:r>
          </w:p>
        </w:tc>
        <w:tc>
          <w:tcPr>
            <w:tcW w:w="44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54,232,231</w:t>
            </w: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8"/>
              </w:rPr>
              <w:t>33,824,249</w:t>
            </w: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46,132,704</w:t>
            </w:r>
          </w:p>
        </w:tc>
        <w:tc>
          <w:tcPr>
            <w:tcW w:w="4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24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8"/>
              </w:rPr>
              <w:t>30,666,932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SFAS 123, the Company has used the Black-Scholes model for option valuation, which method may not accurately value the options described.</w:t>
      </w:r>
    </w:p>
    <w:p>
      <w:pPr>
        <w:spacing w:after="0" w:line="141" w:lineRule="exact"/>
        <w:rPr>
          <w:sz w:val="20"/>
          <w:szCs w:val="20"/>
          <w:color w:val="auto"/>
        </w:rPr>
      </w:pPr>
    </w:p>
    <w:p>
      <w:pPr>
        <w:ind w:right="320" w:firstLine="222"/>
        <w:spacing w:after="0" w:line="302" w:lineRule="auto"/>
        <w:rPr>
          <w:sz w:val="20"/>
          <w:szCs w:val="20"/>
          <w:color w:val="auto"/>
        </w:rPr>
      </w:pPr>
      <w:r>
        <w:rPr>
          <w:rFonts w:ascii="Arial" w:cs="Arial" w:eastAsia="Arial" w:hAnsi="Arial"/>
          <w:sz w:val="16"/>
          <w:szCs w:val="16"/>
          <w:color w:val="auto"/>
        </w:rPr>
        <w:t>The Company accounts for stock options granted to non-employees in accordance with SFAS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0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 xml:space="preserve">During March 2004, the Financial Accounting Standards Board (FASB) issued an exposure draft of a new standard entitled </w:t>
      </w:r>
      <w:r>
        <w:rPr>
          <w:rFonts w:ascii="Arial" w:cs="Arial" w:eastAsia="Arial" w:hAnsi="Arial"/>
          <w:sz w:val="17"/>
          <w:szCs w:val="17"/>
          <w:i w:val="1"/>
          <w:iCs w:val="1"/>
          <w:color w:val="auto"/>
        </w:rPr>
        <w:t>Share Based Payment,</w:t>
      </w:r>
      <w:r>
        <w:rPr>
          <w:rFonts w:ascii="Arial" w:cs="Arial" w:eastAsia="Arial" w:hAnsi="Arial"/>
          <w:sz w:val="17"/>
          <w:szCs w:val="17"/>
          <w:color w:val="auto"/>
        </w:rPr>
        <w:t xml:space="preserve"> which would amend Statement of Financial Accounting Standard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and SFAS No. 95, </w:t>
      </w:r>
      <w:r>
        <w:rPr>
          <w:rFonts w:ascii="Arial" w:cs="Arial" w:eastAsia="Arial" w:hAnsi="Arial"/>
          <w:sz w:val="17"/>
          <w:szCs w:val="17"/>
          <w:i w:val="1"/>
          <w:iCs w:val="1"/>
          <w:color w:val="auto"/>
        </w:rPr>
        <w:t>Statement of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Flows. </w:t>
      </w:r>
      <w:r>
        <w:rPr>
          <w:rFonts w:ascii="Arial" w:cs="Arial" w:eastAsia="Arial" w:hAnsi="Arial"/>
          <w:sz w:val="17"/>
          <w:szCs w:val="17"/>
          <w:color w:val="auto"/>
        </w:rPr>
        <w:t>Among other items, the new standard would require the expensing of stock options issued by the Company in the financial statements using a fair-value-based method. The new standard, as proposed, would be effective for fiscal years beginning after December 15, 2004. In October 2004, the Financial Accounting Standards Board decided that public companies will be required to expense employee stock options in periods (both interim and annual) beginning after June 15, 2005. Calendar-year companies will have to begin complying as of the third quarter of 2005.</w:t>
      </w:r>
    </w:p>
    <w:p>
      <w:pPr>
        <w:sectPr>
          <w:pgSz w:w="11900" w:h="16838" w:orient="portrait"/>
          <w:cols w:equalWidth="0" w:num="1">
            <w:col w:w="11400"/>
          </w:cols>
          <w:pgMar w:left="240" w:top="419" w:right="259"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Companies that have not already voluntarily adopted FAS 123 will be permitted, but not required, to restate earlier quarters in the year of adoption, using the FAS 123 values disclosed in their footnotes. Companies will also be permitted to restate all prior years presented, using their FAS 123 footnote values. FASB is encouraging companies to begin applying the new expensing requirements as of the beginning of 2005. A final standard still is expected in December 2004. See “Stock-based Compensation” above in this Note 1 for disclosures regarding the effect on net earnings and earnings per share if we had applied the fair value recognition provisions of the exposure draft and SFAS No. 123. Depending on the model used to calculate stock-based compensation expense in the future, that disclosure may not prove indicative of the stock-based compensation expense to be recognized in future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89"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 August 2014. Interest rates vary with the respective bonds’ maturities, ranging currently from 8.1% to 9.5%. The outstanding principal at September 30, 2004 was approximately $1,910,000. The bonds contain certain restrictive covenants, which limit among other things, the payment of cash dividends and the sale of the related assets.</w:t>
      </w:r>
    </w:p>
    <w:p>
      <w:pPr>
        <w:spacing w:after="0" w:line="118"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2003 and September 30, 2004, the Company had deferred rent liability for this facility of $1,147,000 and $1,170,000 respectively; the deferred rent liability is presented as part of the wind-down accrual.</w:t>
      </w:r>
    </w:p>
    <w:p>
      <w:pPr>
        <w:spacing w:after="0" w:line="160" w:lineRule="exact"/>
        <w:rPr>
          <w:sz w:val="20"/>
          <w:szCs w:val="20"/>
          <w:color w:val="auto"/>
        </w:rPr>
      </w:pPr>
    </w:p>
    <w:p>
      <w:pPr>
        <w:ind w:right="40" w:firstLine="215"/>
        <w:spacing w:after="0" w:line="270" w:lineRule="auto"/>
        <w:rPr>
          <w:sz w:val="20"/>
          <w:szCs w:val="20"/>
          <w:color w:val="auto"/>
        </w:rPr>
      </w:pPr>
      <w:r>
        <w:rPr>
          <w:rFonts w:ascii="Arial" w:cs="Arial" w:eastAsia="Arial" w:hAnsi="Arial"/>
          <w:sz w:val="17"/>
          <w:szCs w:val="17"/>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As part of a subleasing agreement for the laboratory facility, the Company was required to provide the landlord with two letters of credit: one for $106,560, which expired on March 31, 2003, and the other for $159,000 which will automatically decrease to $106,053 on March 15, 2005 and $52,947 on March 15, 2006, with a final expiration date of March 31, 2007.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37" w:lineRule="exact"/>
        <w:rPr>
          <w:sz w:val="20"/>
          <w:szCs w:val="20"/>
          <w:color w:val="auto"/>
        </w:rPr>
      </w:pPr>
    </w:p>
    <w:p>
      <w:pPr>
        <w:ind w:right="20" w:firstLine="215"/>
        <w:spacing w:after="0" w:line="289"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As the lease involved an upfront payment as well as escalating rent payments, the Company is recognizing rent expense on a straight-line basis. At September 30, 2004, the Company had $617,000 in deferred rent liability for this facility. In 2001 and 2002, the Company entered into space-sharing agreements currently covering in total approximately 15,000 square feet of the 40,000 square foot facility. The Company expects to receive the amount of base rent plus the proportionate share of the operating expenses that it pays for such space over the term of these agreements.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WIND-DOWN OF ENCAPSULATED CELL TECHNOLOGY RESEARCH AND DEVELOPMENT PROGRAM</w:t>
      </w:r>
    </w:p>
    <w:p>
      <w:pPr>
        <w:spacing w:after="0" w:line="202"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In 1999, in connection with exiting its former corporate headquarters and encapsulated cell technology facilities, the Company created a reserve for the estimated lease payments and operating expenses of the Rhode Island facilities through June 30, 2000, when it expected to fully sublease, assign or sell its remaining interests in the property. The Company did not fully sublet the Rhode Island facilities as expected and therefore made a change in estimate in June 2000 to accrue additional expenses of $3,327,000 to cover operating lease payments and operating expenses (including utilities, taxes, insurance, maintenance, interest and other non-employee expenses) through 2001. At December 31, 2001, the $3,327,000 reserve was exhausted and the Company recorded an additional reserve of $575,000. This reserve was based on information provided by the Company’s broker/realtor that estimated, based on assumptions relevant to the real estate market conditions as of the end of 2001, the time it would be likely to take until the facility would be fully sub-leased. In 2002, the Company incurred $964,000 in lease payments and operating expenses, net of subtenant income for this facility, of which $575,000 was recorded against the reserve created at the end of 2001 and the remainder recorded as wind-down expenses. At the end of December 2002, based on an analysis of the real estate market conditions at that time, the Company revised the reserve to $775,000. In 2003 the Company incurred $984,000 in lease payments and operating expenses, net of subtenant income for this facility of which $775,000 was recorded against the reserve and the remainder recorded as wind-down expenses. After considering various factors such as the Company’s experience in subleasing the facility since exiting the facility in 1999, its lease payments through to the end of the lease, facility operating expenses, the current real estate market in Rhode Island, and estimated subtenant income based on both actual and projected occupancy, the Company revised the reserve at December 31, 2003 to $2,676,000. For the December 31, 2003 financial statement presentation, the deferred rent of $1,147,000 (see NOTE 2) related to this facility was included in the wind-down accrual shown on the balance sheet. For the nine months ending September 30, 2004 the Company recorded $876,000 against the reserve. At March 31, 2004, June 30, 2004 and September 30, 2004 the Company, as a result of its periodic review, re-evaluated its estimate and adjusted the reserve to $2,510,000, $2,680,000 and $3,743,000 respectively, by recording an additional $130,000 at March 31, 2004, $468,000 at June 30, 2004 and $1,345,000 at September 30, 2004 as wind-down expenses. The third quarter adjustment was substantially higher than those for the previous two quarters, due in significant part to the failure to secure an anticipated sublease and to recent deterioration in the Rhode Island real estate market. For the September 30, 2004 financial statement presentation, the total accrued wind-down expenses (current portion and non-current portion) of $4,913,000, represents the total of the deferred rent related to this facility of $1,170,000 and the reserve of $3,743,000. Even though it is the intent of the Company to sublease, assign or sell its interests in the facility at the earliest possible time, it cannot determine with certainty a fixed date by which such events will occur. In light of this uncertainty, based on estimates, the Company will periodically re-evaluate and adjust the reserve, as necessary.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Period covered</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January to</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April to June 30,</w:t>
            </w:r>
          </w:p>
        </w:tc>
        <w:tc>
          <w:tcPr>
            <w:tcW w:w="280" w:type="dxa"/>
            <w:vAlign w:val="bottom"/>
          </w:tcPr>
          <w:p>
            <w:pPr>
              <w:spacing w:after="0"/>
              <w:rPr>
                <w:sz w:val="16"/>
                <w:szCs w:val="16"/>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July to September</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March 31, 2004</w:t>
            </w:r>
          </w:p>
        </w:tc>
        <w:tc>
          <w:tcPr>
            <w:tcW w:w="18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6"/>
                <w:szCs w:val="16"/>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30, 2004</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8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Accrued wind-down reserve at</w:t>
            </w:r>
          </w:p>
        </w:tc>
        <w:tc>
          <w:tcPr>
            <w:tcW w:w="500" w:type="dxa"/>
            <w:vAlign w:val="bottom"/>
            <w:tcBorders>
              <w:right w:val="single" w:sz="8" w:color="EEEEEE"/>
            </w:tcBorders>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8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beginning of period</w:t>
            </w:r>
          </w:p>
        </w:tc>
        <w:tc>
          <w:tcPr>
            <w:tcW w:w="12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$2,676,000</w:t>
            </w:r>
          </w:p>
        </w:tc>
        <w:tc>
          <w:tcPr>
            <w:tcW w:w="100" w:type="dxa"/>
            <w:vAlign w:val="bottom"/>
            <w:shd w:val="clear" w:color="auto" w:fill="EEEEEE"/>
          </w:tcPr>
          <w:p>
            <w:pPr>
              <w:spacing w:after="0"/>
              <w:rPr>
                <w:sz w:val="20"/>
                <w:szCs w:val="20"/>
                <w:color w:val="auto"/>
              </w:rPr>
            </w:pPr>
          </w:p>
        </w:tc>
        <w:tc>
          <w:tcPr>
            <w:tcW w:w="1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$2,510,000</w:t>
            </w:r>
          </w:p>
        </w:tc>
        <w:tc>
          <w:tcPr>
            <w:tcW w:w="480" w:type="dxa"/>
            <w:vAlign w:val="bottom"/>
            <w:shd w:val="clear" w:color="auto" w:fill="EEEEEE"/>
          </w:tcPr>
          <w:p>
            <w:pPr>
              <w:spacing w:after="0"/>
              <w:rPr>
                <w:sz w:val="20"/>
                <w:szCs w:val="20"/>
                <w:color w:val="auto"/>
              </w:rPr>
            </w:pPr>
          </w:p>
        </w:tc>
        <w:tc>
          <w:tcPr>
            <w:tcW w:w="15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$2,680,000</w:t>
            </w:r>
          </w:p>
        </w:tc>
        <w:tc>
          <w:tcPr>
            <w:tcW w:w="480" w:type="dxa"/>
            <w:vAlign w:val="bottom"/>
            <w:shd w:val="clear" w:color="auto" w:fill="EEEEEE"/>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Less actual expenses recorded</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against estimated reserve during</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the period</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(296,000)</w:t>
            </w:r>
          </w:p>
        </w:tc>
        <w:tc>
          <w:tcPr>
            <w:tcW w:w="2340" w:type="dxa"/>
            <w:vAlign w:val="bottom"/>
            <w:gridSpan w:val="5"/>
          </w:tcPr>
          <w:p>
            <w:pPr>
              <w:jc w:val="right"/>
              <w:ind w:right="440"/>
              <w:spacing w:after="0"/>
              <w:rPr>
                <w:sz w:val="20"/>
                <w:szCs w:val="20"/>
                <w:color w:val="auto"/>
              </w:rPr>
            </w:pPr>
            <w:r>
              <w:rPr>
                <w:rFonts w:ascii="Arial" w:cs="Arial" w:eastAsia="Arial" w:hAnsi="Arial"/>
                <w:sz w:val="18"/>
                <w:szCs w:val="18"/>
                <w:color w:val="auto"/>
              </w:rPr>
              <w:t>(298,000)</w:t>
            </w:r>
          </w:p>
        </w:tc>
        <w:tc>
          <w:tcPr>
            <w:tcW w:w="2020" w:type="dxa"/>
            <w:vAlign w:val="bottom"/>
            <w:gridSpan w:val="4"/>
          </w:tcPr>
          <w:p>
            <w:pPr>
              <w:jc w:val="right"/>
              <w:ind w:right="440"/>
              <w:spacing w:after="0"/>
              <w:rPr>
                <w:sz w:val="20"/>
                <w:szCs w:val="20"/>
                <w:color w:val="auto"/>
              </w:rPr>
            </w:pPr>
            <w:r>
              <w:rPr>
                <w:rFonts w:ascii="Arial" w:cs="Arial" w:eastAsia="Arial" w:hAnsi="Arial"/>
                <w:sz w:val="18"/>
                <w:szCs w:val="18"/>
                <w:color w:val="auto"/>
              </w:rPr>
              <w:t>(282,000)</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8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Additional expense recorded to</w:t>
            </w:r>
          </w:p>
        </w:tc>
        <w:tc>
          <w:tcPr>
            <w:tcW w:w="500" w:type="dxa"/>
            <w:vAlign w:val="bottom"/>
            <w:tcBorders>
              <w:right w:val="single" w:sz="8" w:color="EEEEEE"/>
            </w:tcBorders>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revise estimated reserve at</w:t>
            </w:r>
          </w:p>
        </w:tc>
        <w:tc>
          <w:tcPr>
            <w:tcW w:w="50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8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period-end</w:t>
            </w:r>
          </w:p>
        </w:tc>
        <w:tc>
          <w:tcPr>
            <w:tcW w:w="12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EEEEEE"/>
          </w:tcPr>
          <w:p>
            <w:pPr>
              <w:spacing w:after="0"/>
              <w:rPr>
                <w:sz w:val="20"/>
                <w:szCs w:val="20"/>
                <w:color w:val="auto"/>
              </w:rPr>
            </w:pPr>
          </w:p>
        </w:tc>
        <w:tc>
          <w:tcPr>
            <w:tcW w:w="1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468,000</w:t>
            </w:r>
          </w:p>
        </w:tc>
        <w:tc>
          <w:tcPr>
            <w:tcW w:w="480" w:type="dxa"/>
            <w:vAlign w:val="bottom"/>
            <w:shd w:val="clear" w:color="auto" w:fill="EEEEEE"/>
          </w:tcPr>
          <w:p>
            <w:pPr>
              <w:spacing w:after="0"/>
              <w:rPr>
                <w:sz w:val="20"/>
                <w:szCs w:val="20"/>
                <w:color w:val="auto"/>
              </w:rPr>
            </w:pPr>
          </w:p>
        </w:tc>
        <w:tc>
          <w:tcPr>
            <w:tcW w:w="15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1,345,000</w:t>
            </w:r>
          </w:p>
        </w:tc>
        <w:tc>
          <w:tcPr>
            <w:tcW w:w="480" w:type="dxa"/>
            <w:vAlign w:val="bottom"/>
            <w:shd w:val="clear" w:color="auto" w:fill="EEEEEE"/>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840" w:type="dxa"/>
            <w:vAlign w:val="bottom"/>
            <w:vMerge w:val="restart"/>
          </w:tcPr>
          <w:p>
            <w:pPr>
              <w:spacing w:after="0"/>
              <w:rPr>
                <w:sz w:val="20"/>
                <w:szCs w:val="20"/>
                <w:color w:val="auto"/>
              </w:rPr>
            </w:pPr>
            <w:r>
              <w:rPr>
                <w:rFonts w:ascii="Arial" w:cs="Arial" w:eastAsia="Arial" w:hAnsi="Arial"/>
                <w:sz w:val="18"/>
                <w:szCs w:val="18"/>
                <w:color w:val="auto"/>
              </w:rPr>
              <w:t>Revised reserve at period-end</w:t>
            </w: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2,510,000</w:t>
            </w: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2,680,000</w:t>
            </w:r>
          </w:p>
        </w:tc>
        <w:tc>
          <w:tcPr>
            <w:tcW w:w="4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3,743,000</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Add deferred rent at period end</w:t>
            </w:r>
          </w:p>
        </w:tc>
        <w:tc>
          <w:tcPr>
            <w:tcW w:w="12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1,155,000</w:t>
            </w:r>
          </w:p>
        </w:tc>
        <w:tc>
          <w:tcPr>
            <w:tcW w:w="100" w:type="dxa"/>
            <w:vAlign w:val="bottom"/>
            <w:shd w:val="clear" w:color="auto" w:fill="EEEEEE"/>
          </w:tcPr>
          <w:p>
            <w:pPr>
              <w:spacing w:after="0"/>
              <w:rPr>
                <w:sz w:val="18"/>
                <w:szCs w:val="18"/>
                <w:color w:val="auto"/>
              </w:rPr>
            </w:pPr>
          </w:p>
        </w:tc>
        <w:tc>
          <w:tcPr>
            <w:tcW w:w="1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1,162,000</w:t>
            </w:r>
          </w:p>
        </w:tc>
        <w:tc>
          <w:tcPr>
            <w:tcW w:w="480" w:type="dxa"/>
            <w:vAlign w:val="bottom"/>
            <w:shd w:val="clear" w:color="auto" w:fill="EEEEEE"/>
          </w:tcPr>
          <w:p>
            <w:pPr>
              <w:spacing w:after="0"/>
              <w:rPr>
                <w:sz w:val="18"/>
                <w:szCs w:val="18"/>
                <w:color w:val="auto"/>
              </w:rPr>
            </w:pPr>
          </w:p>
        </w:tc>
        <w:tc>
          <w:tcPr>
            <w:tcW w:w="15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1,170,000</w:t>
            </w: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840" w:type="dxa"/>
            <w:vAlign w:val="bottom"/>
            <w:vMerge w:val="restart"/>
          </w:tcPr>
          <w:p>
            <w:pPr>
              <w:spacing w:after="0"/>
              <w:rPr>
                <w:sz w:val="20"/>
                <w:szCs w:val="20"/>
                <w:color w:val="auto"/>
              </w:rPr>
            </w:pPr>
            <w:r>
              <w:rPr>
                <w:rFonts w:ascii="Arial" w:cs="Arial" w:eastAsia="Arial" w:hAnsi="Arial"/>
                <w:sz w:val="18"/>
                <w:szCs w:val="18"/>
                <w:color w:val="auto"/>
                <w:w w:val="99"/>
              </w:rPr>
              <w:t>Total accrued wind-down expenses</w:t>
            </w:r>
          </w:p>
        </w:tc>
        <w:tc>
          <w:tcPr>
            <w:tcW w:w="5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at period-end (current and non</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current portion)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$3,665,000</w:t>
            </w:r>
          </w:p>
        </w:tc>
        <w:tc>
          <w:tcPr>
            <w:tcW w:w="10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$3,842,000</w:t>
            </w:r>
          </w:p>
        </w:tc>
        <w:tc>
          <w:tcPr>
            <w:tcW w:w="4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$4,913,000</w:t>
            </w: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14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500" w:type="dxa"/>
            <w:vAlign w:val="bottom"/>
            <w:tcBorders>
              <w:right w:val="single" w:sz="8" w:color="808080"/>
            </w:tcBorders>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jc w:val="right"/>
              <w:ind w:right="73"/>
              <w:spacing w:after="0"/>
              <w:rPr>
                <w:sz w:val="20"/>
                <w:szCs w:val="20"/>
                <w:color w:val="auto"/>
              </w:rPr>
            </w:pPr>
            <w:r>
              <w:rPr>
                <w:rFonts w:ascii="Arial" w:cs="Arial" w:eastAsia="Arial" w:hAnsi="Arial"/>
                <w:sz w:val="18"/>
                <w:szCs w:val="18"/>
                <w:color w:val="auto"/>
                <w:w w:val="79"/>
              </w:rPr>
              <w:t>10</w:t>
            </w:r>
          </w:p>
        </w:tc>
        <w:tc>
          <w:tcPr>
            <w:tcW w:w="280" w:type="dxa"/>
            <w:vAlign w:val="bottom"/>
          </w:tcPr>
          <w:p>
            <w:pPr>
              <w:spacing w:after="0"/>
              <w:rPr>
                <w:sz w:val="6"/>
                <w:szCs w:val="6"/>
                <w:color w:val="auto"/>
              </w:rPr>
            </w:pPr>
          </w:p>
        </w:tc>
        <w:tc>
          <w:tcPr>
            <w:tcW w:w="520" w:type="dxa"/>
            <w:vAlign w:val="bottom"/>
            <w:tcBorders>
              <w:right w:val="single" w:sz="8" w:color="808080"/>
            </w:tcBorders>
          </w:tcPr>
          <w:p>
            <w:pPr>
              <w:spacing w:after="0"/>
              <w:rPr>
                <w:sz w:val="6"/>
                <w:szCs w:val="6"/>
                <w:color w:val="auto"/>
              </w:rPr>
            </w:pPr>
          </w:p>
        </w:tc>
        <w:tc>
          <w:tcPr>
            <w:tcW w:w="720" w:type="dxa"/>
            <w:vAlign w:val="bottom"/>
            <w:tcBorders>
              <w:right w:val="single" w:sz="8" w:color="808080"/>
            </w:tcBorders>
            <w:shd w:val="clear" w:color="auto" w:fill="808080"/>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Borders>
              <w:right w:val="single" w:sz="8" w:color="808080"/>
            </w:tcBorders>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4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202"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revenue of $56,250 in 2001, $225,000 for 2002 and $112,500 for 2003. The Company does not intend to draw further funds from this grant since it will no longer pursue the particular research it covered. 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in 2003, and $92,000 for the nine months ended September 30, 2004. The remaining $107,000 will go towards reimbursing a subcontractor. In September 2004, the National Institutes of Health (NIH) awarded the Company a Small Business Technology Transfer grant of $464,000 for studies in Alzheimer’s disease, consisting of $308,000 for the first year and $156,000 for the remainder of the grant term, September 30, 2004 through March 31, 2006. The studies will be conducted by Dr. George A. Carlson of the McLaughlin research Institute (MRI) in Great Falls, Montana, which will receive approximately $222,000 of the total award. A multi-year grant was awarded by the NIH to the Reeve-Irvine Center at the University of California-Irvine to fund new studies by Drs. Aileen J. Anderson and Brian J. Cummings of the human central nervous system stem cell (hCNS-SC) grafts in the treatment of spinal cord injuries. The Company will not receive any funds from this grant, but will collaborate with Drs. Anderson and Cummings by providing its proprietary cells for the studies.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189" w:lineRule="exact"/>
        <w:rPr>
          <w:sz w:val="20"/>
          <w:szCs w:val="20"/>
          <w:color w:val="auto"/>
        </w:rPr>
      </w:pPr>
    </w:p>
    <w:p>
      <w:pPr>
        <w:jc w:val="both"/>
        <w:ind w:right="140" w:firstLine="225"/>
        <w:spacing w:after="0" w:line="288" w:lineRule="auto"/>
        <w:rPr>
          <w:sz w:val="20"/>
          <w:szCs w:val="20"/>
          <w:color w:val="auto"/>
        </w:rPr>
      </w:pPr>
      <w:r>
        <w:rPr>
          <w:rFonts w:ascii="Arial" w:cs="Arial" w:eastAsia="Arial" w:hAnsi="Arial"/>
          <w:sz w:val="16"/>
          <w:szCs w:val="16"/>
          <w:color w:val="auto"/>
        </w:rPr>
        <w:t>On June 16, 2004, the Company entered into a definitive agreement with institutional and other accredited investors with respect to the private placement of approximately 13,160,000 shares of its common stock at a purchase price of $1.52 per share, for gross proceeds of approximately $20,000,000. Investors also received warrants exercisable for five years to purchase approximately 3,290,000 shares of common stock at an exercise price of $1.90 per share. C.E.</w:t>
      </w:r>
    </w:p>
    <w:p>
      <w:pPr>
        <w:spacing w:after="0" w:line="255" w:lineRule="auto"/>
        <w:rPr>
          <w:sz w:val="20"/>
          <w:szCs w:val="20"/>
          <w:color w:val="auto"/>
        </w:rPr>
      </w:pPr>
      <w:r>
        <w:rPr>
          <w:rFonts w:ascii="Arial" w:cs="Arial" w:eastAsia="Arial" w:hAnsi="Arial"/>
          <w:sz w:val="18"/>
          <w:szCs w:val="18"/>
          <w:color w:val="auto"/>
        </w:rPr>
        <w:t>Unterberg, Towbin LLC (Unterberg) served as placement agent for the transaction. For acting as the Company’s placement agent, Unterberg received fees totaling $1,200,192, expense reimbursement of approximately $25,000 and a five year warrant to purchase 526,400 shares of the Company’s common stock at an exercise price of $1.89 per share.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w:t>
      </w:r>
    </w:p>
    <w:p>
      <w:pPr>
        <w:spacing w:after="0" w:line="18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On October 26, 2004, the Company entered into definitive agreements with institutional investors with respect to the registered direct placement of 7,500,000 shares of its common stock at a purchase price of $3.00 per share, for gross proceeds of $22,500,000. C.E. Unterberg, Towbin, LLC and Shoreline Pacific, LLC served as placement agents for the transaction. The Company sold these shares under a shelf registration statement previously filed with and declared effective by the U.S. Securities and Exchange Commission.</w:t>
      </w:r>
    </w:p>
    <w:p>
      <w:pPr>
        <w:spacing w:after="0" w:line="146"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On October 28, 2004, three holders of warrants issued as part of the June 16, 2004 financing arrangement, exercised their right to purchase an aggregate of 115,131 shares of the Company’s common stock at $1.90 per share. The Company issued 115,131 shares of its common stock and received proceeds of $218,750.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8"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nine-month periods ended September 30, 2004 and 2003 should be read in conjunction with the accompanying unaudited condensed consolidated financial statements and the related footnotes thereto.</w:t>
      </w:r>
    </w:p>
    <w:p>
      <w:pPr>
        <w:spacing w:after="0" w:line="83"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This report includes forward-looking statements. You can identify these statements by forward-looking words such as “may,” “could,” “will,” “possibly,” “expect,” “anticipate,” “project,” “promising,” “believe,” “estimate,” “continue” or similar words. You should read statements that contain these words carefully because they discuss our future expectations, contain projections of our future results of operations or of our financial condition, or state other “forward-looking” information. These forward-looking statements include, for example,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failure to obtain a corporate partner or partners to support the development of our stem cell programs, inability to sell, assign or sublease our interest in our facilities related to our former encapsulated cell technology program, risks of delays in, or adverse results from, our research, development and clinical testing programs, obsolescence of our technology, lack of available funding, contaminations at our facilities, changes in the pharmaceutical or biotechnology industries, competition from third parties, intellectual property rights of third parties, failure of our collaborators to perform, regulatory constraints, litigation, changes in government regulations or general economic or market conditions and other risks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2003 could harm our business, operating results and financial condition. All forward-looking statements attributable to us or to persons acting on our behalf are expressly qualified in their entirety by the cautionary statements and risk factors contained or referred to herein.</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106"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24"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Since 2001, we have entered into a number of financing arrangements including an equity line (which has now expired) from which we drew $4.6 million; sale of 1 million shares of common stock for $1.1 million; sale of 4 million shares of common stock for $6.5 million; issuance of convertible preferred stock for $5 million (all of which has now been converted), sale of 5 million shares of common stock for a total of $9.5 million, and on June 16 2004, the sale of</w:t>
      </w:r>
    </w:p>
    <w:p>
      <w:pPr>
        <w:ind w:right="20"/>
        <w:spacing w:after="0" w:line="261" w:lineRule="auto"/>
        <w:rPr>
          <w:sz w:val="20"/>
          <w:szCs w:val="20"/>
          <w:color w:val="auto"/>
        </w:rPr>
      </w:pPr>
      <w:r>
        <w:rPr>
          <w:rFonts w:ascii="Arial" w:cs="Arial" w:eastAsia="Arial" w:hAnsi="Arial"/>
          <w:sz w:val="18"/>
          <w:szCs w:val="18"/>
          <w:color w:val="auto"/>
        </w:rPr>
        <w:t>13.2 million shares of common stock for a total of $20 million before financing costs. (See “Liquidity and Capital Resources” below for further detail on each of these transactions. See also Note 6, “Subsequent Events”).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85" w:lineRule="auto"/>
        <w:rPr>
          <w:sz w:val="20"/>
          <w:szCs w:val="20"/>
          <w:color w:val="auto"/>
        </w:rPr>
      </w:pPr>
      <w:r>
        <w:rPr>
          <w:rFonts w:ascii="Arial" w:cs="Arial" w:eastAsia="Arial" w:hAnsi="Arial"/>
          <w:sz w:val="16"/>
          <w:szCs w:val="16"/>
          <w:color w:val="auto"/>
        </w:rPr>
        <w:t>We are currently concentrating all our resources on our primary goal, which is to research, develop, and evaluate the potential of stem and progenitor cell technology to treat or cure some of the world’s most debilitating diseases. We have identified the human neural stem cell and candidate pancreas and liver stem or progenitor cells, and have issued patents and pending patent applications to protect our proprietary position. Our most advanced program is focused on the development of our human neural stem cells. To date, we have obtained pre-clinical proof of concept in various animal models including spinal cord injury, stroke, myelin disorders and neuronal ceroid lipofuscinoses (NCLs). In 2003, studies were conducted at the Stanford University laboratory of</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Dr. William Mobley and at our own laboratories in mice designed to model a specific form of NCL. The NCLs, which include Batten Disease, are a set of several closely related genetic lysosomal storage disorders caused by a deficiency of specific enzymes required for normal cell metabolism. The deficiency results in storage of toxic waste materials and the death of certain neurons. The NCLs primarily affect infants and young children, and are always fatal. In the studies, our proprietary human neural stem cells were transplanted into the mice, resulting in widespread engraftment, persistent production of the enzyme that is deficient in the disease, reduction in the toxic waste material and preliminary indications of improved neuronal survival. Based on these results, we embarked upon a plan to file our first IND (Investigational New Drug filing) with the Food and Drug Administration by the first quarter of 2005, in order to begin a clinical trial in Infantile and Late-Infantile NCL. (Since all of the NCLs are commonly referred to as Batten disease the term will be used in this report). Preparation for and conduct of the Batten disease clinical trial will entail an increase in expenditures for both internal and external resources and we shall probably require further infusions of capital from time to time in order to fund our clinical trials program. As part of the IND process, the FDA requires us to qualify the cell bank as a suitable source of the cells to be used in the proposed clinical trials to conduct extensive pre-clinical safety testing (i.e., pharmacology and toxicology studies) in various animal models and to submit, details of the proposed clinical plan. We remain on track to file our IND in the first quarter of 2005 we previously announced. There can be no assurance, however, that the FDA will approve our trial for Batten disease.</w:t>
      </w:r>
    </w:p>
    <w:p>
      <w:pPr>
        <w:spacing w:after="0" w:line="146"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85"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140" w:firstLine="215"/>
        <w:spacing w:after="0" w:line="293" w:lineRule="auto"/>
        <w:rPr>
          <w:sz w:val="20"/>
          <w:szCs w:val="20"/>
          <w:color w:val="auto"/>
        </w:rPr>
      </w:pPr>
      <w:r>
        <w:rPr>
          <w:rFonts w:ascii="Arial" w:cs="Arial" w:eastAsia="Arial" w:hAnsi="Arial"/>
          <w:sz w:val="16"/>
          <w:szCs w:val="16"/>
          <w:color w:val="auto"/>
        </w:rPr>
        <w:t>As permitted by the provisions of Statement of Financial Accounting Standards (“SFAS”) No. 148, “Accounting for Stock-Based Compensation — Transition and Disclosure,” and Statement of Financial Accounting Standards No. 123, “Accounting for Stock-Based Compensation,” our employee stock option plan is accounted for under Accounting Principles Board Opinion No. 25 (“APB 25”), “Accounting for Stock Issued to Employees.” We grant qualified stock options for a fixed number of shares to employees with an exercise price equal to the fair market value of the shares at the date of grant. In these circumstances in accordance with APB 25, we recognize no compensation expense for qualified stock option grants. We also issue non-qualified stock options for a fixed number of shares to employees with an exercise price less than the fair market value of the shares at the date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grant. When such options vest, we recognize the difference between the exercise price and fair market value as compensation expense in accordance with APB 25. Note 11 of the Notes to the Consolidated Financial Statements, included in our Annual Report on Form 10K, describes our equity compensation plans, and Note 1 of the Notes to the Condensed Consolidated Financial Statements elsewhere in this report contains a summary of the pro forma effects to reported net loss and loss per share for the three and nine months ended September 30, 2004 and 2003 as if we had elected to recognize compensation cost based on the fair value of the options granted at grant date, as prescribed by SFAS No. 123. We account for certain stock options granted to non-employees in accordance with SFAS No. 123 and Emerging Issues Task Force (“EITF”) 96-18 — accounting for equity instruments that are issued to other than employees for acquiring, or in conjunction with selling, goods or services, and accordingly, we recognize as expense the estimated fair value of such options as calculated using the Black-Scholes valuation model, and as re-measured during the service period. Fair value is determined using methodologies allowable by SFAS No. 123. The cost is amortized over the vesting period of each option or the recipient’s contractual arrangement, if shorter.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We adopted SFAS No. 144, “Accounting for the Impairment or Disposal of Long-lived Assets,” at the beginning of 2002. As permitted by the transition rules of SFAS No. 144, long-lived assets classified as held for sale as a result of activities that were initiated prior to this Statement’s initial application shall continue to be accounted for in accordance with SFAS No. 121. If, however, the criteria for classifying long-lived assets held for sale under SFAS No. 144 were not met by the end of the fiscal year in which this Statement is initially applied, the related long-lived assets were to be reclassified as held and used. At December 31, 2002, the criteria under SFAS No. 144 for classifying the Company’s long-lived assets held for sale were not met and accordingly, such assets were reclassified as held and used on the balance sheet.</w:t>
      </w:r>
    </w:p>
    <w:p>
      <w:pPr>
        <w:spacing w:after="0" w:line="153"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We routinely evaluate the carrying value of our long-lived assets. We record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202"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“Liability Recognition for Certain Employee Termination Benefits and Other Costs to Exit an Activity.” As the lease for our former research facility in Rhode Island terminates in 2013, we will adjust our reserve on an ongoing basis by reevaluating our estimated costs to exit this facility. The estimates are based on assumptions and experience relevant to the real estate market conditions for the facility. Such re-evaluation will include lease payments over the lease term, occupancy and sublease rental rates, and facility operating expenses. We are seeking to sublease, assign, sell or otherwise divest itself of our interest in the facility at the earliest possible time, but we cannot determine with certainty a fixed date by which such events will occur.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2004 and 2003</w:t>
      </w:r>
    </w:p>
    <w:p>
      <w:pPr>
        <w:spacing w:after="0" w:line="189"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For the three months ended September 30, 2004, revenue from licensing agreements totaled approximately $5,000. For the three months ended September 30, 2003, revenue from grants and licensing agreements totaled approximately $33,000, which included $30,000 that is part of the $342,000 Small Business Innovation Research grant from the National Institute of Neurological Disease and Stroke, and $3,000 in licensing revenue).</w:t>
      </w:r>
    </w:p>
    <w:p>
      <w:pPr>
        <w:spacing w:after="0" w:line="125"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Research and development expenses totaled $2,075,000 for the three months ended September 30, 2004, compared with $1,444,000 for the same period in 2003. The increase of $631,000 or approximately 44% from 2003 to 2004 was primarily attributable to the expenditures required for pre-clinical pharmacology and toxicology studies, supplies, personnel and other external services in preparation for submitting our first IND (Investigational New Drug filing) to the FDA, to evaluate the safety and efficacy of our human neural stem cells as a treatment for Batten disease. In addition, the increase reflects higher patent prosecution fees and costs than incurred in the same period in 2003. At September 30, 2004, we had twenty-five full-time employees working in research and development and laboratory support services as compared to twenty at September 30, 2003.</w:t>
      </w:r>
    </w:p>
    <w:p>
      <w:pPr>
        <w:spacing w:after="0" w:line="15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General and administrative expenses were $904,000 for the three months ended September 30, 2004, compared with $783,000 for the same period in 2003. The increase of $121,000 or 15%, from 2003 to 2004 was primarily attributable to the cost of external services incurred in the evaluation of our internal control systems so as to meet the requirements of and be in compliance with the new Securities and Exchange Commission rules issued under section 404 of the Sarbanes-Oxley Act.</w:t>
      </w:r>
    </w:p>
    <w:p>
      <w:pPr>
        <w:spacing w:after="0" w:line="146" w:lineRule="exact"/>
        <w:rPr>
          <w:sz w:val="20"/>
          <w:szCs w:val="20"/>
          <w:color w:val="auto"/>
        </w:rPr>
      </w:pPr>
    </w:p>
    <w:p>
      <w:pPr>
        <w:ind w:right="140" w:firstLine="225"/>
        <w:spacing w:after="0" w:line="270"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June 30, 2004 the reserve was $2,680,000. For the three months ending September 30, 2004, expenses of $282,000 net of subtenant income was recorded against this reserve. At September 30, 2004 we re-evaluated the estimate and adjusted the reserve to $3,743,000 by recording an additional $1,345,000 as wind-down expenses. Wind-down expenses for the same period in 2003 were $224,000.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4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Interest income for the three months ended September 30, 2004 and 2003 was $83,000 and $13,000 respectively. The increase in interest income in 2004 was primarily attributable to a higher average investment balance. Interest expense for the three months ended September 30, 2004 and 2003 was $46,000 and $50,000 respectively. The decrease in interest expense in 2004 was attributable to lower outstanding debt and capital lease balances in 2004 compared to 2003.</w:t>
      </w:r>
    </w:p>
    <w:p>
      <w:pPr>
        <w:spacing w:after="0" w:line="160" w:lineRule="exact"/>
        <w:rPr>
          <w:sz w:val="20"/>
          <w:szCs w:val="20"/>
          <w:color w:val="auto"/>
        </w:rPr>
      </w:pPr>
    </w:p>
    <w:p>
      <w:pPr>
        <w:jc w:val="both"/>
        <w:ind w:right="220" w:firstLine="225"/>
        <w:spacing w:after="0" w:line="312" w:lineRule="auto"/>
        <w:rPr>
          <w:sz w:val="20"/>
          <w:szCs w:val="20"/>
          <w:color w:val="auto"/>
        </w:rPr>
      </w:pPr>
      <w:r>
        <w:rPr>
          <w:rFonts w:ascii="Arial" w:cs="Arial" w:eastAsia="Arial" w:hAnsi="Arial"/>
          <w:sz w:val="16"/>
          <w:szCs w:val="16"/>
          <w:color w:val="auto"/>
        </w:rPr>
        <w:t>Other expenses net of other income for the three months ended September 30, 2004, was $54,000, consisting of a loss of $51,000 as result of writing off obsolete lab equipment and $3,000 in state franchise tax. For the three months ended September 30, 2003, other income net of other expenses was $27,000, consisting of income received from the leasing of equipment to subtenants amounting to $28,000 less $1,000 in state franchise tax</w:t>
      </w:r>
    </w:p>
    <w:p>
      <w:pPr>
        <w:spacing w:after="0" w:line="106"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For the three months ended September 30, 2003, we recorded deemed dividends of $170,000. The deemed dividends were related to the 3% cumulative convertible preferred stock and included the accretion of common stock warrants, the beneficial conversion feature and the related issuance costs. There is no longer any preferred stock outstanding as all of the Company’s previously outstanding 3% and 6% cumulative convertible preferred stock, was converted to the Company’s common stock prior to the end of 2003.</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2004 and 2003</w:t>
      </w:r>
    </w:p>
    <w:p>
      <w:pPr>
        <w:spacing w:after="0" w:line="202" w:lineRule="exact"/>
        <w:rPr>
          <w:sz w:val="20"/>
          <w:szCs w:val="20"/>
          <w:color w:val="auto"/>
        </w:rPr>
      </w:pPr>
    </w:p>
    <w:p>
      <w:pPr>
        <w:ind w:right="180" w:firstLine="225"/>
        <w:spacing w:after="0" w:line="272" w:lineRule="auto"/>
        <w:rPr>
          <w:sz w:val="20"/>
          <w:szCs w:val="20"/>
          <w:color w:val="auto"/>
        </w:rPr>
      </w:pPr>
      <w:r>
        <w:rPr>
          <w:rFonts w:ascii="Arial" w:cs="Arial" w:eastAsia="Arial" w:hAnsi="Arial"/>
          <w:sz w:val="17"/>
          <w:szCs w:val="17"/>
          <w:color w:val="auto"/>
        </w:rPr>
        <w:t>For the nine months ended September 30, 2004, revenue from grants and licensing agreements totaled approximately $103,000, which included $93,000 that is part of the $342,000 Small Business Innovation Research grant from the National Institute of Neurological Disease and Stroke, and $10,000 in licensing revenue. For the nine months ended September 30, 2003, revenue from grants and licensing agreements totaled approximately $152,000, which included $112,000 that is a part of the grant awarded by the National Institute of Diabetes &amp; Digestive &amp; Kidney Disorders of the National Institutes of Health, $30,000 that is part of the $342,000 Small Business Innovation Research grant from the National Institute of Neurological Disease and Stroke, and $10,000 in licensing revenue. Beginning the third quarter of 2003 we did not draw further funds from the National Institute of Diabetes &amp; Digestive &amp; Kidney Disorders grant since we were no longer pursuing the particular research it covered.</w:t>
      </w:r>
    </w:p>
    <w:p>
      <w:pPr>
        <w:spacing w:after="0" w:line="13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Research and development expenses totaled $5,882,000 for the nine months ended September 30, 2004, compared with $4,524,000 for the same period in 2003. The increase of $1,358,000 or approximately 30% from 2003 to 2004 was primarily attributable to the expenditures required for pre-clinical pharmacology and toxicology studies, supplies, personnel and other external services in preparation for submitting our first IND to the FDA, to evaluate the safety and efficacy of our human neural stem cells as a treatment for Batten disease. In addition, the increase reflects higher patent prosecution fees and costs than incurred in the same period in 2003. At September 30, 2004, we had twenty-five full-time employees working in research and development and laboratory support services as compared to twenty at September 30, 2003.</w:t>
      </w:r>
    </w:p>
    <w:p>
      <w:pPr>
        <w:spacing w:after="0" w:line="153"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General and administrative expenses were $2,645,000 for the nine months ended September 30, 2004, compared with $2,381,000 for the same period in 2003. The increase of $264,000 or 11%, from 2003 to 2004 was primarily attributable to an increase in costs related to the printing, mailing and filing of our annual report (Form 10-K) and proxy statement in 2004 as compared to 2003. The increase in cost was attributable to the separate printing of our proxy statement and our Form 10-K and the effect of a greater number of shareholders in 2004 when compared to 2003 on these costs. The increase in general and administrative expenses was also partly attributable to the external auditor fees and other external services fees incurred in the first quarter of 2004 as a result of the restatement of our prior year financials, and in addition, the cost of external services incurred in the evaluation of our internal control systems so as to meet the requirements of and be in compliance with the new Securities and Exchange Commission rules issued under section 404 of the Sarbanes-Oxley Act.</w:t>
      </w:r>
    </w:p>
    <w:p>
      <w:pPr>
        <w:spacing w:after="0" w:line="140"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2003 the reserve was $2,676,000. For the nine months ending September 30, 2004, expenses of $876,000 net of subtenant income was recorded against this reserve. At March 31, 2004, June 30, 2004 and September 30, 2004, as a result of our periodic review, we re-evaluated our estimate and adjusted the reserve to $2,510,000, $2,680,000 and $3,743,000 respectively, by recording an additional $130,000 at March 31, 2004, $468,000 at June 30, 2004 and $1,345,000 at September 30, 2004 as wind-down expenses. Wind-down expenses for the same period in 2003 were $698,000.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2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Interest income for the nine months ended September 30, 2004 and 2003 was $159,000 and $24,000 respectively. The increase in interest income in 2004 was primarily attributable to a higher average investment balance. Interest expense for the nine months ended September 30, 2004 and 2003 was $145,000 and $158,000 respectively. The decrease in interest expense in 2004 was attributable to lower outstanding debt and capital lease balances in 2004 compared to 2003.</w:t>
      </w:r>
    </w:p>
    <w:p>
      <w:pPr>
        <w:spacing w:after="0" w:line="146" w:lineRule="exact"/>
        <w:rPr>
          <w:sz w:val="20"/>
          <w:szCs w:val="20"/>
          <w:color w:val="auto"/>
        </w:rPr>
      </w:pPr>
    </w:p>
    <w:p>
      <w:pPr>
        <w:jc w:val="both"/>
        <w:ind w:right="260" w:firstLine="225"/>
        <w:spacing w:after="0" w:line="312" w:lineRule="auto"/>
        <w:rPr>
          <w:sz w:val="20"/>
          <w:szCs w:val="20"/>
          <w:color w:val="auto"/>
        </w:rPr>
      </w:pPr>
      <w:r>
        <w:rPr>
          <w:rFonts w:ascii="Arial" w:cs="Arial" w:eastAsia="Arial" w:hAnsi="Arial"/>
          <w:sz w:val="16"/>
          <w:szCs w:val="16"/>
          <w:color w:val="auto"/>
        </w:rPr>
        <w:t>Other expenses net of other income for the nine months ended September 30, 2004, was $57,000, consisting of a loss of $51,000 as result of writing off obsolete lab equipment and $6,000 in state franchise tax. For the nine months ended September 30, 2003 other income net of other expenses was $33,000, consisting of income received from the leasing of equipment to subtenants amounting to $34,000 less $1,000 in state franchise tax.</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For the nine months ended September 30, 2003, we recorded deemed dividends of $1,658,000. The deemed dividends were related to the 3% cumulative convertible preferred stock and included the accretion of common stock warrants, the beneficial conversion feature and the related issuance costs. For the nine months ended September 30, 2003, we recorded dividends of $47,000 which was paid in the form of common stock to our 6% cumulative convertible preferred stock holders. There is no longer any preferred stock outstanding as all of the Company’s previously outstanding 3% and 6% cumulative convertible preferred stock, was converted to the Company’s common stock prior to the end of 2003.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30"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We had cash and cash equivalents totaling $23,141,000 at September 30, 2004. Cash equivalents are invested in US Treasuries with maturities of less than 90 days. We used $7,827,000 and $6,556,000 of cash for the nine months ended September 30, 2004 and 2003 respectively, in our operating activities. The increase in cash used in 2004 in comparison to the same period in 2003 was primarily attributable to the expenses incurred in preparing to submit our first IND to the FDA, to evaluate the safety and efficacy of our human neural stem cells as a treatment for Batten disease. These expenses will increase as we approach the anticipated filing date in the first quarter of 2005. (See also Note 6, “Subsequent Events”)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June 16, 2004, we entered into a definitive agreement with institutional and other accredited investors with respect to the private placement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13,160,000 shares of our common stock at a purchase price of $1.52 per share, for gross proceeds of approximately $20,000,000.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received warrants exercisable for five years to purchase approximately 3,290,000 shares of common stock at an exercise price of $1.90 per share. 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Unterberg, Towbin LLC (Unterberg) served as placement agent for the transaction. For acting as our placement agent Unterberg, received fees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$1,200,192, expense reimbursement of approximately $25,000 and a five year warrant to purchase 526,400 shares of our common stock at an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$1.89 per share.</w:t>
      </w:r>
    </w:p>
    <w:p>
      <w:pPr>
        <w:spacing w:after="0" w:line="17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December 10, 2003 we completed a $9.5 million financing transaction with Riverview Group L.L.C. (Riverview), through the sale of 5 million shares of common stock at a price of $1.90 per share. The closing price of our common stock on that date was $2.00 per share.</w:t>
      </w:r>
    </w:p>
    <w:p>
      <w:pPr>
        <w:spacing w:after="0" w:line="130"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Pursuant to a Stock Purchase Agreement dated May 7, 2003, we issued 4 million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registered the resale of the purchased shares and the shares to be issued on exercise of the warrants. On November 7, 2003 and November 11, 2003 Riverview exercised a total of 1,098,000 of these warrants at $1.50 by which, we received gross proceeds of $1,647,000.</w:t>
      </w:r>
    </w:p>
    <w:p>
      <w:pPr>
        <w:spacing w:after="0" w:line="13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On August 23, 2002, pursuant to an agreement with Triton West Group, Inc. (Triton), we sold 1,028,038 shares of common stock for aggregate proceeds of $1,100,000, or approximately $1.07 per share.</w:t>
      </w:r>
    </w:p>
    <w:p>
      <w:pPr>
        <w:spacing w:after="0" w:line="13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December 4, 2001, we issued 5,000 shares of 3% Cumulative Convertible Preferred Stock to Riverview. We received total proceeds of $4,727,515 net of applicable fees and other associated costs. Riverview converted 1,000 of the preferred shares on December 7, 2001, at a conversion price of $2.00 per share of common stock, receiving 500,125 shares of common stock; 2,000 of the preferred shares on April 9, 2003, at $0.80 per share, receiving 2,521,042 shares of common stock; and the remaining 2,000 preferred shares on November 11, 2003, for 1,010,833 shares of the Company’s common stock, all inclusive of accrued dividends. As a result of the above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transactions all of the 3% cumulative convertible preferred stock was fully converted into our common stock before the mandatory redemption date of December 4, 2003.</w:t>
      </w:r>
    </w:p>
    <w:p>
      <w:pPr>
        <w:spacing w:after="0" w:line="14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On May 10, 2001, we entered into a common stock purchase agreement with Sativum Investments Limited for the potential future issuance and sale of up to $30,000,000 of our common stock, at our discretion and subject to restrictions and other obligations. We drew down $4,000,000, $118,000 and $441,000 before applicable fees in 2001, 2002 and 2003 respectively. The equity line terminated in January of 2004.</w:t>
      </w:r>
    </w:p>
    <w:p>
      <w:pPr>
        <w:spacing w:after="0" w:line="125"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$1,235,000 for 2004, net of subtenant income of $735,000.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46"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3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Payable in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Payable in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Payable in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Payable in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Payable in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Payable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2009 and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beyond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Capital lease</w:t>
            </w: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2,828,866</w:t>
            </w:r>
          </w:p>
        </w:tc>
        <w:tc>
          <w:tcPr>
            <w:tcW w:w="220" w:type="dxa"/>
            <w:vAlign w:val="bottom"/>
            <w:shd w:val="clear" w:color="auto" w:fill="EEEEEE"/>
          </w:tcPr>
          <w:p>
            <w:pPr>
              <w:spacing w:after="0"/>
              <w:rPr>
                <w:sz w:val="20"/>
                <w:szCs w:val="20"/>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104,704</w:t>
            </w:r>
          </w:p>
        </w:tc>
        <w:tc>
          <w:tcPr>
            <w:tcW w:w="14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412,587</w:t>
            </w:r>
          </w:p>
        </w:tc>
        <w:tc>
          <w:tcPr>
            <w:tcW w:w="200" w:type="dxa"/>
            <w:vAlign w:val="bottom"/>
            <w:shd w:val="clear" w:color="auto" w:fill="EEEEEE"/>
          </w:tcPr>
          <w:p>
            <w:pPr>
              <w:spacing w:after="0"/>
              <w:rPr>
                <w:sz w:val="20"/>
                <w:szCs w:val="20"/>
                <w:color w:val="auto"/>
              </w:rPr>
            </w:pPr>
          </w:p>
        </w:tc>
        <w:tc>
          <w:tcPr>
            <w:tcW w:w="3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401,289</w:t>
            </w:r>
          </w:p>
        </w:tc>
        <w:tc>
          <w:tcPr>
            <w:tcW w:w="200" w:type="dxa"/>
            <w:vAlign w:val="bottom"/>
            <w:shd w:val="clear" w:color="auto" w:fill="EEEEEE"/>
          </w:tcPr>
          <w:p>
            <w:pPr>
              <w:spacing w:after="0"/>
              <w:rPr>
                <w:sz w:val="20"/>
                <w:szCs w:val="20"/>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330,643</w:t>
            </w:r>
          </w:p>
        </w:tc>
        <w:tc>
          <w:tcPr>
            <w:tcW w:w="200" w:type="dxa"/>
            <w:vAlign w:val="bottom"/>
            <w:shd w:val="clear" w:color="auto" w:fill="EEEEEE"/>
          </w:tcPr>
          <w:p>
            <w:pPr>
              <w:spacing w:after="0"/>
              <w:rPr>
                <w:sz w:val="20"/>
                <w:szCs w:val="20"/>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243,507</w:t>
            </w:r>
          </w:p>
        </w:tc>
        <w:tc>
          <w:tcPr>
            <w:tcW w:w="200" w:type="dxa"/>
            <w:vAlign w:val="bottom"/>
            <w:shd w:val="clear" w:color="auto" w:fill="EEEEEE"/>
          </w:tcPr>
          <w:p>
            <w:pPr>
              <w:spacing w:after="0"/>
              <w:rPr>
                <w:sz w:val="20"/>
                <w:szCs w:val="20"/>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$1,336,136</w:t>
            </w:r>
          </w:p>
        </w:tc>
        <w:tc>
          <w:tcPr>
            <w:tcW w:w="2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12,388,947</w:t>
            </w:r>
          </w:p>
        </w:tc>
        <w:tc>
          <w:tcPr>
            <w:tcW w:w="2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736,834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3,007,630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1,115,186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937,500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1,171,875</w:t>
            </w: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5,419,922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contractual</w:t>
            </w:r>
          </w:p>
        </w:tc>
        <w:tc>
          <w:tcPr>
            <w:tcW w:w="2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15,217,813</w:t>
            </w:r>
          </w:p>
        </w:tc>
        <w:tc>
          <w:tcPr>
            <w:tcW w:w="22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$841,538</w:t>
            </w:r>
          </w:p>
        </w:tc>
        <w:tc>
          <w:tcPr>
            <w:tcW w:w="140" w:type="dxa"/>
            <w:vAlign w:val="bottom"/>
            <w:shd w:val="clear" w:color="auto" w:fill="EEEEEE"/>
          </w:tcPr>
          <w:p>
            <w:pPr>
              <w:spacing w:after="0"/>
              <w:rPr>
                <w:sz w:val="19"/>
                <w:szCs w:val="19"/>
                <w:color w:val="auto"/>
              </w:rPr>
            </w:pP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3,420,217</w:t>
            </w:r>
          </w:p>
        </w:tc>
        <w:tc>
          <w:tcPr>
            <w:tcW w:w="200" w:type="dxa"/>
            <w:vAlign w:val="bottom"/>
            <w:shd w:val="clear" w:color="auto" w:fill="EEEEEE"/>
          </w:tcPr>
          <w:p>
            <w:pPr>
              <w:spacing w:after="0"/>
              <w:rPr>
                <w:sz w:val="19"/>
                <w:szCs w:val="19"/>
                <w:color w:val="auto"/>
              </w:rPr>
            </w:pPr>
          </w:p>
        </w:tc>
        <w:tc>
          <w:tcPr>
            <w:tcW w:w="3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1,516,475</w:t>
            </w:r>
          </w:p>
        </w:tc>
        <w:tc>
          <w:tcPr>
            <w:tcW w:w="200" w:type="dxa"/>
            <w:vAlign w:val="bottom"/>
            <w:shd w:val="clear" w:color="auto" w:fill="EEEEEE"/>
          </w:tcPr>
          <w:p>
            <w:pPr>
              <w:spacing w:after="0"/>
              <w:rPr>
                <w:sz w:val="19"/>
                <w:szCs w:val="19"/>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1,268,143</w:t>
            </w:r>
          </w:p>
        </w:tc>
        <w:tc>
          <w:tcPr>
            <w:tcW w:w="200" w:type="dxa"/>
            <w:vAlign w:val="bottom"/>
            <w:shd w:val="clear" w:color="auto" w:fill="EEEEEE"/>
          </w:tcPr>
          <w:p>
            <w:pPr>
              <w:spacing w:after="0"/>
              <w:rPr>
                <w:sz w:val="19"/>
                <w:szCs w:val="19"/>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1,415,382</w:t>
            </w:r>
          </w:p>
        </w:tc>
        <w:tc>
          <w:tcPr>
            <w:tcW w:w="20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$6,756,058</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2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20" w:type="dxa"/>
            <w:vAlign w:val="bottom"/>
            <w:tcBorders>
              <w:top w:val="single" w:sz="8" w:color="EEEEEE"/>
              <w:right w:val="single" w:sz="8" w:color="808080"/>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74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firstLine="222"/>
        <w:spacing w:after="0" w:line="253"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have limited capital resources and we will need to raise additional capital from to time to time to sustain our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our operations, we rely on cash balances, proceeds from equity and debt offerings, proceeds from the transfer or sale of intellectual property rights, equipment, facilities or investments, and on government grants and collaborative arrangements. We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5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 Lack of necessary funds may require us to delay, scale back or eliminate some or all of our research and product development programs and/or our capital expenditures or to license our potential products or technologies to third parties.</w:t>
      </w:r>
    </w:p>
    <w:p>
      <w:pPr>
        <w:spacing w:after="0" w:line="161"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significant changes in our quantitative and qualitative disclosures from the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During the most recent quarter, there were no changes in internal controls over financial reporting that occurred during the period covered by this report that have materially affected, or are reasonably likely to materially affect, these controls of the Company, and no corrective actions were undertaken.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85"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One party has opposed two of our issued European patent cases. While we are confident that we will overcome the opposition, there is no guarantee that we will prevail. If we are unsuccessful in our defense of the opposed patents, all claimed rights in the opposed patents will be lost in Europe.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PART II –ITEM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Under the terms of a license agreement with the California Institute of Technology (Cal Tech), fees of $10,000 and $5,000 were due on the issuance of two patents to which StemCells holds a license from Cal Tech, payable in cash or stock at the Company’s choice. Company elected to pay the fees in stock and issued 9,535 unregistered shares to Cal Tech.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EXHIBITS AND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81" w:lineRule="exact"/>
        <w:rPr>
          <w:sz w:val="20"/>
          <w:szCs w:val="20"/>
          <w:color w:val="auto"/>
        </w:rPr>
      </w:pPr>
    </w:p>
    <w:p>
      <w:pPr>
        <w:ind w:right="3780"/>
        <w:spacing w:after="0" w:line="519"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George Koshy Pursuant to 18 U.S.C. Section 1350, As Adopted Pursuant to Section 906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2004 we submitted the following reports on Form 8-K:</w:t>
      </w:r>
    </w:p>
    <w:p>
      <w:pPr>
        <w:spacing w:after="0" w:line="185" w:lineRule="exact"/>
        <w:rPr>
          <w:sz w:val="20"/>
          <w:szCs w:val="20"/>
          <w:color w:val="auto"/>
        </w:rPr>
      </w:pPr>
    </w:p>
    <w:p>
      <w:pPr>
        <w:ind w:left="5620" w:right="2960" w:hanging="5615"/>
        <w:spacing w:after="0" w:line="496" w:lineRule="auto"/>
        <w:rPr>
          <w:sz w:val="20"/>
          <w:szCs w:val="20"/>
          <w:color w:val="auto"/>
        </w:rPr>
      </w:pPr>
      <w:r>
        <w:rPr>
          <w:rFonts w:ascii="Arial" w:cs="Arial" w:eastAsia="Arial" w:hAnsi="Arial"/>
          <w:sz w:val="18"/>
          <w:szCs w:val="18"/>
          <w:color w:val="auto"/>
        </w:rPr>
        <w:t>On July 30, 2004, we issued a press release reporting our financial results for the second quarter of fiscal year 2004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220" w:right="7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74930</wp:posOffset>
            </wp:positionV>
            <wp:extent cx="3498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October 28, 2004</w:t>
      </w:r>
      <w:r>
        <w:rPr>
          <w:sz w:val="20"/>
          <w:szCs w:val="20"/>
          <w:color w:val="auto"/>
        </w:rPr>
        <w:tab/>
      </w:r>
      <w:r>
        <w:rPr>
          <w:rFonts w:ascii="Arial" w:cs="Arial" w:eastAsia="Arial" w:hAnsi="Arial"/>
          <w:sz w:val="16"/>
          <w:szCs w:val="16"/>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23495</wp:posOffset>
            </wp:positionV>
            <wp:extent cx="3481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George Koshy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Controller and Acting Chief Financial Officer (Duly authorized officer and</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198" w:lineRule="exact"/>
        <w:rPr>
          <w:sz w:val="20"/>
          <w:szCs w:val="20"/>
          <w:color w:val="auto"/>
        </w:rPr>
      </w:pPr>
    </w:p>
    <w:p>
      <w:pPr>
        <w:ind w:right="3780"/>
        <w:spacing w:after="0" w:line="510"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George Koshy Pursuant to 18 U.S.C. Section 1350, As Adopted Pursuant to Section 906 of the Sarbanes-Oxley Act of 2002</w:t>
      </w:r>
    </w:p>
    <w:p>
      <w:pPr>
        <w:sectPr>
          <w:pgSz w:w="11900" w:h="16838" w:orient="portrait"/>
          <w:cols w:equalWidth="0" w:num="1">
            <w:col w:w="11280"/>
          </w:cols>
          <w:pgMar w:left="240" w:top="419" w:right="379"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000"/>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7" w:lineRule="exact"/>
        <w:rPr>
          <w:sz w:val="20"/>
          <w:szCs w:val="20"/>
          <w:color w:val="auto"/>
        </w:rPr>
      </w:pPr>
    </w:p>
    <w:p>
      <w:pPr>
        <w:ind w:left="1280" w:right="219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StemCells,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28,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George Koshy, certify that:</w:t>
      </w:r>
    </w:p>
    <w:p>
      <w:pPr>
        <w:spacing w:after="0" w:line="207" w:lineRule="exact"/>
        <w:rPr>
          <w:sz w:val="20"/>
          <w:szCs w:val="20"/>
          <w:color w:val="auto"/>
        </w:rPr>
      </w:pPr>
    </w:p>
    <w:p>
      <w:pPr>
        <w:ind w:left="1280" w:right="2199" w:hanging="640"/>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StemCells,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28,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41" w:right="1440" w:bottom="1440" w:gutter="0" w:footer="0" w:header="0"/>
        </w:sectPr>
      </w:pPr>
    </w:p>
    <w:bookmarkStart w:id="25" w:name="page26"/>
    <w:bookmarkEnd w:id="25"/>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September 30, 2004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28,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26" w:name="page27"/>
    <w:bookmarkEnd w:id="26"/>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September 30, 2004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28,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2019-12-13T21:47:41Z</dcterms:created>
  <dcterms:modified xsi:type="dcterms:W3CDTF">2019-12-13T21:47:41Z</dcterms:modified>
</cp:coreProperties>
</file>