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0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707"/>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175 Derby St., </w:t>
      </w:r>
      <w:bookmarkStart w:id="9" w:name="xdx_908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Hingham, </w:t>
      </w:r>
      <w:bookmarkStart w:id="11" w:name="xdx_901_edei--EntityAddressStateOrProvin"/>
      <w:bookmarkEnd w:id="11"/>
      <w:r>
        <w:rPr>
          <w:rFonts w:ascii="Times New Roman;Times;Serif" w:hAnsi="Times New Roman;Times;Serif"/>
          <w:b/>
          <w:i w:val="false"/>
          <w:caps w:val="false"/>
          <w:smallCaps w:val="false"/>
          <w:sz w:val="20"/>
        </w:rPr>
        <w:t xml:space="preserve">MA </w:t>
      </w:r>
      <w:bookmarkStart w:id="12" w:name="xdx_901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6_edei--CityAreaCode_c20260707__20"/>
      <w:bookmarkEnd w:id="13"/>
      <w:r>
        <w:rPr>
          <w:rFonts w:ascii="Times New Roman;Times;Serif" w:hAnsi="Times New Roman;Times;Serif"/>
          <w:b/>
          <w:i w:val="false"/>
          <w:caps w:val="false"/>
          <w:smallCaps w:val="false"/>
          <w:sz w:val="20"/>
        </w:rPr>
        <w:t xml:space="preserve">(781) </w:t>
      </w:r>
      <w:bookmarkStart w:id="14" w:name="xdx_906_edei--LocalPhoneNumber_c20260707"/>
      <w:bookmarkEnd w:id="14"/>
      <w:r>
        <w:rPr>
          <w:rFonts w:ascii="Times New Roman;Times;Serif" w:hAnsi="Times New Roman;Times;Serif"/>
          <w:b/>
          <w:i w:val="false"/>
          <w:caps w:val="false"/>
          <w:smallCaps w:val="false"/>
          <w:sz w:val="20"/>
        </w:rPr>
        <w:t>875-3605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707"/>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707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below in Item 8.01 is hereby incorporated by reference into this Item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press release relating to such information,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has reported a greater than 100% growth in revenue and new customers for the second quarter ended June 30, 2026, compared to the first quarter ended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289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28900" cy="1047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Reports Over 100% Revenue and Customer Growth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Procedure Volume also Rises in the Second Quarter of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experiencing rising demand and increasing pipeline for the LIBERTY System since commencing the Full Market Release in April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Heightened awareness generating interest from leading health systems across the U.S. as Company plans to increase its U.S. sales territories from 8 to 12 and enter international markets by the end of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HINGHAM, Mass., July </w:t>
      </w:r>
      <w:r>
        <w:rPr>
          <w:rFonts w:ascii="Times New Roman;Times;Serif" w:hAnsi="Times New Roman;Times;Serif"/>
          <w:b/>
          <w:i w:val="false"/>
          <w:caps w:val="false"/>
          <w:smallCaps w:val="false"/>
          <w:sz w:val="20"/>
        </w:rPr>
        <w:t>7</w:t>
      </w:r>
      <w:r>
        <w:rPr>
          <w:rFonts w:ascii="Times New Roman;Times;Serif" w:hAnsi="Times New Roman;Times;Serif"/>
          <w:b/>
          <w:i w:val="false"/>
          <w:caps w:val="false"/>
          <w:smallCaps w:val="false"/>
          <w:sz w:val="20"/>
          <w:shd w:fill="FFFFFF" w:val="clear"/>
        </w:rPr>
        <w:t>, 2026 </w:t>
      </w:r>
      <w:r>
        <w:rPr>
          <w:rFonts w:ascii="Times New Roman;Times;Serif" w:hAnsi="Times New Roman;Times;Serif"/>
          <w:b w:val="false"/>
          <w:i w:val="false"/>
          <w:caps w:val="false"/>
          <w:smallCaps w:val="false"/>
          <w:sz w:val="20"/>
          <w:shd w:fill="FFFFFF" w:val="clear"/>
        </w:rPr>
        <w:t xml:space="preserve">– Microbot Medical Inc. (Nasdaq: MBOT), developer and distributor of the innovative LIBERTY® Endovascular Robotic System, is reporting greater than 100% growth in revenue and new customers for the second quarter ended June 30, 2026, compared to the first quarter ended March 31, 2026. The performance reflects the successful commencement of the Full Market Release of the LIBERTY System on April </w:t>
      </w:r>
      <w:r>
        <w:rPr>
          <w:rFonts w:ascii="Times New Roman;Times;Serif" w:hAnsi="Times New Roman;Times;Serif"/>
          <w:b w:val="false"/>
          <w:i w:val="false"/>
          <w:caps w:val="false"/>
          <w:smallCaps w:val="false"/>
          <w:sz w:val="20"/>
        </w:rPr>
        <w:t>13</w:t>
      </w:r>
      <w:r>
        <w:rPr>
          <w:rFonts w:ascii="Times New Roman;Times;Serif" w:hAnsi="Times New Roman;Times;Serif"/>
          <w:b w:val="false"/>
          <w:i w:val="false"/>
          <w:caps w:val="false"/>
          <w:smallCaps w:val="false"/>
          <w:sz w:val="20"/>
          <w:shd w:fill="FFFFFF" w:val="clear"/>
        </w:rPr>
        <w:t xml:space="preserve">, 2026, as health systems in several key markets adopted the system during the second quarter, including leading health systems in Massachusetts, </w:t>
      </w:r>
      <w:r>
        <w:rPr>
          <w:rFonts w:ascii="Times New Roman;Times;Serif" w:hAnsi="Times New Roman;Times;Serif"/>
          <w:b w:val="false"/>
          <w:i w:val="false"/>
          <w:caps w:val="false"/>
          <w:smallCaps w:val="false"/>
          <w:sz w:val="20"/>
        </w:rPr>
        <w:t>North Carolina, Michigan and Pennsylvania</w:t>
      </w:r>
      <w:r>
        <w:rPr>
          <w:rFonts w:ascii="Times New Roman;Times;Serif" w:hAnsi="Times New Roman;Times;Serif"/>
          <w:b w:val="false"/>
          <w:i w:val="false"/>
          <w:caps w:val="false"/>
          <w:smallCaps w:val="false"/>
          <w:sz w:val="20"/>
          <w:shd w:fill="FFFFFF" w:val="clear"/>
        </w:rPr>
        <w:t>. In addition, the Company entered into</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shd w:fill="FFFFFF" w:val="clear"/>
        </w:rPr>
        <w:t>agreement with Lovell Government Services Inc. to serve federal healthcare systems, such as the Veterans Health Administration (VHA), a division of the U.S. Department of Veteran Affairs, the Military Health System (MHS), which is run by the U.S. Department of War, and the Indian Health Service (IHS).</w:t>
      </w:r>
    </w:p>
    <w:p>
      <w:pPr>
        <w:pStyle w:val="TextBody"/>
        <w:bidi w:val="0"/>
        <w:spacing w:before="0" w:after="0"/>
        <w:jc w:val="both"/>
        <w:rPr>
          <w:caps w:val="false"/>
          <w:smallCaps w:val="false"/>
          <w:shd w:fill="FFFFFF" w:val="clear"/>
        </w:rPr>
      </w:pPr>
      <w:r>
        <w:rPr>
          <w:caps w:val="false"/>
          <w:smallCaps w:val="false"/>
          <w:shd w:fill="FFFFFF" w:val="clea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Furthermore, health systems that had adopted the LIBERTY system during the Limited Market Release (LMR), have increased their procedure volume in the second quarter ended June 30, 2026 due to site expansion and more users migrating to the system, compared to the first quarter ended March 31, 2026. With the rising interest from leading health systems</w:t>
      </w:r>
      <w:r>
        <w:rPr>
          <w:rFonts w:ascii="Times New Roman;Times;Serif" w:hAnsi="Times New Roman;Times;Serif"/>
          <w:b w:val="false"/>
          <w:i w:val="false"/>
          <w:caps w:val="false"/>
          <w:smallCaps w:val="false"/>
          <w:sz w:val="20"/>
        </w:rPr>
        <w:t>, the Company broadened its sales footprint from 4 to 8 sales territories during the second quarter of 2026, and is on track to have12 territories across the U.S. by the end of the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Company recently received marketing clearance for the LIBERTY system from the Israeli Ministry of Health’s AMAR Division, making Israel the first country outside of the U.S. to approve the system. To ensure the Company has the capacity to meet current and future demand, it recently entered into an agreement to establish a second manufacturing site, positioning the Company for potential long-term margin expansion as volumes scale.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 xml:space="preserve"> and connect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Media@microbotmedical.com</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1438</Words>
  <Characters>8296</Characters>
  <CharactersWithSpaces>9741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