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333-285690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2285365</wp:posOffset>
            </wp:positionH>
            <wp:positionV relativeFrom="paragraph">
              <wp:posOffset>156845</wp:posOffset>
            </wp:positionV>
            <wp:extent cx="2571750" cy="128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12,542,268 Shares of Common Stock</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or other disposition from time to time of up to 12,542,268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spacing w:after="0" w:line="17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spacing w:after="0" w:line="18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ticker symbol “MBOT.” On March 25, 2025, the last reported closing price of our common stock on the Nasdaq Capital Market was $1.59.</w:t>
      </w:r>
    </w:p>
    <w:p>
      <w:pPr>
        <w:spacing w:after="0" w:line="158"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on page 7 of this prospectus, and under similar headings in any amendments or supplements to this prospectus.</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April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560" w:type="dxa"/>
            <w:vAlign w:val="bottom"/>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84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44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Pages</w:t>
            </w:r>
          </w:p>
        </w:tc>
      </w:tr>
      <w:tr>
        <w:trPr>
          <w:trHeight w:val="190"/>
        </w:trPr>
        <w:tc>
          <w:tcPr>
            <w:tcW w:w="2360" w:type="dxa"/>
            <w:vAlign w:val="bottom"/>
            <w:tcBorders>
              <w:bottom w:val="single" w:sz="8" w:color="0000EE"/>
            </w:tcBorders>
            <w:gridSpan w:val="7"/>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ABOUT THIS PROSPECTUS</w:t>
            </w:r>
          </w:p>
        </w:tc>
        <w:tc>
          <w:tcPr>
            <w:tcW w:w="82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3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RISK FACTORS</w:t>
            </w:r>
          </w:p>
        </w:tc>
        <w:tc>
          <w:tcPr>
            <w:tcW w:w="926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89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LEGAL MATTERS</w:t>
            </w:r>
          </w:p>
        </w:tc>
        <w:tc>
          <w:tcPr>
            <w:tcW w:w="904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0"/>
        </w:trPr>
        <w:tc>
          <w:tcPr>
            <w:tcW w:w="84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04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WHERE YOU CAN FIND MORE INFORMATION</w:t>
            </w:r>
          </w:p>
        </w:tc>
        <w:tc>
          <w:tcPr>
            <w:tcW w:w="65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176"/>
        </w:trPr>
        <w:tc>
          <w:tcPr>
            <w:tcW w:w="554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INCORPORATION OF CERTAIN INFORMATION BY REFERENCE</w:t>
            </w:r>
          </w:p>
        </w:tc>
        <w:tc>
          <w:tcPr>
            <w:tcW w:w="5060" w:type="dxa"/>
            <w:vAlign w:val="bottom"/>
            <w:gridSpan w:val="2"/>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an investment decision.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in this prospectus, the terms “Microbot,” the “Company,” “we,” “our” or “us” in this prospectus refer to Microbot Medical Inc. and its wholly-owned subsidiaries.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 and Concurrent Private Placements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are exercisable on or after the later of (i) the Authorized Share Increase Date and (ii) the Stockholder Approval Date, will expire two years from the initial exercise date (but no later than February 9, 2030), and have an exercise price of $2.6625 per share.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ATM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Premarket Notification Submission</w:t>
      </w:r>
    </w:p>
    <w:p>
      <w:pPr>
        <w:spacing w:after="0" w:line="22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Israel-Hamas War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3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204"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7"/>
          <w:szCs w:val="17"/>
          <w:color w:val="auto"/>
        </w:rPr>
        <w:t>In October 2023, we announced the successful initial outcomes from our pivotal preclinical study with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Endovascular Robotic Surgical System to</w:t>
      </w:r>
    </w:p>
    <w:p>
      <w:pPr>
        <w:jc w:val="both"/>
        <w:spacing w:after="0" w:line="227" w:lineRule="auto"/>
        <w:rPr>
          <w:sz w:val="20"/>
          <w:szCs w:val="20"/>
          <w:color w:val="auto"/>
        </w:rPr>
      </w:pPr>
      <w:r>
        <w:rPr>
          <w:rFonts w:ascii="Times New Roman" w:cs="Times New Roman" w:eastAsia="Times New Roman" w:hAnsi="Times New Roman"/>
          <w:sz w:val="18"/>
          <w:szCs w:val="18"/>
          <w:color w:val="auto"/>
        </w:rPr>
        <w:t>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second quarter of 2025, with U.S. commercialization activities expected to commence after the clearance.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w:t>
      </w:r>
    </w:p>
    <w:p>
      <w:pPr>
        <w:jc w:val="both"/>
        <w:spacing w:after="0" w:line="209" w:lineRule="auto"/>
        <w:rPr>
          <w:sz w:val="20"/>
          <w:szCs w:val="20"/>
          <w:color w:val="auto"/>
        </w:rPr>
      </w:pPr>
      <w:r>
        <w:rPr>
          <w:rFonts w:ascii="Times New Roman" w:cs="Times New Roman" w:eastAsia="Times New Roman" w:hAnsi="Times New Roman"/>
          <w:sz w:val="18"/>
          <w:szCs w:val="18"/>
          <w:color w:val="auto"/>
        </w:rPr>
        <w:t>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of up to 12,542,268 shares of our common stock, as follows:</w:t>
      </w:r>
    </w:p>
    <w:p>
      <w:pPr>
        <w:spacing w:after="0" w:line="225" w:lineRule="exact"/>
        <w:rPr>
          <w:sz w:val="20"/>
          <w:szCs w:val="20"/>
          <w:color w:val="auto"/>
        </w:rPr>
      </w:pPr>
    </w:p>
    <w:p>
      <w:pPr>
        <w:jc w:val="both"/>
        <w:ind w:left="660" w:hanging="328"/>
        <w:spacing w:after="0" w:line="25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to certain of the selling stockholders upon the exercise of outstanding series I preferred investment options expiring two years from the initial exercise date of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law (the “Stockholder Approval Date”), at an exercise price per share of $2.13;</w:t>
      </w:r>
    </w:p>
    <w:p>
      <w:pPr>
        <w:spacing w:after="0" w:line="19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to certain of the selling stockholders upon the exercise of outstanding preferred investment options expiring two years from the initial exercise date of the later of (i) the Authorized Share Increase Date and (ii) the Stockholder Approval Date, at an exercise price per share of $2.6625;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to certain of the selling stockholders upon the exercise of outstanding preferred investment options expiring in July 2030, at an exercise price per share of $1.875.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12,542,268 shares</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before the offering (1)</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34,744,476 shares</w:t>
            </w: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to be outstanding after the offering (2)</w:t>
            </w:r>
          </w:p>
        </w:tc>
        <w:tc>
          <w:tcPr>
            <w:tcW w:w="4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47,286,744 shares</w:t>
            </w: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Nasdaq Capital Market Symbol</w:t>
            </w:r>
          </w:p>
        </w:tc>
        <w:tc>
          <w:tcPr>
            <w:tcW w:w="4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MBOT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712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186"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number of shares outstanding as of March 25, 2025.</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all of the 12,542,268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12,542,268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$26.9 million in gross proceeds if all of the 12,542,268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never paid dividends on our capital stock and do not anticipate paying any dividends for the foreseeable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on Form S-3, of which this prospectus forms a part, to satisfy registration rights we granted to the selling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as supplemented by our subsequent Quarterly Reports on Form 10-Q or our Current Reports on Form 8-K, discussing some of the factors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12,542,268 shares of common stock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receive up to a total of approximately $26.9 million in gross proceeds if all of the 12,542,268 preferred investment options are exercised by the selling stockholders for cash.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all costs associated with this registration statement and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 Beneficially</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Owned After Sale of All</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320" w:type="dxa"/>
            <w:vAlign w:val="bottom"/>
          </w:tcPr>
          <w:p>
            <w:pPr>
              <w:spacing w:after="0"/>
              <w:rPr>
                <w:sz w:val="18"/>
                <w:szCs w:val="18"/>
                <w:color w:val="auto"/>
              </w:rPr>
            </w:pPr>
          </w:p>
        </w:tc>
        <w:tc>
          <w:tcPr>
            <w:tcW w:w="26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Pursuant to this</w:t>
            </w:r>
          </w:p>
        </w:tc>
      </w:tr>
      <w:tr>
        <w:trPr>
          <w:trHeight w:val="238"/>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320" w:type="dxa"/>
            <w:vAlign w:val="bottom"/>
          </w:tcPr>
          <w:p>
            <w:pPr>
              <w:spacing w:after="0"/>
              <w:rPr>
                <w:sz w:val="20"/>
                <w:szCs w:val="20"/>
                <w:color w:val="auto"/>
              </w:rPr>
            </w:pPr>
          </w:p>
        </w:tc>
        <w:tc>
          <w:tcPr>
            <w:tcW w:w="26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187"/>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Before Any</w:t>
            </w: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94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Sale</w:t>
            </w:r>
          </w:p>
        </w:tc>
        <w:tc>
          <w:tcPr>
            <w:tcW w:w="3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Offered</w:t>
            </w: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of Class</w:t>
            </w:r>
          </w:p>
        </w:tc>
        <w:tc>
          <w:tcPr>
            <w:tcW w:w="100" w:type="dxa"/>
            <w:vAlign w:val="bottom"/>
            <w:tcBorders>
              <w:bottom w:val="single" w:sz="8" w:color="CCEEFF"/>
            </w:tcBorders>
          </w:tcPr>
          <w:p>
            <w:pPr>
              <w:spacing w:after="0"/>
              <w:rPr>
                <w:sz w:val="20"/>
                <w:szCs w:val="20"/>
                <w:color w:val="auto"/>
              </w:rPr>
            </w:pPr>
          </w:p>
        </w:tc>
      </w:tr>
      <w:tr>
        <w:trPr>
          <w:trHeight w:val="250"/>
        </w:trPr>
        <w:tc>
          <w:tcPr>
            <w:tcW w:w="394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Intracoastal Capital, LLC</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8,685,074</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2,816,902</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5,868,172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(2)(3)</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9,507,077</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3,755,870</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5,751,207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Anson Investments Master Fund LP</w:t>
            </w:r>
            <w:r>
              <w:rPr>
                <w:rFonts w:ascii="Times New Roman" w:cs="Times New Roman" w:eastAsia="Times New Roman" w:hAnsi="Times New Roman"/>
                <w:sz w:val="29"/>
                <w:szCs w:val="29"/>
                <w:color w:val="auto"/>
                <w:vertAlign w:val="superscript"/>
              </w:rPr>
              <w:t>(4)</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7,506,658</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2,929,580</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4,577,078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Anson East Master Fund LP</w:t>
            </w:r>
            <w:r>
              <w:rPr>
                <w:rFonts w:ascii="Times New Roman" w:cs="Times New Roman" w:eastAsia="Times New Roman" w:hAnsi="Times New Roman"/>
                <w:sz w:val="29"/>
                <w:szCs w:val="29"/>
                <w:color w:val="auto"/>
                <w:vertAlign w:val="superscript"/>
              </w:rPr>
              <w:t>(5)</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1,896,322</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826,290</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1,070,032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Stuywater Capital LLC</w:t>
            </w:r>
            <w:r>
              <w:rPr>
                <w:rFonts w:ascii="Times New Roman" w:cs="Times New Roman" w:eastAsia="Times New Roman" w:hAnsi="Times New Roman"/>
                <w:sz w:val="29"/>
                <w:szCs w:val="29"/>
                <w:color w:val="auto"/>
                <w:vertAlign w:val="superscript"/>
              </w:rPr>
              <w:t>(3)(6)</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3,802,684</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1,877,936</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1,924,748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Noam Rubenstein</w:t>
            </w:r>
            <w:r>
              <w:rPr>
                <w:rFonts w:ascii="Times New Roman" w:cs="Times New Roman" w:eastAsia="Times New Roman" w:hAnsi="Times New Roman"/>
                <w:sz w:val="29"/>
                <w:szCs w:val="29"/>
                <w:color w:val="auto"/>
                <w:vertAlign w:val="superscript"/>
              </w:rPr>
              <w:t>(7)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346,006</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105,743</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240,263</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r>
      <w:tr>
        <w:trPr>
          <w:trHeight w:val="257"/>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Vasinkevich</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704,370</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215,261</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489,109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r>
      <w:tr>
        <w:trPr>
          <w:trHeight w:val="257"/>
        </w:trPr>
        <w:tc>
          <w:tcPr>
            <w:tcW w:w="41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Craig Schwabe</w:t>
            </w:r>
            <w:r>
              <w:rPr>
                <w:rFonts w:ascii="Times New Roman" w:cs="Times New Roman" w:eastAsia="Times New Roman" w:hAnsi="Times New Roman"/>
                <w:sz w:val="29"/>
                <w:szCs w:val="29"/>
                <w:color w:val="auto"/>
                <w:vertAlign w:val="superscript"/>
              </w:rPr>
              <w:t>(7)</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37,072</w:t>
            </w: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11,329</w:t>
            </w:r>
          </w:p>
        </w:tc>
        <w:tc>
          <w:tcPr>
            <w:tcW w:w="17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25,743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1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Worthman</w:t>
            </w:r>
            <w:r>
              <w:rPr>
                <w:rFonts w:ascii="Times New Roman" w:cs="Times New Roman" w:eastAsia="Times New Roman" w:hAnsi="Times New Roman"/>
                <w:sz w:val="29"/>
                <w:szCs w:val="29"/>
                <w:color w:val="auto"/>
                <w:vertAlign w:val="superscript"/>
              </w:rPr>
              <w:t>(7)</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10,985</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7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4180" w:type="dxa"/>
            <w:vAlign w:val="bottom"/>
            <w:gridSpan w:val="2"/>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9"/>
                <w:szCs w:val="29"/>
                <w:b w:val="1"/>
                <w:bCs w:val="1"/>
                <w:color w:val="auto"/>
                <w:vertAlign w:val="superscript"/>
              </w:rPr>
              <w:t>(8)</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12,542,268</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our common stock.</w:t>
      </w:r>
    </w:p>
    <w:p>
      <w:pPr>
        <w:spacing w:after="0" w:line="27" w:lineRule="exact"/>
        <w:rPr>
          <w:sz w:val="20"/>
          <w:szCs w:val="20"/>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S-1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p>
      <w:pPr>
        <w:spacing w:after="0" w:line="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is an affiliate of a registered broker-dealer.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left="340" w:hanging="332"/>
        <w:spacing w:after="0" w:line="253"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Investments Master Fund LP (“Anson”), hold voting and dispositive power over the common stock held by Anson.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is Maples Corporate Services Limited, PO Box 309, Ugland House, Grand Cayman, KY1-1104, Cayman Islands.</w:t>
      </w: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options to purchase shares of our common stock. Anson Advisors Inc and Anson Funds Management LP, the Co-Investment Advisers of Anson East Master Fund LP (“Anson East”), hold voting and dispositive power over the common stock held by Anson East. Tony Moore is the managing member of Anson Management GP LLC, which is the general partner of Anson Funds Management LP. Moez Kassam and Amin Nathoo are directors of Anson Advisors Inc. Mr. Moore, Mr. Kassam and Mr. Nathoo each disclaim beneficial ownership of these shares of common stock except to the extent of their pecuniary interest therein. The options are subject to a beneficial ownership limitation of 4.99%,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address of Anson East is Maples Corporate Services Limited, PO Box 309, Ugland House, Grand Cayman, KY1-1104, Cayman Islands.</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938,968 shares of our common stock and options to purchase an aggregate of 2,863,716 shares of our common stock. Noam Rubenstein, the sole member of Stuywater Capital LLC (“Stuywater”), has sole voting control and investment discretion over the securities reported herein that are held by Stuywater. As a result, he may be deemed to have beneficial ownership (as determined under Section 13(d) of the Securities Exchange Act of 1934, as amended) of the securities reported herein that are held by Stuywater. The options are subject to a beneficial ownership limitation of 4.99%, which restricts the selling stockholder from exercising that portion of the options that would result in the selling stockholder and its affiliates owning, after exercise, a number of shares of common stock in excess of the beneficial ownership limitation. The address of Stuywater is 430 Park Avenue, 3rd Floor, New York, New York 10022.</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w:t>
      </w:r>
    </w:p>
    <w:p>
      <w:pPr>
        <w:spacing w:after="0" w:line="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any 4.99% beneficial ownership limitation that certain of the selling stockholders are subject to.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in connection with the transactions described above and elsewhere in this prospectus, we have not had any material relationships with the selling stockholders in the last three years.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seeking stockholder approval to increase the number of authorized shares of our common stock to 120,000,000, at a special meeting of stockholders expected to be held on April 11,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w:t>
      </w:r>
    </w:p>
    <w:p>
      <w:pPr>
        <w:spacing w:after="0" w:line="225" w:lineRule="exact"/>
        <w:rPr>
          <w:sz w:val="20"/>
          <w:szCs w:val="20"/>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3,022,145 shares of our common stock issuable upon the exercise of outstanding stock options granted to employees, directors and consultants, with exercise prices ranging from approximately $0.005 to $15.75 and having a weighted-average exercise price of $4.18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156,585 shares of our common stock reserved for future grant under our 2017 Equity Incentive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127,217 shares of our common stock reserved for future grant under our 2020 Omnibus Performance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Preferred Investment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25, 2025, we had outstanding:</w:t>
      </w:r>
    </w:p>
    <w:p>
      <w:pPr>
        <w:spacing w:after="0" w:line="225" w:lineRule="exact"/>
        <w:rPr>
          <w:sz w:val="20"/>
          <w:szCs w:val="20"/>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51,125 shares of our common stock issuable upon the exercise of outstanding warrants expiring in October 2027, at an exercise price per share of $6.1125;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32,778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60,476 shares of our common stock issuable upon the exercise of outstanding warrants expiring in November 2026, at an exercise price per share of $2.75;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35,088 shares of our common stock issuable upon the exercise of outstanding warrants expiring in November 2026, at an exercise price per share of $2.6719;</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1,075,165 shares of our common stock issuable upon the exercise of outstanding series E preferred investment options expiring in July 2029, at an exercise price per share of $1.50;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3,133,338 shares of our common stock issuable upon the exercise of outstanding series F preferred investment options expiring in June 2026, at an exercise price per share of $1.50;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8,000,002 shares of our common stock issuable upon the exercise of outstanding series G preferred investment options expiring in January 2027, at an exercise price per share of $1.75;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7,577,100 shares of our common stock issuable upon the exercise of outstanding series H preferred investment options expiring in January 2027, at an exercise price per share of $2.10;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31,231 shares of our common stock issuable upon the exercise of outstanding warrants expiring in June 2028, at an exercise price per share of $4.0625;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84,284 shares of our common stock issuable upon the exercise of outstanding placement agent preferred investment options expiring in July 2029, at an exercise price per share of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78,333 shares of our common stock issuable upon the exercise of outstanding placement agent preferred investment options expiring in June 2026, at an exercise price per share of $1.875;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of our common stock issuable upon the exercise of outstanding placement agent preferred investment options expiring in January 2027, at an exercise price per share of $2.1875;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189,428 shares of our common stock issuable upon the exercise of outstanding placement agent preferred investment options expiring in January 2027, at an exercise price per share of $2.8375;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30,526 shares of our common stock issuable upon the exercise of placement agent preferred investment options, expiring in July 2030, at an exercise price per share of $1.875.</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being registered pursuant to the Registration Statement on Form S-3 of which this prospectus forms a part, are underlying our 12,206,578 outstanding series I preferred investment options, our 305,164 outstanding placement agent preferred investment options, and our 30,526 outstanding placement agent preferred investment options. See “Prospectus Summary-Recent Developments-Registered Direct Offerings and Concurrent Private Placements” above, for a summary of the terms of the series I preferred investment options and the placement agent preferred investment options issued concurrently therewith.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our common stock are currently quoted on the Nasdaq Capital Market under the symbol “MBOT”.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of our common stock is Computershare Trust Company, N.A. Its address is 150 Royall Street, Canton, MA 02021.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Delaware Law and of the Company’s Certificate of Incorporation and Bylaws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Staggered Board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provisions for stockholder proposals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stockholder action by written consent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Super-majority stockholder vote required for certain actions.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 and Indemnification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breach of the director’s duty of loyalty to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acts or omissions not in good faith or which involve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any transaction from which the director derived an improper personal benefit.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The validity of the shares being offered under this prospectus by us will be passed upon for us by Ruskin Moscou Faltischek, P.C., Uniondale, New York.</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March 25, 2025;</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2">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January 7, 2025</w:t>
        </w:r>
      </w:hyperlink>
      <w:r>
        <w:rPr>
          <w:rFonts w:ascii="Times New Roman" w:cs="Times New Roman" w:eastAsia="Times New Roman" w:hAnsi="Times New Roman"/>
          <w:sz w:val="18"/>
          <w:szCs w:val="18"/>
          <w:color w:val="auto"/>
        </w:rPr>
        <w:t xml:space="preserve">, </w:t>
      </w:r>
      <w:hyperlink r:id="rId34">
        <w:r>
          <w:rPr>
            <w:rFonts w:ascii="Times New Roman" w:cs="Times New Roman" w:eastAsia="Times New Roman" w:hAnsi="Times New Roman"/>
            <w:sz w:val="18"/>
            <w:szCs w:val="18"/>
            <w:u w:val="single" w:color="auto"/>
            <w:color w:val="0000EE"/>
          </w:rPr>
          <w:t>January 10, 2025</w:t>
        </w:r>
      </w:hyperlink>
      <w:r>
        <w:rPr>
          <w:rFonts w:ascii="Times New Roman" w:cs="Times New Roman" w:eastAsia="Times New Roman" w:hAnsi="Times New Roman"/>
          <w:sz w:val="18"/>
          <w:szCs w:val="18"/>
          <w:color w:val="auto"/>
        </w:rPr>
        <w:t xml:space="preserve">, </w:t>
      </w:r>
      <w:hyperlink r:id="rId35">
        <w:r>
          <w:rPr>
            <w:rFonts w:ascii="Times New Roman" w:cs="Times New Roman" w:eastAsia="Times New Roman" w:hAnsi="Times New Roman"/>
            <w:sz w:val="18"/>
            <w:szCs w:val="18"/>
            <w:u w:val="single" w:color="auto"/>
            <w:color w:val="0000EE"/>
          </w:rPr>
          <w:t>January 24,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January 27,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February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February 10,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February 11,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February 12, 2025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 xml:space="preserve">February 25, 2025 </w:t>
        </w:r>
      </w:hyperlink>
      <w:r>
        <w:rPr>
          <w:rFonts w:ascii="Times New Roman" w:cs="Times New Roman" w:eastAsia="Times New Roman" w:hAnsi="Times New Roman"/>
          <w:sz w:val="18"/>
          <w:szCs w:val="18"/>
          <w:color w:val="000000"/>
        </w:rPr>
        <w:t>(except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 each case for information contained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therein which is furnished rather than filed);</w:t>
      </w:r>
    </w:p>
    <w:p>
      <w:pPr>
        <w:spacing w:after="0" w:line="1" w:lineRule="exact"/>
        <w:rPr>
          <w:rFonts w:ascii="Times New Roman" w:cs="Times New Roman" w:eastAsia="Times New Roman" w:hAnsi="Times New Roman"/>
          <w:sz w:val="18"/>
          <w:szCs w:val="18"/>
          <w:color w:val="0000EE"/>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jc w:val="both"/>
        <w:ind w:left="660" w:hanging="328"/>
        <w:spacing w:after="0" w:line="253"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p>
      <w:pPr>
        <w:spacing w:after="0" w:line="189" w:lineRule="exact"/>
        <w:rPr>
          <w:rFonts w:ascii="Times New Roman" w:cs="Times New Roman" w:eastAsia="Times New Roman" w:hAnsi="Times New Roman"/>
          <w:sz w:val="18"/>
          <w:szCs w:val="18"/>
          <w:color w:val="0000EE"/>
        </w:rPr>
      </w:pPr>
    </w:p>
    <w:p>
      <w:pPr>
        <w:ind w:left="660"/>
        <w:spacing w:after="0"/>
        <w:rPr>
          <w:sz w:val="20"/>
          <w:szCs w:val="20"/>
          <w:color w:val="auto"/>
        </w:rPr>
      </w:pPr>
      <w:r>
        <w:rPr>
          <w:rFonts w:ascii="Times New Roman" w:cs="Times New Roman" w:eastAsia="Times New Roman" w:hAnsi="Times New Roman"/>
          <w:sz w:val="18"/>
          <w:szCs w:val="18"/>
          <w:color w:val="auto"/>
        </w:rPr>
        <w:t>The SEC file number for each of the documents listed above is 000-19871.</w:t>
      </w:r>
    </w:p>
    <w:p>
      <w:pPr>
        <w:spacing w:after="0" w:line="225"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spacing w:after="0" w:line="180"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4"/>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2" Type="http://schemas.openxmlformats.org/officeDocument/2006/relationships/image" Target="media/image24.png"/><Relationship Id="rId31" Type="http://schemas.openxmlformats.org/officeDocument/2006/relationships/hyperlink" Target="https://www.sec.gov/Archives/edgar/data/883975/000164117225000614/form10-k.htm" TargetMode="External"/><Relationship Id="rId32" Type="http://schemas.openxmlformats.org/officeDocument/2006/relationships/hyperlink" Target="https://www.sec.gov/Archives/edgar/data/883975/000149315224000109/form8-k.htm" TargetMode="External"/><Relationship Id="rId33" Type="http://schemas.openxmlformats.org/officeDocument/2006/relationships/hyperlink" Target="https://www.sec.gov/Archives/edgar/data/883975/000149315225001133/form8-k.htm" TargetMode="External"/><Relationship Id="rId34" Type="http://schemas.openxmlformats.org/officeDocument/2006/relationships/hyperlink" Target="https://www.sec.gov/Archives/edgar/data/883975/000149315225001559/form8-k.htm" TargetMode="External"/><Relationship Id="rId35" Type="http://schemas.openxmlformats.org/officeDocument/2006/relationships/hyperlink" Target="https://www.sec.gov/Archives/edgar/data/883975/000149315225003582/form8-k.htm" TargetMode="External"/><Relationship Id="rId36" Type="http://schemas.openxmlformats.org/officeDocument/2006/relationships/hyperlink" Target="https://www.sec.gov/Archives/edgar/data/883975/000149315225003818/form8-k.htm" TargetMode="External"/><Relationship Id="rId37" Type="http://schemas.openxmlformats.org/officeDocument/2006/relationships/hyperlink" Target="https://www.sec.gov/Archives/edgar/data/883975/000149315225005410/form8-k.htm" TargetMode="External"/><Relationship Id="rId38" Type="http://schemas.openxmlformats.org/officeDocument/2006/relationships/hyperlink" Target="https://www.sec.gov/Archives/edgar/data/883975/000149315225005489/form8-k.htm" TargetMode="External"/><Relationship Id="rId39" Type="http://schemas.openxmlformats.org/officeDocument/2006/relationships/hyperlink" Target="https://www.sec.gov/Archives/edgar/data/883975/000149315225005820/form8-k.htm" TargetMode="External"/><Relationship Id="rId40" Type="http://schemas.openxmlformats.org/officeDocument/2006/relationships/hyperlink" Target="https://www.sec.gov/Archives/edgar/data/883975/000149315225005967/form8-k.htm" TargetMode="External"/><Relationship Id="rId41" Type="http://schemas.openxmlformats.org/officeDocument/2006/relationships/hyperlink" Target="https://www.sec.gov/Archives/edgar/data/883975/000149315225008140/form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2025-04-03T15:44:55Z</dcterms:created>
  <dcterms:modified xsi:type="dcterms:W3CDTF">2025-04-03T15:44:55Z</dcterms:modified>
</cp:coreProperties>
</file>