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99"/>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71"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200" w:lineRule="exact"/>
        <w:rPr>
          <w:sz w:val="24"/>
          <w:szCs w:val="24"/>
          <w:color w:val="auto"/>
        </w:rPr>
      </w:pPr>
    </w:p>
    <w:p>
      <w:pPr>
        <w:spacing w:after="0" w:line="37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QUARTERLY REPORT UNDER SECTION 13 OR 15(d) OF</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SECURITIES EXCHANGE ACT OF 1934</w:t>
      </w:r>
    </w:p>
    <w:p>
      <w:pPr>
        <w:sectPr>
          <w:pgSz w:w="11900" w:h="16838" w:orient="portrait"/>
          <w:cols w:equalWidth="0" w:num="1">
            <w:col w:w="10219"/>
          </w:cols>
          <w:pgMar w:left="240" w:top="806" w:right="1440" w:bottom="1440" w:gutter="0" w:footer="0" w:header="0"/>
        </w:sect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 ended: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March 31, 2001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1" w:lineRule="exact"/>
        <w:rPr>
          <w:sz w:val="24"/>
          <w:szCs w:val="24"/>
          <w:color w:val="auto"/>
        </w:rPr>
      </w:pPr>
    </w:p>
    <w:p>
      <w:pPr>
        <w:jc w:val="right"/>
        <w:ind w:right="2879"/>
        <w:spacing w:after="0"/>
        <w:rPr>
          <w:sz w:val="20"/>
          <w:szCs w:val="20"/>
          <w:color w:val="auto"/>
        </w:rPr>
      </w:pPr>
      <w:r>
        <w:rPr>
          <w:rFonts w:ascii="Courier New" w:cs="Courier New" w:eastAsia="Courier New" w:hAnsi="Courier New"/>
          <w:sz w:val="16"/>
          <w:szCs w:val="16"/>
          <w:color w:val="auto"/>
        </w:rPr>
        <w:t>Commission File Number: 0-19871</w:t>
      </w:r>
    </w:p>
    <w:p>
      <w:pPr>
        <w:spacing w:after="0" w:line="7" w:lineRule="exact"/>
        <w:rPr>
          <w:sz w:val="24"/>
          <w:szCs w:val="24"/>
          <w:color w:val="auto"/>
        </w:rPr>
      </w:pPr>
    </w:p>
    <w:p>
      <w:pPr>
        <w:jc w:val="right"/>
        <w:ind w:right="28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580" w:space="720"/>
            <w:col w:w="5919"/>
          </w:cols>
          <w:pgMar w:left="240" w:top="806" w:right="1440" w:bottom="1440" w:gutter="0" w:footer="0" w:header="0"/>
          <w:type w:val="continuous"/>
        </w:sectPr>
      </w:pPr>
    </w:p>
    <w:p>
      <w:pPr>
        <w:spacing w:after="0" w:line="37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STEMCELLS, INC.</w:t>
      </w:r>
    </w:p>
    <w:p>
      <w:pPr>
        <w:spacing w:after="0" w:line="7"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806" w:right="1440" w:bottom="1440" w:gutter="0" w:footer="0" w:header="0"/>
          <w:type w:val="continuous"/>
        </w:sectPr>
      </w:pPr>
    </w:p>
    <w:p>
      <w:pPr>
        <w:spacing w:after="0" w:line="195" w:lineRule="exact"/>
        <w:rPr>
          <w:sz w:val="24"/>
          <w:szCs w:val="24"/>
          <w:color w:val="auto"/>
        </w:rPr>
      </w:pPr>
    </w:p>
    <w:p>
      <w:pPr>
        <w:ind w:left="2060"/>
        <w:spacing w:after="0"/>
        <w:rPr>
          <w:sz w:val="20"/>
          <w:szCs w:val="20"/>
          <w:color w:val="auto"/>
        </w:rPr>
      </w:pPr>
      <w:r>
        <w:rPr>
          <w:rFonts w:ascii="Courier New" w:cs="Courier New" w:eastAsia="Courier New" w:hAnsi="Courier New"/>
          <w:sz w:val="16"/>
          <w:szCs w:val="16"/>
          <w:color w:val="auto"/>
        </w:rPr>
        <w:t>DELAWARE</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(State or other jurisdiction of</w:t>
      </w:r>
    </w:p>
    <w:p>
      <w:pPr>
        <w:spacing w:after="0" w:line="7"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94-3078125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5" w:lineRule="exact"/>
        <w:rPr>
          <w:sz w:val="24"/>
          <w:szCs w:val="24"/>
          <w:color w:val="auto"/>
        </w:rPr>
      </w:pPr>
    </w:p>
    <w:p>
      <w:pPr>
        <w:sectPr>
          <w:pgSz w:w="11900" w:h="16838" w:orient="portrait"/>
          <w:cols w:equalWidth="0" w:num="2">
            <w:col w:w="4360" w:space="720"/>
            <w:col w:w="5139"/>
          </w:cols>
          <w:pgMar w:left="240" w:top="806" w:right="1440" w:bottom="1440" w:gutter="0" w:footer="0" w:header="0"/>
          <w:type w:val="continuous"/>
        </w:sectPr>
      </w:pPr>
    </w:p>
    <w:p>
      <w:pPr>
        <w:jc w:val="center"/>
        <w:ind w:right="2299"/>
        <w:spacing w:after="0"/>
        <w:rPr>
          <w:sz w:val="20"/>
          <w:szCs w:val="20"/>
          <w:color w:val="auto"/>
        </w:rPr>
      </w:pPr>
      <w:r>
        <w:rPr>
          <w:rFonts w:ascii="Courier New" w:cs="Courier New" w:eastAsia="Courier New" w:hAnsi="Courier New"/>
          <w:sz w:val="16"/>
          <w:szCs w:val="16"/>
          <w:color w:val="auto"/>
        </w:rPr>
        <w:t>3155 PORTER DRIVE</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PALO ALTO, CA 94304</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ectPr>
          <w:pgSz w:w="11900" w:h="16838" w:orient="portrait"/>
          <w:cols w:equalWidth="0" w:num="1">
            <w:col w:w="10219"/>
          </w:cols>
          <w:pgMar w:left="240" w:top="806" w:right="1440" w:bottom="1440" w:gutter="0" w:footer="0" w:header="0"/>
          <w:type w:val="continuous"/>
        </w:sectPr>
      </w:pPr>
    </w:p>
    <w:p>
      <w:pPr>
        <w:spacing w:after="0" w:line="195" w:lineRule="exact"/>
        <w:rPr>
          <w:sz w:val="24"/>
          <w:szCs w:val="24"/>
          <w:color w:val="auto"/>
        </w:rPr>
      </w:pPr>
    </w:p>
    <w:p>
      <w:pPr>
        <w:ind w:left="1080" w:firstLine="293"/>
        <w:spacing w:after="0" w:line="252" w:lineRule="auto"/>
        <w:rPr>
          <w:sz w:val="20"/>
          <w:szCs w:val="20"/>
          <w:color w:val="auto"/>
        </w:rPr>
      </w:pPr>
      <w:r>
        <w:rPr>
          <w:rFonts w:ascii="Courier New" w:cs="Courier New" w:eastAsia="Courier New" w:hAnsi="Courier New"/>
          <w:sz w:val="16"/>
          <w:szCs w:val="16"/>
          <w:color w:val="auto"/>
        </w:rPr>
        <w:t>525 Del Rey Avenue, Suite C, Sunnyvale, CA (Former address of principal executive offices)</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94086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194" w:lineRule="exact"/>
        <w:rPr>
          <w:sz w:val="24"/>
          <w:szCs w:val="24"/>
          <w:color w:val="auto"/>
        </w:rPr>
      </w:pPr>
    </w:p>
    <w:p>
      <w:pPr>
        <w:sectPr>
          <w:pgSz w:w="11900" w:h="16838" w:orient="portrait"/>
          <w:cols w:equalWidth="0" w:num="2">
            <w:col w:w="5660" w:space="700"/>
            <w:col w:w="3859"/>
          </w:cols>
          <w:pgMar w:left="240" w:top="806" w:right="1440" w:bottom="1440" w:gutter="0" w:footer="0" w:header="0"/>
          <w:type w:val="continuous"/>
        </w:sectPr>
      </w:pPr>
    </w:p>
    <w:p>
      <w:pPr>
        <w:ind w:left="3220"/>
        <w:spacing w:after="0"/>
        <w:rPr>
          <w:sz w:val="20"/>
          <w:szCs w:val="20"/>
          <w:color w:val="auto"/>
        </w:rPr>
      </w:pPr>
      <w:r>
        <w:rPr>
          <w:rFonts w:ascii="Courier New" w:cs="Courier New" w:eastAsia="Courier New" w:hAnsi="Courier New"/>
          <w:sz w:val="16"/>
          <w:szCs w:val="16"/>
          <w:color w:val="auto"/>
        </w:rPr>
        <w:t>(650) 475-3100</w:t>
      </w:r>
    </w:p>
    <w:p>
      <w:pPr>
        <w:sectPr>
          <w:pgSz w:w="11900" w:h="16838" w:orient="portrait"/>
          <w:cols w:equalWidth="0" w:num="1">
            <w:col w:w="10219"/>
          </w:cols>
          <w:pgMar w:left="240" w:top="806" w:right="1440" w:bottom="1440" w:gutter="0" w:footer="0" w:header="0"/>
          <w:type w:val="continuous"/>
        </w:sectPr>
      </w:pP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5" w:lineRule="exact"/>
        <w:rPr>
          <w:sz w:val="24"/>
          <w:szCs w:val="24"/>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87" w:lineRule="exact"/>
        <w:rPr>
          <w:sz w:val="24"/>
          <w:szCs w:val="24"/>
          <w:color w:val="auto"/>
        </w:rPr>
      </w:pPr>
    </w:p>
    <w:p>
      <w:pPr>
        <w:spacing w:after="0"/>
        <w:tabs>
          <w:tab w:leader="none" w:pos="960" w:val="left"/>
          <w:tab w:leader="none" w:pos="1340" w:val="left"/>
        </w:tabs>
        <w:rPr>
          <w:sz w:val="20"/>
          <w:szCs w:val="20"/>
          <w:color w:val="auto"/>
        </w:rPr>
      </w:pPr>
      <w:r>
        <w:rPr>
          <w:rFonts w:ascii="Courier New" w:cs="Courier New" w:eastAsia="Courier New" w:hAnsi="Courier New"/>
          <w:sz w:val="16"/>
          <w:szCs w:val="16"/>
          <w:color w:val="auto"/>
        </w:rPr>
        <w:t>Yes |X|</w:t>
      </w:r>
      <w:r>
        <w:rPr>
          <w:sz w:val="20"/>
          <w:szCs w:val="20"/>
          <w:color w:val="auto"/>
        </w:rPr>
        <w:tab/>
      </w:r>
      <w:r>
        <w:rPr>
          <w:rFonts w:ascii="Courier New" w:cs="Courier New" w:eastAsia="Courier New" w:hAnsi="Courier New"/>
          <w:sz w:val="16"/>
          <w:szCs w:val="16"/>
          <w:color w:val="auto"/>
        </w:rPr>
        <w:t>No</w:t>
        <w:tab/>
        <w:t>| |</w:t>
      </w:r>
    </w:p>
    <w:p>
      <w:pPr>
        <w:spacing w:after="0" w:line="195" w:lineRule="exact"/>
        <w:rPr>
          <w:sz w:val="24"/>
          <w:szCs w:val="24"/>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At March 31, 2001 there were 21,458,211 shares of Common Stock, $.01 par value, issued and outstanding.</w:t>
      </w:r>
    </w:p>
    <w:p>
      <w:pPr>
        <w:sectPr>
          <w:pgSz w:w="11900" w:h="16838" w:orient="portrait"/>
          <w:cols w:equalWidth="0" w:num="1">
            <w:col w:w="10219"/>
          </w:cols>
          <w:pgMar w:left="240" w:top="806" w:right="1440" w:bottom="1440" w:gutter="0" w:footer="0" w:header="0"/>
          <w:type w:val="continuous"/>
        </w:sectPr>
      </w:pPr>
    </w:p>
    <w:bookmarkStart w:id="1" w:name="page2"/>
    <w:bookmarkEnd w:id="1"/>
    <w:p>
      <w:pPr>
        <w:jc w:val="center"/>
        <w:ind w:right="2299"/>
        <w:spacing w:after="0"/>
        <w:rPr>
          <w:sz w:val="20"/>
          <w:szCs w:val="20"/>
          <w:color w:val="auto"/>
        </w:rPr>
      </w:pPr>
      <w:r>
        <w:rPr>
          <w:rFonts w:ascii="Courier New" w:cs="Courier New" w:eastAsia="Courier New" w:hAnsi="Courier New"/>
          <w:sz w:val="16"/>
          <w:szCs w:val="16"/>
          <w:color w:val="auto"/>
        </w:rPr>
        <w:t>STEMCELLS, INC.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Page Number</w:t>
            </w:r>
          </w:p>
        </w:tc>
      </w:tr>
      <w:tr>
        <w:trPr>
          <w:trHeight w:val="376"/>
        </w:trPr>
        <w:tc>
          <w:tcPr>
            <w:tcW w:w="8300" w:type="dxa"/>
            <w:vAlign w:val="bottom"/>
            <w:gridSpan w:val="2"/>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1580" w:type="dxa"/>
            <w:vAlign w:val="bottom"/>
          </w:tcPr>
          <w:p>
            <w:pPr>
              <w:spacing w:after="0"/>
              <w:rPr>
                <w:sz w:val="24"/>
                <w:szCs w:val="24"/>
                <w:color w:val="auto"/>
              </w:rPr>
            </w:pP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460" w:type="dxa"/>
            <w:vAlign w:val="bottom"/>
          </w:tcPr>
          <w:p>
            <w:pPr>
              <w:ind w:left="40"/>
              <w:spacing w:after="0"/>
              <w:rPr>
                <w:sz w:val="20"/>
                <w:szCs w:val="20"/>
                <w:color w:val="auto"/>
              </w:rPr>
            </w:pPr>
            <w:r>
              <w:rPr>
                <w:rFonts w:ascii="Courier New" w:cs="Courier New" w:eastAsia="Courier New" w:hAnsi="Courier New"/>
                <w:sz w:val="16"/>
                <w:szCs w:val="16"/>
                <w:color w:val="auto"/>
              </w:rPr>
              <w:t>Financial Statements (Unaudited)</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w:t>
            </w:r>
          </w:p>
        </w:tc>
      </w:tr>
      <w:tr>
        <w:trPr>
          <w:trHeight w:val="376"/>
        </w:trPr>
        <w:tc>
          <w:tcPr>
            <w:tcW w:w="840" w:type="dxa"/>
            <w:vAlign w:val="bottom"/>
          </w:tcPr>
          <w:p>
            <w:pPr>
              <w:spacing w:after="0"/>
              <w:rPr>
                <w:sz w:val="24"/>
                <w:szCs w:val="24"/>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6"/>
                <w:szCs w:val="16"/>
                <w:color w:val="auto"/>
              </w:rPr>
              <w:t>Condensed Consolidated Balance Sheets March 31, 2001 and December 31,</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w:t>
            </w:r>
          </w:p>
        </w:tc>
      </w:tr>
      <w:tr>
        <w:trPr>
          <w:trHeight w:val="188"/>
        </w:trPr>
        <w:tc>
          <w:tcPr>
            <w:tcW w:w="84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6"/>
                <w:szCs w:val="16"/>
                <w:color w:val="auto"/>
              </w:rPr>
              <w:t>2000</w:t>
            </w:r>
          </w:p>
        </w:tc>
        <w:tc>
          <w:tcPr>
            <w:tcW w:w="1580" w:type="dxa"/>
            <w:vAlign w:val="bottom"/>
          </w:tcPr>
          <w:p>
            <w:pPr>
              <w:spacing w:after="0"/>
              <w:rPr>
                <w:sz w:val="16"/>
                <w:szCs w:val="16"/>
                <w:color w:val="auto"/>
              </w:rPr>
            </w:pPr>
          </w:p>
        </w:tc>
      </w:tr>
      <w:tr>
        <w:trPr>
          <w:trHeight w:val="376"/>
        </w:trPr>
        <w:tc>
          <w:tcPr>
            <w:tcW w:w="840" w:type="dxa"/>
            <w:vAlign w:val="bottom"/>
          </w:tcPr>
          <w:p>
            <w:pPr>
              <w:spacing w:after="0"/>
              <w:rPr>
                <w:sz w:val="24"/>
                <w:szCs w:val="24"/>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6"/>
                <w:szCs w:val="16"/>
                <w:color w:val="auto"/>
              </w:rPr>
              <w:t>Condensed Consolidated Statements of Operations three months ended</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w:t>
            </w:r>
          </w:p>
        </w:tc>
      </w:tr>
      <w:tr>
        <w:trPr>
          <w:trHeight w:val="188"/>
        </w:trPr>
        <w:tc>
          <w:tcPr>
            <w:tcW w:w="84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6"/>
                <w:szCs w:val="16"/>
                <w:color w:val="auto"/>
              </w:rPr>
              <w:t>March 31, 2001 and 2000</w:t>
            </w:r>
          </w:p>
        </w:tc>
        <w:tc>
          <w:tcPr>
            <w:tcW w:w="1580" w:type="dxa"/>
            <w:vAlign w:val="bottom"/>
          </w:tcPr>
          <w:p>
            <w:pPr>
              <w:spacing w:after="0"/>
              <w:rPr>
                <w:sz w:val="16"/>
                <w:szCs w:val="16"/>
                <w:color w:val="auto"/>
              </w:rPr>
            </w:pPr>
          </w:p>
        </w:tc>
      </w:tr>
      <w:tr>
        <w:trPr>
          <w:trHeight w:val="376"/>
        </w:trPr>
        <w:tc>
          <w:tcPr>
            <w:tcW w:w="840" w:type="dxa"/>
            <w:vAlign w:val="bottom"/>
          </w:tcPr>
          <w:p>
            <w:pPr>
              <w:spacing w:after="0"/>
              <w:rPr>
                <w:sz w:val="24"/>
                <w:szCs w:val="24"/>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6"/>
                <w:szCs w:val="16"/>
                <w:color w:val="auto"/>
              </w:rPr>
              <w:t>Condensed Consolidated Statements of Cash Flows three months ended</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w:t>
            </w:r>
          </w:p>
        </w:tc>
      </w:tr>
      <w:tr>
        <w:trPr>
          <w:trHeight w:val="188"/>
        </w:trPr>
        <w:tc>
          <w:tcPr>
            <w:tcW w:w="84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6"/>
                <w:szCs w:val="16"/>
                <w:color w:val="auto"/>
              </w:rPr>
              <w:t>March 31, 2001 and 2000</w:t>
            </w:r>
          </w:p>
        </w:tc>
        <w:tc>
          <w:tcPr>
            <w:tcW w:w="1580" w:type="dxa"/>
            <w:vAlign w:val="bottom"/>
          </w:tcPr>
          <w:p>
            <w:pPr>
              <w:spacing w:after="0"/>
              <w:rPr>
                <w:sz w:val="16"/>
                <w:szCs w:val="16"/>
                <w:color w:val="auto"/>
              </w:rPr>
            </w:pPr>
          </w:p>
        </w:tc>
      </w:tr>
      <w:tr>
        <w:trPr>
          <w:trHeight w:val="376"/>
        </w:trPr>
        <w:tc>
          <w:tcPr>
            <w:tcW w:w="840" w:type="dxa"/>
            <w:vAlign w:val="bottom"/>
          </w:tcPr>
          <w:p>
            <w:pPr>
              <w:spacing w:after="0"/>
              <w:rPr>
                <w:sz w:val="24"/>
                <w:szCs w:val="24"/>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7460" w:type="dxa"/>
            <w:vAlign w:val="bottom"/>
          </w:tcPr>
          <w:p>
            <w:pPr>
              <w:ind w:left="40"/>
              <w:spacing w:after="0"/>
              <w:rPr>
                <w:sz w:val="20"/>
                <w:szCs w:val="20"/>
                <w:color w:val="auto"/>
              </w:rPr>
            </w:pPr>
            <w:r>
              <w:rPr>
                <w:rFonts w:ascii="Courier New" w:cs="Courier New" w:eastAsia="Courier New" w:hAnsi="Courier New"/>
                <w:sz w:val="16"/>
                <w:szCs w:val="16"/>
                <w:color w:val="auto"/>
              </w:rPr>
              <w:t>Management's Discussion and Analysis of Financial Condition and Results</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9</w:t>
            </w:r>
          </w:p>
        </w:tc>
      </w:tr>
      <w:tr>
        <w:trPr>
          <w:trHeight w:val="188"/>
        </w:trPr>
        <w:tc>
          <w:tcPr>
            <w:tcW w:w="840" w:type="dxa"/>
            <w:vAlign w:val="bottom"/>
          </w:tcPr>
          <w:p>
            <w:pPr>
              <w:spacing w:after="0"/>
              <w:rPr>
                <w:sz w:val="16"/>
                <w:szCs w:val="16"/>
                <w:color w:val="auto"/>
              </w:rPr>
            </w:pPr>
          </w:p>
        </w:tc>
        <w:tc>
          <w:tcPr>
            <w:tcW w:w="7460" w:type="dxa"/>
            <w:vAlign w:val="bottom"/>
          </w:tcPr>
          <w:p>
            <w:pPr>
              <w:ind w:left="40"/>
              <w:spacing w:after="0"/>
              <w:rPr>
                <w:sz w:val="20"/>
                <w:szCs w:val="20"/>
                <w:color w:val="auto"/>
              </w:rPr>
            </w:pPr>
            <w:r>
              <w:rPr>
                <w:rFonts w:ascii="Courier New" w:cs="Courier New" w:eastAsia="Courier New" w:hAnsi="Courier New"/>
                <w:sz w:val="16"/>
                <w:szCs w:val="16"/>
                <w:color w:val="auto"/>
              </w:rPr>
              <w:t>of Operations</w:t>
            </w:r>
          </w:p>
        </w:tc>
        <w:tc>
          <w:tcPr>
            <w:tcW w:w="1580" w:type="dxa"/>
            <w:vAlign w:val="bottom"/>
          </w:tcPr>
          <w:p>
            <w:pPr>
              <w:spacing w:after="0"/>
              <w:rPr>
                <w:sz w:val="16"/>
                <w:szCs w:val="16"/>
                <w:color w:val="auto"/>
              </w:rPr>
            </w:pP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Item 3.</w:t>
            </w:r>
          </w:p>
        </w:tc>
        <w:tc>
          <w:tcPr>
            <w:tcW w:w="7460" w:type="dxa"/>
            <w:vAlign w:val="bottom"/>
          </w:tcPr>
          <w:p>
            <w:pPr>
              <w:ind w:left="40"/>
              <w:spacing w:after="0"/>
              <w:rPr>
                <w:sz w:val="20"/>
                <w:szCs w:val="20"/>
                <w:color w:val="auto"/>
              </w:rPr>
            </w:pPr>
            <w:r>
              <w:rPr>
                <w:rFonts w:ascii="Courier New" w:cs="Courier New" w:eastAsia="Courier New" w:hAnsi="Courier New"/>
                <w:sz w:val="16"/>
                <w:szCs w:val="16"/>
                <w:color w:val="auto"/>
              </w:rPr>
              <w:t>Quantitative and Qualitative Disclosures About Market Risk.</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13</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7460" w:type="dxa"/>
            <w:vAlign w:val="bottom"/>
          </w:tcPr>
          <w:p>
            <w:pPr>
              <w:ind w:left="40"/>
              <w:spacing w:after="0"/>
              <w:rPr>
                <w:sz w:val="20"/>
                <w:szCs w:val="20"/>
                <w:color w:val="auto"/>
              </w:rPr>
            </w:pPr>
            <w:r>
              <w:rPr>
                <w:rFonts w:ascii="Courier New" w:cs="Courier New" w:eastAsia="Courier New" w:hAnsi="Courier New"/>
                <w:sz w:val="16"/>
                <w:szCs w:val="16"/>
                <w:color w:val="auto"/>
              </w:rPr>
              <w:t>OTHER INFORMATION</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14</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460" w:type="dxa"/>
            <w:vAlign w:val="bottom"/>
          </w:tcPr>
          <w:p>
            <w:pPr>
              <w:ind w:left="40"/>
              <w:spacing w:after="0"/>
              <w:rPr>
                <w:sz w:val="20"/>
                <w:szCs w:val="20"/>
                <w:color w:val="auto"/>
              </w:rPr>
            </w:pPr>
            <w:r>
              <w:rPr>
                <w:rFonts w:ascii="Courier New" w:cs="Courier New" w:eastAsia="Courier New" w:hAnsi="Courier New"/>
                <w:sz w:val="16"/>
                <w:szCs w:val="16"/>
                <w:color w:val="auto"/>
              </w:rPr>
              <w:t>Legal Proceedings</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14</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7460" w:type="dxa"/>
            <w:vAlign w:val="bottom"/>
          </w:tcPr>
          <w:p>
            <w:pPr>
              <w:ind w:left="40"/>
              <w:spacing w:after="0"/>
              <w:rPr>
                <w:sz w:val="20"/>
                <w:szCs w:val="20"/>
                <w:color w:val="auto"/>
              </w:rPr>
            </w:pPr>
            <w:r>
              <w:rPr>
                <w:rFonts w:ascii="Courier New" w:cs="Courier New" w:eastAsia="Courier New" w:hAnsi="Courier New"/>
                <w:sz w:val="16"/>
                <w:szCs w:val="16"/>
                <w:color w:val="auto"/>
              </w:rPr>
              <w:t>Submission of Matters to a Vote of Security-Holders</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14</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7460" w:type="dxa"/>
            <w:vAlign w:val="bottom"/>
          </w:tcPr>
          <w:p>
            <w:pPr>
              <w:ind w:left="40"/>
              <w:spacing w:after="0"/>
              <w:rPr>
                <w:sz w:val="20"/>
                <w:szCs w:val="20"/>
                <w:color w:val="auto"/>
              </w:rPr>
            </w:pPr>
            <w:r>
              <w:rPr>
                <w:rFonts w:ascii="Courier New" w:cs="Courier New" w:eastAsia="Courier New" w:hAnsi="Courier New"/>
                <w:sz w:val="16"/>
                <w:szCs w:val="16"/>
                <w:color w:val="auto"/>
              </w:rPr>
              <w:t>Exhibits and Reports on Form 8-K</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14</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68"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5"/>
                <w:szCs w:val="15"/>
                <w:color w:val="auto"/>
              </w:rPr>
            </w:pPr>
          </w:p>
        </w:tc>
        <w:tc>
          <w:tcPr>
            <w:tcW w:w="16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MARCH 31, 2001</w:t>
            </w: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8"/>
        </w:trPr>
        <w:tc>
          <w:tcPr>
            <w:tcW w:w="7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(UNAUDITED)</w:t>
            </w:r>
          </w:p>
        </w:tc>
        <w:tc>
          <w:tcPr>
            <w:tcW w:w="18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DECEMBER 31, 2000</w:t>
            </w:r>
          </w:p>
        </w:tc>
      </w:tr>
      <w:tr>
        <w:trPr>
          <w:trHeight w:val="188"/>
        </w:trPr>
        <w:tc>
          <w:tcPr>
            <w:tcW w:w="7720" w:type="dxa"/>
            <w:vAlign w:val="bottom"/>
          </w:tcPr>
          <w:p>
            <w:pPr>
              <w:spacing w:after="0"/>
              <w:rPr>
                <w:sz w:val="16"/>
                <w:szCs w:val="16"/>
                <w:color w:val="auto"/>
              </w:rPr>
            </w:pPr>
          </w:p>
        </w:tc>
        <w:tc>
          <w:tcPr>
            <w:tcW w:w="16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r>
      <w:tr>
        <w:trPr>
          <w:trHeight w:val="376"/>
        </w:trPr>
        <w:tc>
          <w:tcPr>
            <w:tcW w:w="77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8"/>
        </w:trPr>
        <w:tc>
          <w:tcPr>
            <w:tcW w:w="7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Cash and cash equivalents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4,499,158</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6,068,947</w:t>
            </w:r>
          </w:p>
        </w:tc>
      </w:tr>
      <w:tr>
        <w:trPr>
          <w:trHeight w:val="188"/>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Short-term restricted investments</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8,412,650</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16,356,334</w:t>
            </w:r>
          </w:p>
        </w:tc>
      </w:tr>
      <w:tr>
        <w:trPr>
          <w:trHeight w:val="188"/>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Accrued interest receivable</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9,706</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16,725</w:t>
            </w:r>
          </w:p>
        </w:tc>
      </w:tr>
      <w:tr>
        <w:trPr>
          <w:trHeight w:val="188"/>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Prepaid rent</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909,415</w:t>
            </w:r>
          </w:p>
        </w:tc>
        <w:tc>
          <w:tcPr>
            <w:tcW w:w="300" w:type="dxa"/>
            <w:vAlign w:val="bottom"/>
          </w:tcPr>
          <w:p>
            <w:pPr>
              <w:spacing w:after="0"/>
              <w:rPr>
                <w:sz w:val="16"/>
                <w:szCs w:val="16"/>
                <w:color w:val="auto"/>
              </w:rPr>
            </w:pP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8"/>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Other current assets</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473,696</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524,509</w:t>
            </w:r>
          </w:p>
        </w:tc>
      </w:tr>
      <w:tr>
        <w:trPr>
          <w:trHeight w:val="188"/>
        </w:trPr>
        <w:tc>
          <w:tcPr>
            <w:tcW w:w="7720" w:type="dxa"/>
            <w:vAlign w:val="bottom"/>
          </w:tcPr>
          <w:p>
            <w:pPr>
              <w:spacing w:after="0"/>
              <w:rPr>
                <w:sz w:val="16"/>
                <w:szCs w:val="16"/>
                <w:color w:val="auto"/>
              </w:rPr>
            </w:pPr>
          </w:p>
        </w:tc>
        <w:tc>
          <w:tcPr>
            <w:tcW w:w="16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7720" w:type="dxa"/>
            <w:vAlign w:val="bottom"/>
          </w:tcPr>
          <w:p>
            <w:pPr>
              <w:ind w:left="880"/>
              <w:spacing w:after="0"/>
              <w:rPr>
                <w:sz w:val="20"/>
                <w:szCs w:val="20"/>
                <w:color w:val="auto"/>
              </w:rPr>
            </w:pPr>
            <w:r>
              <w:rPr>
                <w:rFonts w:ascii="Courier New" w:cs="Courier New" w:eastAsia="Courier New" w:hAnsi="Courier New"/>
                <w:sz w:val="16"/>
                <w:szCs w:val="16"/>
                <w:color w:val="auto"/>
              </w:rPr>
              <w:t>Total current assets</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14,304,625</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22,966,515</w:t>
            </w:r>
          </w:p>
        </w:tc>
      </w:tr>
      <w:tr>
        <w:trPr>
          <w:trHeight w:val="376"/>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Property held for sale</w:t>
            </w:r>
          </w:p>
        </w:tc>
        <w:tc>
          <w:tcPr>
            <w:tcW w:w="300" w:type="dxa"/>
            <w:vAlign w:val="bottom"/>
          </w:tcPr>
          <w:p>
            <w:pPr>
              <w:spacing w:after="0"/>
              <w:rPr>
                <w:sz w:val="24"/>
                <w:szCs w:val="24"/>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3,203,491</w:t>
            </w:r>
          </w:p>
        </w:tc>
        <w:tc>
          <w:tcPr>
            <w:tcW w:w="300" w:type="dxa"/>
            <w:vAlign w:val="bottom"/>
          </w:tcPr>
          <w:p>
            <w:pPr>
              <w:spacing w:after="0"/>
              <w:rPr>
                <w:sz w:val="24"/>
                <w:szCs w:val="24"/>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3,203,491</w:t>
            </w:r>
          </w:p>
        </w:tc>
      </w:tr>
      <w:tr>
        <w:trPr>
          <w:trHeight w:val="188"/>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Property, plant and equipment, net</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1,442,089</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1,451,061</w:t>
            </w:r>
          </w:p>
        </w:tc>
      </w:tr>
      <w:tr>
        <w:trPr>
          <w:trHeight w:val="188"/>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Other assets net</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2,556,457</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2,173,912</w:t>
            </w:r>
          </w:p>
        </w:tc>
      </w:tr>
      <w:tr>
        <w:trPr>
          <w:trHeight w:val="188"/>
        </w:trPr>
        <w:tc>
          <w:tcPr>
            <w:tcW w:w="7720" w:type="dxa"/>
            <w:vAlign w:val="bottom"/>
          </w:tcPr>
          <w:p>
            <w:pPr>
              <w:spacing w:after="0"/>
              <w:rPr>
                <w:sz w:val="16"/>
                <w:szCs w:val="16"/>
                <w:color w:val="auto"/>
              </w:rPr>
            </w:pPr>
          </w:p>
        </w:tc>
        <w:tc>
          <w:tcPr>
            <w:tcW w:w="16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77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21,506,661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29,794,979</w:t>
            </w:r>
          </w:p>
        </w:tc>
      </w:tr>
      <w:tr>
        <w:trPr>
          <w:trHeight w:val="188"/>
        </w:trPr>
        <w:tc>
          <w:tcPr>
            <w:tcW w:w="7720" w:type="dxa"/>
            <w:vAlign w:val="bottom"/>
          </w:tcPr>
          <w:p>
            <w:pPr>
              <w:spacing w:after="0"/>
              <w:rPr>
                <w:sz w:val="16"/>
                <w:szCs w:val="16"/>
                <w:color w:val="auto"/>
              </w:rPr>
            </w:pPr>
          </w:p>
        </w:tc>
        <w:tc>
          <w:tcPr>
            <w:tcW w:w="16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77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8"/>
        </w:trPr>
        <w:tc>
          <w:tcPr>
            <w:tcW w:w="7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Accounts payable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237,856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526,191</w:t>
            </w:r>
          </w:p>
        </w:tc>
      </w:tr>
      <w:tr>
        <w:trPr>
          <w:trHeight w:val="188"/>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Accrued expenses</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785,064</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837,358</w:t>
            </w:r>
          </w:p>
        </w:tc>
      </w:tr>
      <w:tr>
        <w:trPr>
          <w:trHeight w:val="188"/>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Accrued wind-down costs</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1,380,947</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1,780,579</w:t>
            </w:r>
          </w:p>
        </w:tc>
      </w:tr>
      <w:tr>
        <w:trPr>
          <w:trHeight w:val="188"/>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Current maturities of capitalized lease obligations</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333,333</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332,083</w:t>
            </w:r>
          </w:p>
        </w:tc>
      </w:tr>
      <w:tr>
        <w:trPr>
          <w:trHeight w:val="188"/>
        </w:trPr>
        <w:tc>
          <w:tcPr>
            <w:tcW w:w="7720" w:type="dxa"/>
            <w:vAlign w:val="bottom"/>
          </w:tcPr>
          <w:p>
            <w:pPr>
              <w:spacing w:after="0"/>
              <w:rPr>
                <w:sz w:val="16"/>
                <w:szCs w:val="16"/>
                <w:color w:val="auto"/>
              </w:rPr>
            </w:pPr>
          </w:p>
        </w:tc>
        <w:tc>
          <w:tcPr>
            <w:tcW w:w="16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772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2,737,200</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3,476,211</w:t>
            </w:r>
          </w:p>
        </w:tc>
      </w:tr>
      <w:tr>
        <w:trPr>
          <w:trHeight w:val="376"/>
        </w:trPr>
        <w:tc>
          <w:tcPr>
            <w:tcW w:w="772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 less current maturities</w:t>
            </w:r>
          </w:p>
        </w:tc>
        <w:tc>
          <w:tcPr>
            <w:tcW w:w="300" w:type="dxa"/>
            <w:vAlign w:val="bottom"/>
          </w:tcPr>
          <w:p>
            <w:pPr>
              <w:spacing w:after="0"/>
              <w:rPr>
                <w:sz w:val="24"/>
                <w:szCs w:val="24"/>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2,521,250</w:t>
            </w:r>
          </w:p>
        </w:tc>
        <w:tc>
          <w:tcPr>
            <w:tcW w:w="300" w:type="dxa"/>
            <w:vAlign w:val="bottom"/>
          </w:tcPr>
          <w:p>
            <w:pPr>
              <w:spacing w:after="0"/>
              <w:rPr>
                <w:sz w:val="24"/>
                <w:szCs w:val="24"/>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2,605,000</w:t>
            </w:r>
          </w:p>
        </w:tc>
      </w:tr>
      <w:tr>
        <w:trPr>
          <w:trHeight w:val="188"/>
        </w:trPr>
        <w:tc>
          <w:tcPr>
            <w:tcW w:w="7720" w:type="dxa"/>
            <w:vAlign w:val="bottom"/>
          </w:tcPr>
          <w:p>
            <w:pPr>
              <w:spacing w:after="0"/>
              <w:rPr>
                <w:sz w:val="20"/>
                <w:szCs w:val="20"/>
                <w:color w:val="auto"/>
              </w:rPr>
            </w:pPr>
            <w:r>
              <w:rPr>
                <w:rFonts w:ascii="Courier New" w:cs="Courier New" w:eastAsia="Courier New" w:hAnsi="Courier New"/>
                <w:sz w:val="16"/>
                <w:szCs w:val="16"/>
                <w:color w:val="auto"/>
              </w:rPr>
              <w:t>Deposits</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26,000</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26,000</w:t>
            </w:r>
          </w:p>
        </w:tc>
      </w:tr>
      <w:tr>
        <w:trPr>
          <w:trHeight w:val="188"/>
        </w:trPr>
        <w:tc>
          <w:tcPr>
            <w:tcW w:w="7720" w:type="dxa"/>
            <w:vAlign w:val="bottom"/>
          </w:tcPr>
          <w:p>
            <w:pPr>
              <w:spacing w:after="0"/>
              <w:rPr>
                <w:sz w:val="20"/>
                <w:szCs w:val="20"/>
                <w:color w:val="auto"/>
              </w:rPr>
            </w:pPr>
            <w:r>
              <w:rPr>
                <w:rFonts w:ascii="Courier New" w:cs="Courier New" w:eastAsia="Courier New" w:hAnsi="Courier New"/>
                <w:sz w:val="16"/>
                <w:szCs w:val="16"/>
                <w:color w:val="auto"/>
              </w:rPr>
              <w:t>Deferred rent</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760,508</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705,746</w:t>
            </w:r>
          </w:p>
        </w:tc>
      </w:tr>
      <w:tr>
        <w:trPr>
          <w:trHeight w:val="188"/>
        </w:trPr>
        <w:tc>
          <w:tcPr>
            <w:tcW w:w="77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7720" w:type="dxa"/>
            <w:vAlign w:val="bottom"/>
          </w:tcPr>
          <w:p>
            <w:pPr>
              <w:ind w:left="200"/>
              <w:spacing w:after="0"/>
              <w:rPr>
                <w:sz w:val="20"/>
                <w:szCs w:val="20"/>
                <w:color w:val="auto"/>
              </w:rPr>
            </w:pPr>
            <w:r>
              <w:rPr>
                <w:rFonts w:ascii="Courier New" w:cs="Courier New" w:eastAsia="Courier New" w:hAnsi="Courier New"/>
                <w:sz w:val="16"/>
                <w:szCs w:val="16"/>
                <w:color w:val="auto"/>
              </w:rPr>
              <w:t>Convertible preferred stock, $.01 par value; 1,000,000 shares authorized,</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2,626 designated as 6% Cumulative Convertible Preferred Stock 1,500 shares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issued and outstanding at March 31, 2000, none at December 31, 2000</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1,500,000</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1,500,000</w:t>
            </w:r>
          </w:p>
        </w:tc>
      </w:tr>
      <w:tr>
        <w:trPr>
          <w:trHeight w:val="188"/>
        </w:trPr>
        <w:tc>
          <w:tcPr>
            <w:tcW w:w="7720" w:type="dxa"/>
            <w:vAlign w:val="bottom"/>
          </w:tcPr>
          <w:p>
            <w:pPr>
              <w:ind w:left="200"/>
              <w:spacing w:after="0"/>
              <w:rPr>
                <w:sz w:val="20"/>
                <w:szCs w:val="20"/>
                <w:color w:val="auto"/>
              </w:rPr>
            </w:pPr>
            <w:r>
              <w:rPr>
                <w:rFonts w:ascii="Courier New" w:cs="Courier New" w:eastAsia="Courier New" w:hAnsi="Courier New"/>
                <w:sz w:val="16"/>
                <w:szCs w:val="16"/>
                <w:color w:val="auto"/>
              </w:rPr>
              <w:t>Common stock, $.01 par value; 45,000,000 shares authorized;</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21,458,211 and 20,956,887 shares issued and outstanding at</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March 31, 2001 and December 31, 2000, respectively</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214,612</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209,569</w:t>
            </w:r>
          </w:p>
        </w:tc>
      </w:tr>
      <w:tr>
        <w:trPr>
          <w:trHeight w:val="188"/>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Additional paid in capital</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137,608,696</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138,150,067</w:t>
            </w:r>
          </w:p>
        </w:tc>
      </w:tr>
      <w:tr>
        <w:trPr>
          <w:trHeight w:val="188"/>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Accumulated deficit</w:t>
            </w:r>
          </w:p>
        </w:tc>
        <w:tc>
          <w:tcPr>
            <w:tcW w:w="30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(130,229,646)</w:t>
            </w:r>
          </w:p>
        </w:tc>
        <w:tc>
          <w:tcPr>
            <w:tcW w:w="300" w:type="dxa"/>
            <w:vAlign w:val="bottom"/>
          </w:tcPr>
          <w:p>
            <w:pPr>
              <w:spacing w:after="0"/>
              <w:rPr>
                <w:sz w:val="16"/>
                <w:szCs w:val="16"/>
                <w:color w:val="auto"/>
              </w:rPr>
            </w:pP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9"/>
              </w:rPr>
              <w:t>(130,498,187)</w:t>
            </w:r>
          </w:p>
        </w:tc>
      </w:tr>
      <w:tr>
        <w:trPr>
          <w:trHeight w:val="188"/>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Accumulated other comprehensive income</w:t>
            </w:r>
          </w:p>
        </w:tc>
        <w:tc>
          <w:tcPr>
            <w:tcW w:w="30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8,412,650</w:t>
            </w:r>
          </w:p>
        </w:tc>
        <w:tc>
          <w:tcPr>
            <w:tcW w:w="30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16,356,334</w:t>
            </w:r>
          </w:p>
        </w:tc>
      </w:tr>
      <w:tr>
        <w:trPr>
          <w:trHeight w:val="188"/>
        </w:trPr>
        <w:tc>
          <w:tcPr>
            <w:tcW w:w="7720" w:type="dxa"/>
            <w:vAlign w:val="bottom"/>
          </w:tcPr>
          <w:p>
            <w:pPr>
              <w:ind w:left="480"/>
              <w:spacing w:after="0"/>
              <w:rPr>
                <w:sz w:val="20"/>
                <w:szCs w:val="20"/>
                <w:color w:val="auto"/>
              </w:rPr>
            </w:pPr>
            <w:r>
              <w:rPr>
                <w:rFonts w:ascii="Courier New" w:cs="Courier New" w:eastAsia="Courier New" w:hAnsi="Courier New"/>
                <w:sz w:val="16"/>
                <w:szCs w:val="16"/>
                <w:color w:val="auto"/>
              </w:rPr>
              <w:t>Deferred compensation</w:t>
            </w:r>
          </w:p>
        </w:tc>
        <w:tc>
          <w:tcPr>
            <w:tcW w:w="30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(2,044,609)</w:t>
            </w:r>
          </w:p>
        </w:tc>
        <w:tc>
          <w:tcPr>
            <w:tcW w:w="300" w:type="dxa"/>
            <w:vAlign w:val="bottom"/>
          </w:tcPr>
          <w:p>
            <w:pPr>
              <w:spacing w:after="0"/>
              <w:rPr>
                <w:sz w:val="16"/>
                <w:szCs w:val="16"/>
                <w:color w:val="auto"/>
              </w:rPr>
            </w:pP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(2,735,761)</w:t>
            </w:r>
          </w:p>
        </w:tc>
      </w:tr>
      <w:tr>
        <w:trPr>
          <w:trHeight w:val="188"/>
        </w:trPr>
        <w:tc>
          <w:tcPr>
            <w:tcW w:w="7720" w:type="dxa"/>
            <w:vAlign w:val="bottom"/>
          </w:tcPr>
          <w:p>
            <w:pPr>
              <w:spacing w:after="0"/>
              <w:rPr>
                <w:sz w:val="16"/>
                <w:szCs w:val="16"/>
                <w:color w:val="auto"/>
              </w:rPr>
            </w:pPr>
          </w:p>
        </w:tc>
        <w:tc>
          <w:tcPr>
            <w:tcW w:w="16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7720" w:type="dxa"/>
            <w:vAlign w:val="bottom"/>
          </w:tcPr>
          <w:p>
            <w:pPr>
              <w:ind w:left="880"/>
              <w:spacing w:after="0"/>
              <w:rPr>
                <w:sz w:val="20"/>
                <w:szCs w:val="20"/>
                <w:color w:val="auto"/>
              </w:rPr>
            </w:pPr>
            <w:r>
              <w:rPr>
                <w:rFonts w:ascii="Courier New" w:cs="Courier New" w:eastAsia="Courier New" w:hAnsi="Courier New"/>
                <w:sz w:val="16"/>
                <w:szCs w:val="16"/>
                <w:color w:val="auto"/>
              </w:rPr>
              <w:t>Total stockholders' equity</w:t>
            </w:r>
          </w:p>
        </w:tc>
        <w:tc>
          <w:tcPr>
            <w:tcW w:w="300" w:type="dxa"/>
            <w:vAlign w:val="bottom"/>
          </w:tcPr>
          <w:p>
            <w:pPr>
              <w:spacing w:after="0"/>
              <w:rPr>
                <w:sz w:val="24"/>
                <w:szCs w:val="24"/>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15,461,703</w:t>
            </w:r>
          </w:p>
        </w:tc>
        <w:tc>
          <w:tcPr>
            <w:tcW w:w="300" w:type="dxa"/>
            <w:vAlign w:val="bottom"/>
          </w:tcPr>
          <w:p>
            <w:pPr>
              <w:spacing w:after="0"/>
              <w:rPr>
                <w:sz w:val="24"/>
                <w:szCs w:val="24"/>
                <w:color w:val="auto"/>
              </w:rPr>
            </w:pP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22,982,022</w:t>
            </w:r>
          </w:p>
        </w:tc>
      </w:tr>
      <w:tr>
        <w:trPr>
          <w:trHeight w:val="188"/>
        </w:trPr>
        <w:tc>
          <w:tcPr>
            <w:tcW w:w="7720" w:type="dxa"/>
            <w:vAlign w:val="bottom"/>
          </w:tcPr>
          <w:p>
            <w:pPr>
              <w:spacing w:after="0"/>
              <w:rPr>
                <w:sz w:val="16"/>
                <w:szCs w:val="16"/>
                <w:color w:val="auto"/>
              </w:rPr>
            </w:pPr>
          </w:p>
        </w:tc>
        <w:tc>
          <w:tcPr>
            <w:tcW w:w="16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7720" w:type="dxa"/>
            <w:vAlign w:val="bottom"/>
          </w:tcPr>
          <w:p>
            <w:pPr>
              <w:ind w:left="88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21,506,661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29,794,979</w:t>
            </w:r>
          </w:p>
        </w:tc>
      </w:tr>
      <w:tr>
        <w:trPr>
          <w:trHeight w:val="188"/>
        </w:trPr>
        <w:tc>
          <w:tcPr>
            <w:tcW w:w="7720" w:type="dxa"/>
            <w:vAlign w:val="bottom"/>
          </w:tcPr>
          <w:p>
            <w:pPr>
              <w:spacing w:after="0"/>
              <w:rPr>
                <w:sz w:val="16"/>
                <w:szCs w:val="16"/>
                <w:color w:val="auto"/>
              </w:rPr>
            </w:pPr>
          </w:p>
        </w:tc>
        <w:tc>
          <w:tcPr>
            <w:tcW w:w="16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left="3820" w:right="4500" w:hanging="3811"/>
        <w:spacing w:after="0" w:line="500" w:lineRule="auto"/>
        <w:rPr>
          <w:sz w:val="20"/>
          <w:szCs w:val="20"/>
          <w:color w:val="auto"/>
        </w:rPr>
      </w:pPr>
      <w:r>
        <w:rPr>
          <w:rFonts w:ascii="Courier New" w:cs="Courier New" w:eastAsia="Courier New" w:hAnsi="Courier New"/>
          <w:sz w:val="16"/>
          <w:szCs w:val="16"/>
          <w:color w:val="auto"/>
        </w:rPr>
        <w:t>See accompanying notes to condensed consolidated financial statements 3</w:t>
      </w:r>
    </w:p>
    <w:p>
      <w:pPr>
        <w:sectPr>
          <w:pgSz w:w="11900" w:h="16838" w:orient="portrait"/>
          <w:cols w:equalWidth="0" w:num="1">
            <w:col w:w="11240"/>
          </w:cols>
          <w:pgMar w:left="240" w:top="868" w:right="4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8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4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80" w:type="dxa"/>
            <w:vAlign w:val="bottom"/>
            <w:gridSpan w:val="3"/>
          </w:tcPr>
          <w:p>
            <w:pPr>
              <w:jc w:val="right"/>
              <w:ind w:right="899"/>
              <w:spacing w:after="0"/>
              <w:rPr>
                <w:sz w:val="20"/>
                <w:szCs w:val="20"/>
                <w:color w:val="auto"/>
              </w:rPr>
            </w:pPr>
            <w:r>
              <w:rPr>
                <w:rFonts w:ascii="Courier New" w:cs="Courier New" w:eastAsia="Courier New" w:hAnsi="Courier New"/>
                <w:sz w:val="16"/>
                <w:szCs w:val="16"/>
                <w:color w:val="auto"/>
              </w:rPr>
              <w:t>MARCH 31,</w:t>
            </w:r>
          </w:p>
        </w:tc>
      </w:tr>
      <w:tr>
        <w:trPr>
          <w:trHeight w:val="188"/>
        </w:trPr>
        <w:tc>
          <w:tcPr>
            <w:tcW w:w="4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2001</w:t>
            </w:r>
          </w:p>
        </w:tc>
        <w:tc>
          <w:tcPr>
            <w:tcW w:w="300" w:type="dxa"/>
            <w:vAlign w:val="bottom"/>
          </w:tcPr>
          <w:p>
            <w:pPr>
              <w:spacing w:after="0"/>
              <w:rPr>
                <w:sz w:val="16"/>
                <w:szCs w:val="16"/>
                <w:color w:val="auto"/>
              </w:rPr>
            </w:pPr>
          </w:p>
        </w:tc>
        <w:tc>
          <w:tcPr>
            <w:tcW w:w="11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4740" w:type="dxa"/>
            <w:vAlign w:val="bottom"/>
          </w:tcPr>
          <w:p>
            <w:pPr>
              <w:spacing w:after="0"/>
              <w:rPr>
                <w:sz w:val="16"/>
                <w:szCs w:val="16"/>
                <w:color w:val="auto"/>
              </w:rPr>
            </w:pPr>
          </w:p>
        </w:tc>
        <w:tc>
          <w:tcPr>
            <w:tcW w:w="2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740" w:type="dxa"/>
            <w:vAlign w:val="bottom"/>
          </w:tcPr>
          <w:p>
            <w:pPr>
              <w:spacing w:after="0"/>
              <w:rPr>
                <w:sz w:val="20"/>
                <w:szCs w:val="20"/>
                <w:color w:val="auto"/>
              </w:rPr>
            </w:pPr>
            <w:r>
              <w:rPr>
                <w:rFonts w:ascii="Courier New" w:cs="Courier New" w:eastAsia="Courier New" w:hAnsi="Courier New"/>
                <w:sz w:val="16"/>
                <w:szCs w:val="16"/>
                <w:color w:val="auto"/>
              </w:rPr>
              <w:t>Revenue from grants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100,000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6"/>
        </w:trPr>
        <w:tc>
          <w:tcPr>
            <w:tcW w:w="47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8"/>
        </w:trPr>
        <w:tc>
          <w:tcPr>
            <w:tcW w:w="4740" w:type="dxa"/>
            <w:vAlign w:val="bottom"/>
          </w:tcPr>
          <w:p>
            <w:pPr>
              <w:ind w:left="480"/>
              <w:spacing w:after="0"/>
              <w:rPr>
                <w:sz w:val="20"/>
                <w:szCs w:val="20"/>
                <w:color w:val="auto"/>
              </w:rPr>
            </w:pPr>
            <w:r>
              <w:rPr>
                <w:rFonts w:ascii="Courier New" w:cs="Courier New" w:eastAsia="Courier New" w:hAnsi="Courier New"/>
                <w:sz w:val="16"/>
                <w:szCs w:val="16"/>
                <w:color w:val="auto"/>
              </w:rPr>
              <w:t>Research and development</w:t>
            </w:r>
          </w:p>
        </w:tc>
        <w:tc>
          <w:tcPr>
            <w:tcW w:w="10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1,644,257</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906,632</w:t>
            </w:r>
          </w:p>
        </w:tc>
      </w:tr>
      <w:tr>
        <w:trPr>
          <w:trHeight w:val="188"/>
        </w:trPr>
        <w:tc>
          <w:tcPr>
            <w:tcW w:w="4740" w:type="dxa"/>
            <w:vAlign w:val="bottom"/>
          </w:tcPr>
          <w:p>
            <w:pPr>
              <w:ind w:left="480"/>
              <w:spacing w:after="0"/>
              <w:rPr>
                <w:sz w:val="20"/>
                <w:szCs w:val="20"/>
                <w:color w:val="auto"/>
              </w:rPr>
            </w:pPr>
            <w:r>
              <w:rPr>
                <w:rFonts w:ascii="Courier New" w:cs="Courier New" w:eastAsia="Courier New" w:hAnsi="Courier New"/>
                <w:sz w:val="16"/>
                <w:szCs w:val="16"/>
                <w:color w:val="auto"/>
              </w:rPr>
              <w:t>General and administrative</w:t>
            </w:r>
          </w:p>
        </w:tc>
        <w:tc>
          <w:tcPr>
            <w:tcW w:w="10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996,862</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657,714</w:t>
            </w:r>
          </w:p>
        </w:tc>
      </w:tr>
      <w:tr>
        <w:trPr>
          <w:trHeight w:val="188"/>
        </w:trPr>
        <w:tc>
          <w:tcPr>
            <w:tcW w:w="4740" w:type="dxa"/>
            <w:vAlign w:val="bottom"/>
          </w:tcPr>
          <w:p>
            <w:pPr>
              <w:ind w:left="480"/>
              <w:spacing w:after="0"/>
              <w:rPr>
                <w:sz w:val="20"/>
                <w:szCs w:val="20"/>
                <w:color w:val="auto"/>
              </w:rPr>
            </w:pPr>
            <w:r>
              <w:rPr>
                <w:rFonts w:ascii="Courier New" w:cs="Courier New" w:eastAsia="Courier New" w:hAnsi="Courier New"/>
                <w:sz w:val="16"/>
                <w:szCs w:val="16"/>
                <w:color w:val="auto"/>
              </w:rPr>
              <w:t>Wind-down expenses</w:t>
            </w:r>
          </w:p>
        </w:tc>
        <w:tc>
          <w:tcPr>
            <w:tcW w:w="108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234,386</w:t>
            </w:r>
          </w:p>
        </w:tc>
      </w:tr>
      <w:tr>
        <w:trPr>
          <w:trHeight w:val="188"/>
        </w:trPr>
        <w:tc>
          <w:tcPr>
            <w:tcW w:w="4740" w:type="dxa"/>
            <w:vAlign w:val="bottom"/>
          </w:tcPr>
          <w:p>
            <w:pPr>
              <w:spacing w:after="0"/>
              <w:rPr>
                <w:sz w:val="16"/>
                <w:szCs w:val="16"/>
                <w:color w:val="auto"/>
              </w:rPr>
            </w:pPr>
          </w:p>
        </w:tc>
        <w:tc>
          <w:tcPr>
            <w:tcW w:w="23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2,641,119</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1,798,732</w:t>
            </w:r>
          </w:p>
        </w:tc>
      </w:tr>
      <w:tr>
        <w:trPr>
          <w:trHeight w:val="188"/>
        </w:trPr>
        <w:tc>
          <w:tcPr>
            <w:tcW w:w="4740" w:type="dxa"/>
            <w:vAlign w:val="bottom"/>
          </w:tcPr>
          <w:p>
            <w:pPr>
              <w:spacing w:after="0"/>
              <w:rPr>
                <w:sz w:val="16"/>
                <w:szCs w:val="16"/>
                <w:color w:val="auto"/>
              </w:rPr>
            </w:pPr>
          </w:p>
        </w:tc>
        <w:tc>
          <w:tcPr>
            <w:tcW w:w="23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740" w:type="dxa"/>
            <w:vAlign w:val="bottom"/>
          </w:tcPr>
          <w:p>
            <w:pPr>
              <w:spacing w:after="0"/>
              <w:rPr>
                <w:sz w:val="20"/>
                <w:szCs w:val="20"/>
                <w:color w:val="auto"/>
              </w:rPr>
            </w:pPr>
            <w:r>
              <w:rPr>
                <w:rFonts w:ascii="Courier New" w:cs="Courier New" w:eastAsia="Courier New" w:hAnsi="Courier New"/>
                <w:sz w:val="16"/>
                <w:szCs w:val="16"/>
                <w:color w:val="auto"/>
              </w:rPr>
              <w:t>Loss from operations</w:t>
            </w:r>
          </w:p>
        </w:tc>
        <w:tc>
          <w:tcPr>
            <w:tcW w:w="1080" w:type="dxa"/>
            <w:vAlign w:val="bottom"/>
          </w:tcPr>
          <w:p>
            <w:pPr>
              <w:spacing w:after="0"/>
              <w:rPr>
                <w:sz w:val="24"/>
                <w:szCs w:val="24"/>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(2,541,119)</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(1,798,732)</w:t>
            </w:r>
          </w:p>
        </w:tc>
      </w:tr>
      <w:tr>
        <w:trPr>
          <w:trHeight w:val="376"/>
        </w:trPr>
        <w:tc>
          <w:tcPr>
            <w:tcW w:w="47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8"/>
        </w:trPr>
        <w:tc>
          <w:tcPr>
            <w:tcW w:w="4740" w:type="dxa"/>
            <w:vAlign w:val="bottom"/>
          </w:tcPr>
          <w:p>
            <w:pPr>
              <w:ind w:left="480"/>
              <w:spacing w:after="0"/>
              <w:rPr>
                <w:sz w:val="20"/>
                <w:szCs w:val="20"/>
                <w:color w:val="auto"/>
              </w:rPr>
            </w:pPr>
            <w:r>
              <w:rPr>
                <w:rFonts w:ascii="Courier New" w:cs="Courier New" w:eastAsia="Courier New" w:hAnsi="Courier New"/>
                <w:sz w:val="16"/>
                <w:szCs w:val="16"/>
                <w:color w:val="auto"/>
              </w:rPr>
              <w:t>Investment income</w:t>
            </w:r>
          </w:p>
        </w:tc>
        <w:tc>
          <w:tcPr>
            <w:tcW w:w="10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79,041</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73,332</w:t>
            </w:r>
          </w:p>
        </w:tc>
      </w:tr>
      <w:tr>
        <w:trPr>
          <w:trHeight w:val="188"/>
        </w:trPr>
        <w:tc>
          <w:tcPr>
            <w:tcW w:w="4740" w:type="dxa"/>
            <w:vAlign w:val="bottom"/>
          </w:tcPr>
          <w:p>
            <w:pPr>
              <w:ind w:left="480"/>
              <w:spacing w:after="0"/>
              <w:rPr>
                <w:sz w:val="20"/>
                <w:szCs w:val="20"/>
                <w:color w:val="auto"/>
              </w:rPr>
            </w:pPr>
            <w:r>
              <w:rPr>
                <w:rFonts w:ascii="Courier New" w:cs="Courier New" w:eastAsia="Courier New" w:hAnsi="Courier New"/>
                <w:sz w:val="16"/>
                <w:szCs w:val="16"/>
                <w:color w:val="auto"/>
              </w:rPr>
              <w:t>Interest expense</w:t>
            </w:r>
          </w:p>
        </w:tc>
        <w:tc>
          <w:tcPr>
            <w:tcW w:w="108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(68,858)</w:t>
            </w:r>
          </w:p>
        </w:tc>
      </w:tr>
      <w:tr>
        <w:trPr>
          <w:trHeight w:val="188"/>
        </w:trPr>
        <w:tc>
          <w:tcPr>
            <w:tcW w:w="4740" w:type="dxa"/>
            <w:vAlign w:val="bottom"/>
          </w:tcPr>
          <w:p>
            <w:pPr>
              <w:ind w:left="480"/>
              <w:spacing w:after="0"/>
              <w:rPr>
                <w:sz w:val="20"/>
                <w:szCs w:val="20"/>
                <w:color w:val="auto"/>
              </w:rPr>
            </w:pPr>
            <w:r>
              <w:rPr>
                <w:rFonts w:ascii="Courier New" w:cs="Courier New" w:eastAsia="Courier New" w:hAnsi="Courier New"/>
                <w:sz w:val="16"/>
                <w:szCs w:val="16"/>
                <w:color w:val="auto"/>
              </w:rPr>
              <w:t>Gain on sale of investments</w:t>
            </w:r>
          </w:p>
        </w:tc>
        <w:tc>
          <w:tcPr>
            <w:tcW w:w="10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2,550,230</w:t>
            </w:r>
          </w:p>
        </w:tc>
        <w:tc>
          <w:tcPr>
            <w:tcW w:w="300" w:type="dxa"/>
            <w:vAlign w:val="bottom"/>
          </w:tcPr>
          <w:p>
            <w:pPr>
              <w:spacing w:after="0"/>
              <w:rPr>
                <w:sz w:val="16"/>
                <w:szCs w:val="16"/>
                <w:color w:val="auto"/>
              </w:rPr>
            </w:pPr>
          </w:p>
        </w:tc>
        <w:tc>
          <w:tcPr>
            <w:tcW w:w="11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8"/>
        </w:trPr>
        <w:tc>
          <w:tcPr>
            <w:tcW w:w="4740" w:type="dxa"/>
            <w:vAlign w:val="bottom"/>
          </w:tcPr>
          <w:p>
            <w:pPr>
              <w:ind w:left="480"/>
              <w:spacing w:after="0"/>
              <w:rPr>
                <w:sz w:val="20"/>
                <w:szCs w:val="20"/>
                <w:color w:val="auto"/>
              </w:rPr>
            </w:pPr>
            <w:r>
              <w:rPr>
                <w:rFonts w:ascii="Courier New" w:cs="Courier New" w:eastAsia="Courier New" w:hAnsi="Courier New"/>
                <w:sz w:val="16"/>
                <w:szCs w:val="16"/>
                <w:color w:val="auto"/>
              </w:rPr>
              <w:t>Other income</w:t>
            </w:r>
          </w:p>
        </w:tc>
        <w:tc>
          <w:tcPr>
            <w:tcW w:w="10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180,389</w:t>
            </w:r>
          </w:p>
        </w:tc>
        <w:tc>
          <w:tcPr>
            <w:tcW w:w="300" w:type="dxa"/>
            <w:vAlign w:val="bottom"/>
          </w:tcPr>
          <w:p>
            <w:pPr>
              <w:spacing w:after="0"/>
              <w:rPr>
                <w:sz w:val="16"/>
                <w:szCs w:val="16"/>
                <w:color w:val="auto"/>
              </w:rPr>
            </w:pPr>
          </w:p>
        </w:tc>
        <w:tc>
          <w:tcPr>
            <w:tcW w:w="11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8"/>
        </w:trPr>
        <w:tc>
          <w:tcPr>
            <w:tcW w:w="4740" w:type="dxa"/>
            <w:vAlign w:val="bottom"/>
          </w:tcPr>
          <w:p>
            <w:pPr>
              <w:spacing w:after="0"/>
              <w:rPr>
                <w:sz w:val="16"/>
                <w:szCs w:val="16"/>
                <w:color w:val="auto"/>
              </w:rPr>
            </w:pPr>
          </w:p>
        </w:tc>
        <w:tc>
          <w:tcPr>
            <w:tcW w:w="23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740" w:type="dxa"/>
            <w:vAlign w:val="bottom"/>
          </w:tcPr>
          <w:p>
            <w:pPr>
              <w:spacing w:after="0"/>
              <w:rPr>
                <w:sz w:val="20"/>
                <w:szCs w:val="20"/>
                <w:color w:val="auto"/>
              </w:rPr>
            </w:pPr>
            <w:r>
              <w:rPr>
                <w:rFonts w:ascii="Courier New" w:cs="Courier New" w:eastAsia="Courier New" w:hAnsi="Courier New"/>
                <w:sz w:val="16"/>
                <w:szCs w:val="16"/>
                <w:color w:val="auto"/>
              </w:rPr>
              <w:t>Total other income, net</w:t>
            </w:r>
          </w:p>
        </w:tc>
        <w:tc>
          <w:tcPr>
            <w:tcW w:w="10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2,809,660</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4,474</w:t>
            </w:r>
          </w:p>
        </w:tc>
      </w:tr>
      <w:tr>
        <w:trPr>
          <w:trHeight w:val="188"/>
        </w:trPr>
        <w:tc>
          <w:tcPr>
            <w:tcW w:w="4740" w:type="dxa"/>
            <w:vAlign w:val="bottom"/>
          </w:tcPr>
          <w:p>
            <w:pPr>
              <w:spacing w:after="0"/>
              <w:rPr>
                <w:sz w:val="16"/>
                <w:szCs w:val="16"/>
                <w:color w:val="auto"/>
              </w:rPr>
            </w:pPr>
          </w:p>
        </w:tc>
        <w:tc>
          <w:tcPr>
            <w:tcW w:w="23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7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268,541</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(1,794,258)</w:t>
            </w:r>
          </w:p>
        </w:tc>
      </w:tr>
      <w:tr>
        <w:trPr>
          <w:trHeight w:val="376"/>
        </w:trPr>
        <w:tc>
          <w:tcPr>
            <w:tcW w:w="4740" w:type="dxa"/>
            <w:vAlign w:val="bottom"/>
          </w:tcPr>
          <w:p>
            <w:pPr>
              <w:spacing w:after="0"/>
              <w:rPr>
                <w:sz w:val="24"/>
                <w:szCs w:val="24"/>
                <w:color w:val="auto"/>
              </w:rPr>
            </w:pPr>
          </w:p>
        </w:tc>
        <w:tc>
          <w:tcPr>
            <w:tcW w:w="23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74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4740" w:type="dxa"/>
            <w:vAlign w:val="bottom"/>
          </w:tcPr>
          <w:p>
            <w:pPr>
              <w:ind w:left="400"/>
              <w:spacing w:after="0"/>
              <w:rPr>
                <w:sz w:val="20"/>
                <w:szCs w:val="20"/>
                <w:color w:val="auto"/>
              </w:rPr>
            </w:pPr>
            <w:r>
              <w:rPr>
                <w:rFonts w:ascii="Courier New" w:cs="Courier New" w:eastAsia="Courier New" w:hAnsi="Courier New"/>
                <w:sz w:val="16"/>
                <w:szCs w:val="16"/>
                <w:color w:val="auto"/>
              </w:rPr>
              <w:t>Net income (loss) per share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0.01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(0.09)</w:t>
            </w:r>
          </w:p>
        </w:tc>
      </w:tr>
      <w:tr>
        <w:trPr>
          <w:trHeight w:val="188"/>
        </w:trPr>
        <w:tc>
          <w:tcPr>
            <w:tcW w:w="4740" w:type="dxa"/>
            <w:vAlign w:val="bottom"/>
          </w:tcPr>
          <w:p>
            <w:pPr>
              <w:ind w:left="400"/>
              <w:spacing w:after="0"/>
              <w:rPr>
                <w:sz w:val="20"/>
                <w:szCs w:val="20"/>
                <w:color w:val="auto"/>
              </w:rPr>
            </w:pPr>
            <w:r>
              <w:rPr>
                <w:rFonts w:ascii="Courier New" w:cs="Courier New" w:eastAsia="Courier New" w:hAnsi="Courier New"/>
                <w:sz w:val="16"/>
                <w:szCs w:val="16"/>
                <w:color w:val="auto"/>
              </w:rPr>
              <w:t>Shares - basic net income (loss) per</w:t>
            </w: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4740" w:type="dxa"/>
            <w:vAlign w:val="bottom"/>
          </w:tcPr>
          <w:p>
            <w:pPr>
              <w:ind w:left="400"/>
              <w:spacing w:after="0"/>
              <w:rPr>
                <w:sz w:val="20"/>
                <w:szCs w:val="20"/>
                <w:color w:val="auto"/>
              </w:rPr>
            </w:pPr>
            <w:r>
              <w:rPr>
                <w:rFonts w:ascii="Courier New" w:cs="Courier New" w:eastAsia="Courier New" w:hAnsi="Courier New"/>
                <w:sz w:val="16"/>
                <w:szCs w:val="16"/>
                <w:color w:val="auto"/>
              </w:rPr>
              <w:t>share</w:t>
            </w:r>
          </w:p>
        </w:tc>
        <w:tc>
          <w:tcPr>
            <w:tcW w:w="10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20,989,127</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19,329,517</w:t>
            </w:r>
          </w:p>
        </w:tc>
      </w:tr>
      <w:tr>
        <w:trPr>
          <w:trHeight w:val="188"/>
        </w:trPr>
        <w:tc>
          <w:tcPr>
            <w:tcW w:w="474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4740" w:type="dxa"/>
            <w:vAlign w:val="bottom"/>
          </w:tcPr>
          <w:p>
            <w:pPr>
              <w:ind w:left="400"/>
              <w:spacing w:after="0"/>
              <w:rPr>
                <w:sz w:val="20"/>
                <w:szCs w:val="20"/>
                <w:color w:val="auto"/>
              </w:rPr>
            </w:pPr>
            <w:r>
              <w:rPr>
                <w:rFonts w:ascii="Courier New" w:cs="Courier New" w:eastAsia="Courier New" w:hAnsi="Courier New"/>
                <w:sz w:val="16"/>
                <w:szCs w:val="16"/>
                <w:color w:val="auto"/>
              </w:rPr>
              <w:t>Net income (loss) per share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0.01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(0.09)</w:t>
            </w:r>
          </w:p>
        </w:tc>
      </w:tr>
      <w:tr>
        <w:trPr>
          <w:trHeight w:val="188"/>
        </w:trPr>
        <w:tc>
          <w:tcPr>
            <w:tcW w:w="4740" w:type="dxa"/>
            <w:vAlign w:val="bottom"/>
          </w:tcPr>
          <w:p>
            <w:pPr>
              <w:ind w:left="400"/>
              <w:spacing w:after="0"/>
              <w:rPr>
                <w:sz w:val="20"/>
                <w:szCs w:val="20"/>
                <w:color w:val="auto"/>
              </w:rPr>
            </w:pPr>
            <w:r>
              <w:rPr>
                <w:rFonts w:ascii="Courier New" w:cs="Courier New" w:eastAsia="Courier New" w:hAnsi="Courier New"/>
                <w:sz w:val="16"/>
                <w:szCs w:val="16"/>
                <w:color w:val="auto"/>
              </w:rPr>
              <w:t>Shares - diluted income per share</w:t>
            </w:r>
          </w:p>
        </w:tc>
        <w:tc>
          <w:tcPr>
            <w:tcW w:w="10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22,405,358</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19,329,517</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6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STATEMENTS OF CASH FLOWS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3"/>
          </w:tcPr>
          <w:p>
            <w:pPr>
              <w:jc w:val="right"/>
              <w:ind w:right="779"/>
              <w:spacing w:after="0"/>
              <w:rPr>
                <w:sz w:val="20"/>
                <w:szCs w:val="20"/>
                <w:color w:val="auto"/>
              </w:rPr>
            </w:pPr>
            <w:r>
              <w:rPr>
                <w:rFonts w:ascii="Courier New" w:cs="Courier New" w:eastAsia="Courier New" w:hAnsi="Courier New"/>
                <w:sz w:val="16"/>
                <w:szCs w:val="16"/>
                <w:color w:val="auto"/>
              </w:rPr>
              <w:t>MARCH 31,</w:t>
            </w:r>
          </w:p>
        </w:tc>
      </w:tr>
      <w:tr>
        <w:trPr>
          <w:trHeight w:val="188"/>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2001</w:t>
            </w:r>
          </w:p>
        </w:tc>
        <w:tc>
          <w:tcPr>
            <w:tcW w:w="24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630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8"/>
        </w:trPr>
        <w:tc>
          <w:tcPr>
            <w:tcW w:w="6300" w:type="dxa"/>
            <w:vAlign w:val="bottom"/>
          </w:tcPr>
          <w:p>
            <w:pPr>
              <w:ind w:left="400"/>
              <w:spacing w:after="0"/>
              <w:rPr>
                <w:sz w:val="20"/>
                <w:szCs w:val="20"/>
                <w:color w:val="auto"/>
              </w:rPr>
            </w:pPr>
            <w:r>
              <w:rPr>
                <w:rFonts w:ascii="Courier New" w:cs="Courier New" w:eastAsia="Courier New" w:hAnsi="Courier New"/>
                <w:sz w:val="16"/>
                <w:szCs w:val="16"/>
                <w:color w:val="auto"/>
              </w:rPr>
              <w:t>Net income (loss)</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268,541</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($1,794,258)</w:t>
            </w:r>
          </w:p>
        </w:tc>
      </w:tr>
      <w:tr>
        <w:trPr>
          <w:trHeight w:val="188"/>
        </w:trPr>
        <w:tc>
          <w:tcPr>
            <w:tcW w:w="6300" w:type="dxa"/>
            <w:vAlign w:val="bottom"/>
          </w:tcPr>
          <w:p>
            <w:pPr>
              <w:ind w:left="400"/>
              <w:spacing w:after="0"/>
              <w:rPr>
                <w:sz w:val="20"/>
                <w:szCs w:val="20"/>
                <w:color w:val="auto"/>
              </w:rPr>
            </w:pPr>
            <w:r>
              <w:rPr>
                <w:rFonts w:ascii="Courier New" w:cs="Courier New" w:eastAsia="Courier New" w:hAnsi="Courier New"/>
                <w:sz w:val="16"/>
                <w:szCs w:val="16"/>
                <w:color w:val="auto"/>
              </w:rPr>
              <w:t>Adjustments to reconcile net income (loss) to net cash used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6300" w:type="dxa"/>
            <w:vAlign w:val="bottom"/>
          </w:tcPr>
          <w:p>
            <w:pPr>
              <w:ind w:left="880"/>
              <w:spacing w:after="0"/>
              <w:rPr>
                <w:sz w:val="20"/>
                <w:szCs w:val="20"/>
                <w:color w:val="auto"/>
              </w:rPr>
            </w:pPr>
            <w:r>
              <w:rPr>
                <w:rFonts w:ascii="Courier New" w:cs="Courier New" w:eastAsia="Courier New" w:hAnsi="Courier New"/>
                <w:sz w:val="16"/>
                <w:szCs w:val="16"/>
                <w:color w:val="auto"/>
              </w:rPr>
              <w:t>for operating activities: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6300" w:type="dxa"/>
            <w:vAlign w:val="bottom"/>
          </w:tcPr>
          <w:p>
            <w:pPr>
              <w:ind w:left="780"/>
              <w:spacing w:after="0"/>
              <w:rPr>
                <w:sz w:val="20"/>
                <w:szCs w:val="20"/>
                <w:color w:val="auto"/>
              </w:rPr>
            </w:pPr>
            <w:r>
              <w:rPr>
                <w:rFonts w:ascii="Courier New" w:cs="Courier New" w:eastAsia="Courier New" w:hAnsi="Courier New"/>
                <w:sz w:val="16"/>
                <w:szCs w:val="16"/>
                <w:color w:val="auto"/>
              </w:rPr>
              <w:t>Depreciation and amortization</w:t>
            </w:r>
          </w:p>
        </w:tc>
        <w:tc>
          <w:tcPr>
            <w:tcW w:w="24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142,554</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204,449</w:t>
            </w:r>
          </w:p>
        </w:tc>
      </w:tr>
      <w:tr>
        <w:trPr>
          <w:trHeight w:val="188"/>
        </w:trPr>
        <w:tc>
          <w:tcPr>
            <w:tcW w:w="6300" w:type="dxa"/>
            <w:vAlign w:val="bottom"/>
          </w:tcPr>
          <w:p>
            <w:pPr>
              <w:ind w:left="780"/>
              <w:spacing w:after="0"/>
              <w:rPr>
                <w:sz w:val="20"/>
                <w:szCs w:val="20"/>
                <w:color w:val="auto"/>
              </w:rPr>
            </w:pPr>
            <w:r>
              <w:rPr>
                <w:rFonts w:ascii="Courier New" w:cs="Courier New" w:eastAsia="Courier New" w:hAnsi="Courier New"/>
                <w:sz w:val="16"/>
                <w:szCs w:val="16"/>
                <w:color w:val="auto"/>
              </w:rPr>
              <w:t>Gain on sale of investments</w:t>
            </w:r>
          </w:p>
        </w:tc>
        <w:tc>
          <w:tcPr>
            <w:tcW w:w="24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(2,550,230)</w:t>
            </w:r>
          </w:p>
        </w:tc>
        <w:tc>
          <w:tcPr>
            <w:tcW w:w="24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8"/>
        </w:trPr>
        <w:tc>
          <w:tcPr>
            <w:tcW w:w="6300" w:type="dxa"/>
            <w:vAlign w:val="bottom"/>
          </w:tcPr>
          <w:p>
            <w:pPr>
              <w:ind w:left="780"/>
              <w:spacing w:after="0"/>
              <w:rPr>
                <w:sz w:val="20"/>
                <w:szCs w:val="20"/>
                <w:color w:val="auto"/>
              </w:rPr>
            </w:pPr>
            <w:r>
              <w:rPr>
                <w:rFonts w:ascii="Courier New" w:cs="Courier New" w:eastAsia="Courier New" w:hAnsi="Courier New"/>
                <w:sz w:val="16"/>
                <w:szCs w:val="16"/>
                <w:color w:val="auto"/>
              </w:rPr>
              <w:t>Compensation expense relating to the grant of stock</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8"/>
        </w:trPr>
        <w:tc>
          <w:tcPr>
            <w:tcW w:w="6300" w:type="dxa"/>
            <w:vAlign w:val="bottom"/>
          </w:tcPr>
          <w:p>
            <w:pPr>
              <w:ind w:left="980"/>
              <w:spacing w:after="0"/>
              <w:rPr>
                <w:sz w:val="20"/>
                <w:szCs w:val="20"/>
                <w:color w:val="auto"/>
              </w:rPr>
            </w:pPr>
            <w:r>
              <w:rPr>
                <w:rFonts w:ascii="Courier New" w:cs="Courier New" w:eastAsia="Courier New" w:hAnsi="Courier New"/>
                <w:sz w:val="16"/>
                <w:szCs w:val="16"/>
                <w:color w:val="auto"/>
              </w:rPr>
              <w:t>options</w:t>
            </w:r>
          </w:p>
        </w:tc>
        <w:tc>
          <w:tcPr>
            <w:tcW w:w="24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128,220</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43,750</w:t>
            </w:r>
          </w:p>
        </w:tc>
      </w:tr>
      <w:tr>
        <w:trPr>
          <w:trHeight w:val="188"/>
        </w:trPr>
        <w:tc>
          <w:tcPr>
            <w:tcW w:w="6300" w:type="dxa"/>
            <w:vAlign w:val="bottom"/>
          </w:tcPr>
          <w:p>
            <w:pPr>
              <w:ind w:left="780"/>
              <w:spacing w:after="0"/>
              <w:rPr>
                <w:sz w:val="20"/>
                <w:szCs w:val="20"/>
                <w:color w:val="auto"/>
              </w:rPr>
            </w:pPr>
            <w:r>
              <w:rPr>
                <w:rFonts w:ascii="Courier New" w:cs="Courier New" w:eastAsia="Courier New" w:hAnsi="Courier New"/>
                <w:sz w:val="16"/>
                <w:szCs w:val="16"/>
                <w:color w:val="auto"/>
              </w:rPr>
              <w:t>Net changes in operating assets and liabilities</w:t>
            </w:r>
          </w:p>
        </w:tc>
        <w:tc>
          <w:tcPr>
            <w:tcW w:w="24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(1,812,084)</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(1,776,812)</w:t>
            </w:r>
          </w:p>
        </w:tc>
      </w:tr>
      <w:tr>
        <w:trPr>
          <w:trHeight w:val="188"/>
        </w:trPr>
        <w:tc>
          <w:tcPr>
            <w:tcW w:w="6300" w:type="dxa"/>
            <w:vAlign w:val="bottom"/>
          </w:tcPr>
          <w:p>
            <w:pPr>
              <w:spacing w:after="0"/>
              <w:rPr>
                <w:sz w:val="16"/>
                <w:szCs w:val="16"/>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Net cash used in operating activities</w:t>
            </w:r>
          </w:p>
        </w:tc>
        <w:tc>
          <w:tcPr>
            <w:tcW w:w="24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(3,822,999)</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(3,322,870)</w:t>
            </w:r>
          </w:p>
        </w:tc>
      </w:tr>
      <w:tr>
        <w:trPr>
          <w:trHeight w:val="188"/>
        </w:trPr>
        <w:tc>
          <w:tcPr>
            <w:tcW w:w="6300" w:type="dxa"/>
            <w:vAlign w:val="bottom"/>
          </w:tcPr>
          <w:p>
            <w:pPr>
              <w:spacing w:after="0"/>
              <w:rPr>
                <w:sz w:val="16"/>
                <w:szCs w:val="16"/>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64"/>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8"/>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Proceeds from sale of investments</w:t>
            </w:r>
          </w:p>
        </w:tc>
        <w:tc>
          <w:tcPr>
            <w:tcW w:w="24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2,550,230</w:t>
            </w:r>
          </w:p>
        </w:tc>
        <w:tc>
          <w:tcPr>
            <w:tcW w:w="24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8"/>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Purchase of property, plant and equipment</w:t>
            </w:r>
          </w:p>
        </w:tc>
        <w:tc>
          <w:tcPr>
            <w:tcW w:w="24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(114,734)</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(7,542)</w:t>
            </w:r>
          </w:p>
        </w:tc>
      </w:tr>
      <w:tr>
        <w:trPr>
          <w:trHeight w:val="188"/>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Acquisition of other assets</w:t>
            </w:r>
          </w:p>
        </w:tc>
        <w:tc>
          <w:tcPr>
            <w:tcW w:w="24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(126,391)</w:t>
            </w:r>
          </w:p>
        </w:tc>
        <w:tc>
          <w:tcPr>
            <w:tcW w:w="24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8"/>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Proceeds from sales of technology</w:t>
            </w:r>
          </w:p>
        </w:tc>
        <w:tc>
          <w:tcPr>
            <w:tcW w:w="240" w:type="dxa"/>
            <w:vAlign w:val="bottom"/>
          </w:tcPr>
          <w:p>
            <w:pPr>
              <w:spacing w:after="0"/>
              <w:rPr>
                <w:sz w:val="16"/>
                <w:szCs w:val="16"/>
                <w:color w:val="auto"/>
              </w:rPr>
            </w:pPr>
          </w:p>
        </w:tc>
        <w:tc>
          <w:tcPr>
            <w:tcW w:w="12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2,800,000</w:t>
            </w:r>
          </w:p>
        </w:tc>
      </w:tr>
      <w:tr>
        <w:trPr>
          <w:trHeight w:val="188"/>
        </w:trPr>
        <w:tc>
          <w:tcPr>
            <w:tcW w:w="6300" w:type="dxa"/>
            <w:vAlign w:val="bottom"/>
          </w:tcPr>
          <w:p>
            <w:pPr>
              <w:spacing w:after="0"/>
              <w:rPr>
                <w:sz w:val="16"/>
                <w:szCs w:val="16"/>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Net cash provided by investing activities</w:t>
            </w:r>
          </w:p>
        </w:tc>
        <w:tc>
          <w:tcPr>
            <w:tcW w:w="24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2,309,105</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2,792,458</w:t>
            </w:r>
          </w:p>
        </w:tc>
      </w:tr>
      <w:tr>
        <w:trPr>
          <w:trHeight w:val="188"/>
        </w:trPr>
        <w:tc>
          <w:tcPr>
            <w:tcW w:w="6300" w:type="dxa"/>
            <w:vAlign w:val="bottom"/>
          </w:tcPr>
          <w:p>
            <w:pPr>
              <w:spacing w:after="0"/>
              <w:rPr>
                <w:sz w:val="16"/>
                <w:szCs w:val="16"/>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8"/>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Proceeds from the exercise of stock options and warrants</w:t>
            </w:r>
          </w:p>
        </w:tc>
        <w:tc>
          <w:tcPr>
            <w:tcW w:w="24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26,605</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352,557</w:t>
            </w:r>
          </w:p>
        </w:tc>
      </w:tr>
      <w:tr>
        <w:trPr>
          <w:trHeight w:val="188"/>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Principal payments under capitalized lease obligations</w:t>
            </w:r>
          </w:p>
        </w:tc>
        <w:tc>
          <w:tcPr>
            <w:tcW w:w="24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(82,500)</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(80,000)</w:t>
            </w:r>
          </w:p>
        </w:tc>
      </w:tr>
      <w:tr>
        <w:trPr>
          <w:trHeight w:val="188"/>
        </w:trPr>
        <w:tc>
          <w:tcPr>
            <w:tcW w:w="6300" w:type="dxa"/>
            <w:vAlign w:val="bottom"/>
          </w:tcPr>
          <w:p>
            <w:pPr>
              <w:spacing w:after="0"/>
              <w:rPr>
                <w:sz w:val="16"/>
                <w:szCs w:val="16"/>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300" w:type="dxa"/>
            <w:vAlign w:val="bottom"/>
          </w:tcPr>
          <w:p>
            <w:pPr>
              <w:ind w:left="480"/>
              <w:spacing w:after="0"/>
              <w:rPr>
                <w:sz w:val="20"/>
                <w:szCs w:val="20"/>
                <w:color w:val="auto"/>
              </w:rPr>
            </w:pPr>
            <w:r>
              <w:rPr>
                <w:rFonts w:ascii="Courier New" w:cs="Courier New" w:eastAsia="Courier New" w:hAnsi="Courier New"/>
                <w:sz w:val="16"/>
                <w:szCs w:val="16"/>
                <w:color w:val="auto"/>
              </w:rPr>
              <w:t>Net cash provided by (used by) financing activities</w:t>
            </w:r>
          </w:p>
        </w:tc>
        <w:tc>
          <w:tcPr>
            <w:tcW w:w="24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(55,895)</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272,557</w:t>
            </w:r>
          </w:p>
        </w:tc>
      </w:tr>
      <w:tr>
        <w:trPr>
          <w:trHeight w:val="188"/>
        </w:trPr>
        <w:tc>
          <w:tcPr>
            <w:tcW w:w="6300" w:type="dxa"/>
            <w:vAlign w:val="bottom"/>
          </w:tcPr>
          <w:p>
            <w:pPr>
              <w:spacing w:after="0"/>
              <w:rPr>
                <w:sz w:val="16"/>
                <w:szCs w:val="16"/>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300" w:type="dxa"/>
            <w:vAlign w:val="bottom"/>
          </w:tcPr>
          <w:p>
            <w:pPr>
              <w:spacing w:after="0"/>
              <w:rPr>
                <w:sz w:val="20"/>
                <w:szCs w:val="20"/>
                <w:color w:val="auto"/>
              </w:rPr>
            </w:pPr>
            <w:r>
              <w:rPr>
                <w:rFonts w:ascii="Courier New" w:cs="Courier New" w:eastAsia="Courier New" w:hAnsi="Courier New"/>
                <w:sz w:val="16"/>
                <w:szCs w:val="16"/>
                <w:color w:val="auto"/>
              </w:rPr>
              <w:t>Net decrease in cash and cash equivalents</w:t>
            </w:r>
          </w:p>
        </w:tc>
        <w:tc>
          <w:tcPr>
            <w:tcW w:w="24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(1,569,789)</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(257,855)</w:t>
            </w:r>
          </w:p>
        </w:tc>
      </w:tr>
      <w:tr>
        <w:trPr>
          <w:trHeight w:val="188"/>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24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6,068,947</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4,760,064</w:t>
            </w:r>
          </w:p>
        </w:tc>
      </w:tr>
      <w:tr>
        <w:trPr>
          <w:trHeight w:val="188"/>
        </w:trPr>
        <w:tc>
          <w:tcPr>
            <w:tcW w:w="6300" w:type="dxa"/>
            <w:vAlign w:val="bottom"/>
          </w:tcPr>
          <w:p>
            <w:pPr>
              <w:spacing w:after="0"/>
              <w:rPr>
                <w:sz w:val="16"/>
                <w:szCs w:val="16"/>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$ 4,499,158</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$ 4,502,209</w:t>
            </w:r>
          </w:p>
        </w:tc>
      </w:tr>
      <w:tr>
        <w:trPr>
          <w:trHeight w:val="188"/>
        </w:trPr>
        <w:tc>
          <w:tcPr>
            <w:tcW w:w="6300" w:type="dxa"/>
            <w:vAlign w:val="bottom"/>
          </w:tcPr>
          <w:p>
            <w:pPr>
              <w:spacing w:after="0"/>
              <w:rPr>
                <w:sz w:val="16"/>
                <w:szCs w:val="16"/>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30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8"/>
        </w:trPr>
        <w:tc>
          <w:tcPr>
            <w:tcW w:w="6300" w:type="dxa"/>
            <w:vAlign w:val="bottom"/>
          </w:tcPr>
          <w:p>
            <w:pPr>
              <w:ind w:left="400"/>
              <w:spacing w:after="0"/>
              <w:rPr>
                <w:sz w:val="20"/>
                <w:szCs w:val="20"/>
                <w:color w:val="auto"/>
              </w:rPr>
            </w:pPr>
            <w:r>
              <w:rPr>
                <w:rFonts w:ascii="Courier New" w:cs="Courier New" w:eastAsia="Courier New" w:hAnsi="Courier New"/>
                <w:sz w:val="16"/>
                <w:szCs w:val="16"/>
                <w:color w:val="auto"/>
              </w:rPr>
              <w:t>Interest paid</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64,460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68,858</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68"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31, 2001 and 2000</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1.</w:t>
        <w:tab/>
        <w:t>BASIS OF PRESENTATION</w:t>
      </w:r>
    </w:p>
    <w:p>
      <w:pPr>
        <w:spacing w:after="0" w:line="195"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On May 23, 2000, the company's name was changed to Stem 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2001 are not necessarily indicative of the results that may be expected for the entire fiscal year ending December 31, 2001.</w:t>
      </w:r>
    </w:p>
    <w:p>
      <w:pPr>
        <w:spacing w:after="0" w:line="187"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The balance sheet at December 31, 2000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2000, included on form 10-K as amended.</w:t>
      </w:r>
    </w:p>
    <w:p>
      <w:pPr>
        <w:spacing w:after="0" w:line="1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2.</w:t>
        <w:tab/>
        <w:t>NET INCOME (LOSS) PER SHARE</w:t>
      </w:r>
    </w:p>
    <w:p>
      <w:pPr>
        <w:spacing w:after="0" w:line="195"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Basic net income (loss) per common share is computed using the weighted average number of common shares outstanding during the period. Diluted net income per share is computed using the weighted average of common and diluted equivalent stock options and warrants outstanding during the period. We excluded all stock options and warrants from the calculation of diluted loss per common share for the period ended March 31, 2000, because these securities are antidilutive during that period.</w:t>
      </w:r>
    </w:p>
    <w:p>
      <w:pPr>
        <w:spacing w:after="0" w:line="1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3.</w:t>
        <w:tab/>
        <w:t>COMPREHENSIVE LOSS</w:t>
      </w:r>
    </w:p>
    <w:p>
      <w:pPr>
        <w:spacing w:after="0" w:line="195" w:lineRule="exact"/>
        <w:rPr>
          <w:sz w:val="20"/>
          <w:szCs w:val="20"/>
          <w:color w:val="auto"/>
        </w:rPr>
      </w:pPr>
    </w:p>
    <w:p>
      <w:pPr>
        <w:ind w:right="2699" w:firstLine="684"/>
        <w:spacing w:after="0" w:line="249" w:lineRule="auto"/>
        <w:rPr>
          <w:sz w:val="20"/>
          <w:szCs w:val="20"/>
          <w:color w:val="auto"/>
        </w:rPr>
      </w:pPr>
      <w:r>
        <w:rPr>
          <w:rFonts w:ascii="Courier New" w:cs="Courier New" w:eastAsia="Courier New" w:hAnsi="Courier New"/>
          <w:sz w:val="16"/>
          <w:szCs w:val="16"/>
          <w:color w:val="auto"/>
        </w:rPr>
        <w:t>The only component of other comprehensive loss is unrealized gains and losses on available for sale securities. For the three months ended March 31, 2001 and 2000, total comprehensive loss was $7,675,143 and $1,794,258 respectively.</w:t>
      </w:r>
    </w:p>
    <w:p>
      <w:pPr>
        <w:spacing w:after="0" w:line="188" w:lineRule="exact"/>
        <w:rPr>
          <w:sz w:val="20"/>
          <w:szCs w:val="20"/>
          <w:color w:val="auto"/>
        </w:rPr>
      </w:pPr>
    </w:p>
    <w:p>
      <w:pPr>
        <w:ind w:left="880" w:right="2879" w:hanging="879"/>
        <w:spacing w:after="0" w:line="252" w:lineRule="auto"/>
        <w:tabs>
          <w:tab w:leader="none" w:pos="860" w:val="left"/>
        </w:tabs>
        <w:rPr>
          <w:sz w:val="20"/>
          <w:szCs w:val="20"/>
          <w:color w:val="auto"/>
        </w:rPr>
      </w:pPr>
      <w:r>
        <w:rPr>
          <w:rFonts w:ascii="Courier New" w:cs="Courier New" w:eastAsia="Courier New" w:hAnsi="Courier New"/>
          <w:sz w:val="16"/>
          <w:szCs w:val="16"/>
          <w:color w:val="auto"/>
        </w:rPr>
        <w:t>NOTE 4.</w:t>
        <w:tab/>
        <w:t>WIND-DOWN OF ENCAPSULATED CELL TECHNOLOGY RESEARCH AND DEVELOPMENT PROGRAM</w:t>
      </w:r>
    </w:p>
    <w:p>
      <w:pPr>
        <w:spacing w:after="0" w:line="183" w:lineRule="exact"/>
        <w:rPr>
          <w:sz w:val="20"/>
          <w:szCs w:val="20"/>
          <w:color w:val="auto"/>
        </w:rPr>
      </w:pPr>
    </w:p>
    <w:p>
      <w:pPr>
        <w:ind w:right="2399" w:firstLine="684"/>
        <w:spacing w:after="0" w:line="248" w:lineRule="auto"/>
        <w:rPr>
          <w:sz w:val="20"/>
          <w:szCs w:val="20"/>
          <w:color w:val="auto"/>
        </w:rPr>
      </w:pPr>
      <w:r>
        <w:rPr>
          <w:rFonts w:ascii="Courier New" w:cs="Courier New" w:eastAsia="Courier New" w:hAnsi="Courier New"/>
          <w:sz w:val="16"/>
          <w:szCs w:val="16"/>
          <w:color w:val="auto"/>
        </w:rPr>
        <w:t>As previously reported, in 1999 the Company restructured its operations to abandon all further encapsulated cell technology research and concentrate its resources on the research and development of its proprietary platform of stem cell technologies. The Company relocated its remaining research and development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Courier New" w:cs="Courier New" w:eastAsia="Courier New" w:hAnsi="Courier New"/>
                <w:sz w:val="16"/>
                <w:szCs w:val="16"/>
                <w:color w:val="auto"/>
              </w:rPr>
              <w:t>activities</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and its</w:t>
            </w:r>
          </w:p>
        </w:tc>
        <w:tc>
          <w:tcPr>
            <w:tcW w:w="25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corporate headquarters to</w:t>
            </w:r>
          </w:p>
        </w:tc>
        <w:tc>
          <w:tcPr>
            <w:tcW w:w="3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California, and has been seeking to</w:t>
            </w: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dispose of</w:t>
            </w:r>
          </w:p>
        </w:tc>
        <w:tc>
          <w:tcPr>
            <w:tcW w:w="1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its former</w:t>
            </w:r>
          </w:p>
        </w:tc>
        <w:tc>
          <w:tcPr>
            <w:tcW w:w="57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science and administrative and pilot manufacturing</w:t>
            </w: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facilities</w:t>
            </w:r>
          </w:p>
        </w:tc>
        <w:tc>
          <w:tcPr>
            <w:tcW w:w="50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in Rhode Island. In December 2000, the company had</w:t>
            </w:r>
          </w:p>
        </w:tc>
        <w:tc>
          <w:tcPr>
            <w:tcW w:w="1800" w:type="dxa"/>
            <w:vAlign w:val="bottom"/>
          </w:tcPr>
          <w:p>
            <w:pPr>
              <w:ind w:left="40"/>
              <w:spacing w:after="0"/>
              <w:rPr>
                <w:sz w:val="20"/>
                <w:szCs w:val="20"/>
                <w:color w:val="auto"/>
              </w:rPr>
            </w:pPr>
            <w:r>
              <w:rPr>
                <w:rFonts w:ascii="Courier New" w:cs="Courier New" w:eastAsia="Courier New" w:hAnsi="Courier New"/>
                <w:sz w:val="16"/>
                <w:szCs w:val="16"/>
                <w:color w:val="auto"/>
              </w:rPr>
              <w:t>a reserve of</w:t>
            </w: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$1,780,000</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related</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to</w:t>
            </w:r>
          </w:p>
        </w:tc>
        <w:tc>
          <w:tcPr>
            <w:tcW w:w="2240" w:type="dxa"/>
            <w:vAlign w:val="bottom"/>
          </w:tcPr>
          <w:p>
            <w:pPr>
              <w:ind w:left="60"/>
              <w:spacing w:after="0"/>
              <w:rPr>
                <w:sz w:val="20"/>
                <w:szCs w:val="20"/>
                <w:color w:val="auto"/>
              </w:rPr>
            </w:pPr>
            <w:r>
              <w:rPr>
                <w:rFonts w:ascii="Courier New" w:cs="Courier New" w:eastAsia="Courier New" w:hAnsi="Courier New"/>
                <w:sz w:val="16"/>
                <w:szCs w:val="16"/>
                <w:color w:val="auto"/>
              </w:rPr>
              <w:t>the carrying costs for</w:t>
            </w:r>
          </w:p>
        </w:tc>
        <w:tc>
          <w:tcPr>
            <w:tcW w:w="1680" w:type="dxa"/>
            <w:vAlign w:val="bottom"/>
          </w:tcPr>
          <w:p>
            <w:pPr>
              <w:ind w:left="60"/>
              <w:spacing w:after="0"/>
              <w:rPr>
                <w:sz w:val="20"/>
                <w:szCs w:val="20"/>
                <w:color w:val="auto"/>
              </w:rPr>
            </w:pPr>
            <w:r>
              <w:rPr>
                <w:rFonts w:ascii="Courier New" w:cs="Courier New" w:eastAsia="Courier New" w:hAnsi="Courier New"/>
                <w:sz w:val="16"/>
                <w:szCs w:val="16"/>
                <w:color w:val="auto"/>
              </w:rPr>
              <w:t>the Rhode Island</w:t>
            </w:r>
          </w:p>
        </w:tc>
        <w:tc>
          <w:tcPr>
            <w:tcW w:w="1800" w:type="dxa"/>
            <w:vAlign w:val="bottom"/>
          </w:tcPr>
          <w:p>
            <w:pPr>
              <w:ind w:left="40"/>
              <w:spacing w:after="0"/>
              <w:rPr>
                <w:sz w:val="20"/>
                <w:szCs w:val="20"/>
                <w:color w:val="auto"/>
              </w:rPr>
            </w:pPr>
            <w:r>
              <w:rPr>
                <w:rFonts w:ascii="Courier New" w:cs="Courier New" w:eastAsia="Courier New" w:hAnsi="Courier New"/>
                <w:sz w:val="16"/>
                <w:szCs w:val="16"/>
                <w:color w:val="auto"/>
              </w:rPr>
              <w:t>facilities through</w:t>
            </w:r>
          </w:p>
        </w:tc>
      </w:tr>
    </w:tbl>
    <w:p>
      <w:pPr>
        <w:spacing w:after="0" w:line="4"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2001. On February 2001, the Company subleased portions of the facilities and are actively seeking to sublease, assign or sell our remaining interests in the properties. However, there can be no assurance that the Company will be able to dispose of these facilities in a reasonable time, if at all. At March 31,2001 the reserve was $1,381,000.</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tabs>
          <w:tab w:leader="none" w:pos="3100" w:val="left"/>
          <w:tab w:leader="none" w:pos="5560" w:val="left"/>
        </w:tabs>
        <w:rPr>
          <w:sz w:val="20"/>
          <w:szCs w:val="20"/>
          <w:color w:val="auto"/>
        </w:rPr>
      </w:pPr>
      <w:r>
        <w:rPr>
          <w:rFonts w:ascii="Courier New" w:cs="Courier New" w:eastAsia="Courier New" w:hAnsi="Courier New"/>
          <w:sz w:val="16"/>
          <w:szCs w:val="16"/>
          <w:color w:val="auto"/>
        </w:rPr>
        <w:t>Reserve as at 12/31/2000</w:t>
      </w:r>
      <w:r>
        <w:rPr>
          <w:sz w:val="20"/>
          <w:szCs w:val="20"/>
          <w:color w:val="auto"/>
        </w:rPr>
        <w:tab/>
      </w:r>
      <w:r>
        <w:rPr>
          <w:rFonts w:ascii="Courier New" w:cs="Courier New" w:eastAsia="Courier New" w:hAnsi="Courier New"/>
          <w:sz w:val="16"/>
          <w:szCs w:val="16"/>
          <w:color w:val="auto"/>
        </w:rPr>
        <w:t>Payments</w:t>
      </w:r>
      <w:r>
        <w:rPr>
          <w:sz w:val="20"/>
          <w:szCs w:val="20"/>
          <w:color w:val="auto"/>
        </w:rPr>
        <w:tab/>
      </w:r>
      <w:r>
        <w:rPr>
          <w:rFonts w:ascii="Courier New" w:cs="Courier New" w:eastAsia="Courier New" w:hAnsi="Courier New"/>
          <w:sz w:val="16"/>
          <w:szCs w:val="16"/>
          <w:color w:val="auto"/>
        </w:rPr>
        <w:t>Reserve as at 03/31/01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80"/>
        <w:spacing w:after="0"/>
        <w:tabs>
          <w:tab w:leader="none" w:pos="3100" w:val="left"/>
          <w:tab w:leader="none" w:pos="6140" w:val="left"/>
        </w:tabs>
        <w:rPr>
          <w:sz w:val="20"/>
          <w:szCs w:val="20"/>
          <w:color w:val="auto"/>
        </w:rPr>
      </w:pPr>
      <w:r>
        <w:rPr>
          <w:rFonts w:ascii="Courier New" w:cs="Courier New" w:eastAsia="Courier New" w:hAnsi="Courier New"/>
          <w:sz w:val="16"/>
          <w:szCs w:val="16"/>
          <w:color w:val="auto"/>
        </w:rPr>
        <w:t>$1,780,579</w:t>
      </w:r>
      <w:r>
        <w:rPr>
          <w:sz w:val="20"/>
          <w:szCs w:val="20"/>
          <w:color w:val="auto"/>
        </w:rPr>
        <w:tab/>
      </w:r>
      <w:r>
        <w:rPr>
          <w:rFonts w:ascii="Courier New" w:cs="Courier New" w:eastAsia="Courier New" w:hAnsi="Courier New"/>
          <w:sz w:val="16"/>
          <w:szCs w:val="16"/>
          <w:color w:val="auto"/>
        </w:rPr>
        <w:t>$399,632</w:t>
      </w:r>
      <w:r>
        <w:rPr>
          <w:sz w:val="20"/>
          <w:szCs w:val="20"/>
          <w:color w:val="auto"/>
        </w:rPr>
        <w:tab/>
      </w:r>
      <w:r>
        <w:rPr>
          <w:rFonts w:ascii="Courier New" w:cs="Courier New" w:eastAsia="Courier New" w:hAnsi="Courier New"/>
          <w:sz w:val="16"/>
          <w:szCs w:val="16"/>
          <w:color w:val="auto"/>
        </w:rPr>
        <w:t>$1,380,947</w:t>
      </w:r>
    </w:p>
    <w:p>
      <w:pPr>
        <w:spacing w:after="0" w:line="7" w:lineRule="exact"/>
        <w:rPr>
          <w:sz w:val="20"/>
          <w:szCs w:val="20"/>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2" w:lineRule="exact"/>
        <w:rPr>
          <w:rFonts w:ascii="Courier New" w:cs="Courier New" w:eastAsia="Courier New" w:hAnsi="Courier New"/>
          <w:sz w:val="16"/>
          <w:szCs w:val="16"/>
          <w:color w:val="auto"/>
        </w:rPr>
      </w:pPr>
    </w:p>
    <w:p>
      <w:pPr>
        <w:ind w:left="3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68" w:right="1440" w:bottom="1440" w:gutter="0" w:footer="0" w:header="0"/>
        </w:sectPr>
      </w:pPr>
    </w:p>
    <w:bookmarkStart w:id="6" w:name="page7"/>
    <w:bookmarkEnd w:id="6"/>
    <w:p>
      <w:pPr>
        <w:spacing w:after="0"/>
        <w:tabs>
          <w:tab w:leader="none" w:pos="860" w:val="left"/>
        </w:tabs>
        <w:rPr>
          <w:sz w:val="20"/>
          <w:szCs w:val="20"/>
          <w:color w:val="auto"/>
        </w:rPr>
      </w:pPr>
      <w:r>
        <w:rPr>
          <w:rFonts w:ascii="Courier New" w:cs="Courier New" w:eastAsia="Courier New" w:hAnsi="Courier New"/>
          <w:sz w:val="16"/>
          <w:szCs w:val="16"/>
          <w:color w:val="auto"/>
        </w:rPr>
        <w:t>NOTE 5.</w:t>
        <w:tab/>
        <w:t>INVESTMENTS</w:t>
      </w:r>
    </w:p>
    <w:p>
      <w:pPr>
        <w:spacing w:after="0" w:line="195"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At March 31, 2001, the Company owned 103,577 shares of Modex Therapeutics Ltd. ("Modex"), a Swiss biotechnology company traded on the Swiss Exchange. On January 9, 2001, the Company sold 22,616 Modex shares for a net price of 182.00 Swiss francs per share, which converts to $112.76 per share, for total proceeds of $2,550,000. In connection with this sale, the Company agreed not to resell any more of its Modex shares until April 12, 2001. Accordingly, with an established market value, the investment is recorded as available-for-sale at an estimated fair market value. On March 31, 2001 the market price of Modex stock was 141.00 Swiss francs, or $81.22 using exchange rates on that date, which represented an estimated fair market value of $8,412,650 for the remaining shares. The unrealized gain was reported in other comprehensive income. The Company liquidated the remaining 103,577 Modex shares on April 30, 2001 for $5,232,168 net of commissions and other fees. See note 9.</w:t>
      </w:r>
    </w:p>
    <w:p>
      <w:pPr>
        <w:spacing w:after="0" w:line="1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6.</w:t>
        <w:tab/>
        <w:t>SALE OF SECURITIES</w:t>
      </w:r>
    </w:p>
    <w:p>
      <w:pPr>
        <w:spacing w:after="0" w:line="195"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On August 3, 2000, the Company completed a $4 million common stock financing transaction with Millennium Partners, LP (the "Fund"). The Fund purchased the Company's common stock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On the first adjustment date, January 27, 2001, the Fund became entitled to 463,369 additional shares, and it has exercised its warrant as to such shares.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$.01. The Company will have the right, under certain circumstances, to cap the number of additional shares by purchasing part of the entitlement from the Fund at a purchase price based on the market price of such shares.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the Company accounts for as stock issuance cost that has no impact on stockholders' equity. The Company has accounted for the sale of the stock and warrants by adding that portion of the proceeds equal to the par value of the new shares to common stock and the balance, including the value of the warrants, to additional paid in capital. In addition, any repurchase of the shares by the Company would also be accounted for through additional paid in capital.</w:t>
      </w:r>
    </w:p>
    <w:p>
      <w:pPr>
        <w:spacing w:after="0" w:line="186"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 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purchased the Company's common stock at $5.53 per share, which amount was based upon the average market price of the common stock for the five-day period prior to August 23, 2000. An adjustable warrant similar to the one issued on 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 underlying share. The calculated value of this callable warrant using the Black-Scholes method is $139,897, which the Company accounts for as stock issuance cost that has no impact on stockholders' equity.</w:t>
      </w:r>
    </w:p>
    <w:p>
      <w:pPr>
        <w:spacing w:after="0" w:line="186"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The adjustable warrant contains provisions regarding the adjustment or replacement of the warrants in the event of stock splits, mergers, tender offers and other similar events. The adjustable warrant also limits the number of shares that can be beneficially owned by the Fund to 9.99% of the total number of outstanding shares of Common Stock.</w:t>
      </w:r>
    </w:p>
    <w:p>
      <w:pPr>
        <w:spacing w:after="0" w:line="1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7.</w:t>
        <w:tab/>
        <w:t>LEASES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68" w:right="1440" w:bottom="1440" w:gutter="0" w:footer="0" w:header="0"/>
        </w:sectPr>
      </w:pPr>
    </w:p>
    <w:bookmarkStart w:id="7" w:name="page8"/>
    <w:bookmarkEnd w:id="7"/>
    <w:p>
      <w:pPr>
        <w:ind w:right="2399" w:firstLine="684"/>
        <w:spacing w:after="0" w:line="249" w:lineRule="auto"/>
        <w:rPr>
          <w:sz w:val="20"/>
          <w:szCs w:val="20"/>
          <w:color w:val="auto"/>
        </w:rPr>
      </w:pPr>
      <w:r>
        <w:rPr>
          <w:rFonts w:ascii="Courier New" w:cs="Courier New" w:eastAsia="Courier New" w:hAnsi="Courier New"/>
          <w:sz w:val="16"/>
          <w:szCs w:val="16"/>
          <w:color w:val="auto"/>
        </w:rPr>
        <w:t>As of February 1, 2001, the Company entered into a 5-year lease for a 40,000 square foot facility located in the Stanford Research Park in Palo Alto, California. The new facility includes animal space, laboratories, offices, and a GMP (Good Manufacturing Practices) suite. GMP facilities can be used to manufacture materials for clinical trials. The rent will average approximately $3.2 million per year over the term of the lease. The company paid $1.2 million upfront related to this new lease. Approximately $909,000 of this payment has been recorded as prepaid rent and is being amortized over seven months. The Company continues to lease the facilities in Lincoln, Rhode Island obtained in connection with its former encapsulated cell technology, but has now succeeded in subleasing parts of those facilities: the 3,000 square-foot cell processing facility and approximately one-third of its former scientific and administrative facility ("SAF"). The Company continues to seek to sublet the remainder of the approximately 65,000 square foot SAF and the 21,000 square-foot pilot manufacturing facility, or to assign or sell its interests in these properties. There can be no assurance however, that we will be able to dispose of these properties in a reasonable time, if at all.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GRANT</w:t>
      </w:r>
    </w:p>
    <w:p>
      <w:pPr>
        <w:spacing w:after="0" w:line="195"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In February 2001, the Company was awarded a two-year, $300,000 per year grant from the NIH's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 The company received and recognized as revenue $100,000 from a prior SBIR grant relating to the neural program.</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SUBSEQUENT EVENTS</w:t>
      </w:r>
    </w:p>
    <w:p>
      <w:pPr>
        <w:spacing w:after="0" w:line="195"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On April 30, 2001, StemCells sold its remaining 103,577 shares of Modex Therapeutics at 87.3 Swiss francs per share, or $50.51 per share at the exchange rate on that date, for total proceeds of $5,232,168 net of commissions and other fees. In addition, on April 30, 2001, in consideration for $300,000 received from Modex and the assistance of Modex in executing the sale of StemCells holding of Modex shares, StemCells agreed to assign to Modex the rights concerning future payments under the Asset Purchase and License Agreement between StemCells, Inc. and Neurotech SA, by which Neurotech SA purchased the Company's former encapsulated cell therapy technology.</w:t>
      </w:r>
    </w:p>
    <w:p>
      <w:pPr>
        <w:spacing w:after="0" w:line="187" w:lineRule="exact"/>
        <w:rPr>
          <w:sz w:val="20"/>
          <w:szCs w:val="20"/>
          <w:color w:val="auto"/>
        </w:rPr>
      </w:pPr>
    </w:p>
    <w:p>
      <w:pPr>
        <w:ind w:right="2699" w:firstLine="684"/>
        <w:spacing w:after="0" w:line="250" w:lineRule="auto"/>
        <w:rPr>
          <w:sz w:val="20"/>
          <w:szCs w:val="20"/>
          <w:color w:val="auto"/>
        </w:rPr>
      </w:pPr>
      <w:r>
        <w:rPr>
          <w:rFonts w:ascii="Courier New" w:cs="Courier New" w:eastAsia="Courier New" w:hAnsi="Courier New"/>
          <w:sz w:val="16"/>
          <w:szCs w:val="16"/>
          <w:color w:val="auto"/>
        </w:rPr>
        <w:t>On April 27, 2001, the Company reached an agreement to terminate as of May 15, 2001, without cost, its lease on part of its former Sunnyvale headquarters.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RECENT ACCOUNTING PRONOUNCEMENT</w:t>
      </w:r>
    </w:p>
    <w:p>
      <w:pPr>
        <w:spacing w:after="0" w:line="195"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In June 1998, The Financial Accounting Standards Board issued Statement of Financial Accounting Standards No. 133, "Accounting for Derivative Financial Instruments and for Hedging Activities" ("SFAS 133"). The Statement requires the Company to recognize all derivatives on the balance sheet at fair value. Derivatives that are not hedges must be adjusted to fair value through income. If the derivative is a hedge, depending on the nature of the hedge, changes in fair value of derivatives are either offset against the change in fair value of assets, liabilities, or firm commitments through earnings or recognized in other comprehensive income until the hedged item is recognized in earnings. As the Company had no derivative instruments and does not currently engage in hedging activities, the adoption of Statement No. 133 on January 1, 2001 had no impact on StemCells results, operations or financial statement.</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68" w:right="1440" w:bottom="1440" w:gutter="0" w:footer="0" w:header="0"/>
        </w:sectPr>
      </w:pPr>
    </w:p>
    <w:bookmarkStart w:id="8" w:name="page9"/>
    <w:bookmarkEnd w:id="8"/>
    <w:p>
      <w:pPr>
        <w:ind w:left="980" w:right="3079" w:hanging="976"/>
        <w:spacing w:after="0" w:line="252" w:lineRule="auto"/>
        <w:rPr>
          <w:sz w:val="20"/>
          <w:szCs w:val="20"/>
          <w:color w:val="auto"/>
        </w:rPr>
      </w:pPr>
      <w:r>
        <w:rPr>
          <w:rFonts w:ascii="Courier New" w:cs="Courier New" w:eastAsia="Courier New" w:hAnsi="Courier New"/>
          <w:sz w:val="16"/>
          <w:szCs w:val="16"/>
          <w:color w:val="auto"/>
        </w:rPr>
        <w:t>ITEM 2. - MANAGEMENT'S DISCUSSION AND ANALYSIS OF FINANCIAL CONDITION AND RESULTS OF OPERATIONS</w:t>
      </w:r>
    </w:p>
    <w:p>
      <w:pPr>
        <w:spacing w:after="0" w:line="183" w:lineRule="exact"/>
        <w:rPr>
          <w:sz w:val="20"/>
          <w:szCs w:val="20"/>
          <w:color w:val="auto"/>
        </w:rPr>
      </w:pPr>
    </w:p>
    <w:p>
      <w:pPr>
        <w:ind w:right="2799" w:firstLine="684"/>
        <w:spacing w:after="0" w:line="249" w:lineRule="auto"/>
        <w:rPr>
          <w:sz w:val="20"/>
          <w:szCs w:val="20"/>
          <w:color w:val="auto"/>
        </w:rPr>
      </w:pPr>
      <w:r>
        <w:rPr>
          <w:rFonts w:ascii="Courier New" w:cs="Courier New" w:eastAsia="Courier New" w:hAnsi="Courier New"/>
          <w:sz w:val="16"/>
          <w:szCs w:val="16"/>
          <w:color w:val="auto"/>
        </w:rPr>
        <w:t>The following discussion of the financial condition and results of operations of the Company for the three months ended March 31, 2001 and 2000 should be read in conjunction with the accompanying unaudited condensed consolidated financial statements and the related footnotes thereto.</w:t>
      </w:r>
    </w:p>
    <w:p>
      <w:pPr>
        <w:spacing w:after="0" w:line="188"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This report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10-K/A report, as of December 31, 2000 could harm our business, operating results and financial condition. All forward looking statements attributable to us or persons acting on our behalf are expressly qualified in their entirety by the cautionary statements and risk factors contained or referred to herein.</w:t>
      </w:r>
    </w:p>
    <w:p>
      <w:pPr>
        <w:spacing w:after="0" w:line="186"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OVERVIEW</w:t>
      </w:r>
    </w:p>
    <w:p>
      <w:pPr>
        <w:spacing w:after="0" w:line="19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Since our inception in 1988, we have been primarily engaged in research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development of human therapeutic products. As a result of a restructuring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second half of 1999, our sole focus is now on our stem cell technology.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In1999, by contrast, our corporate headquarters, most of our employees,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main focus of our operations were primarily devoted to a different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technology--encapsulated cell therapy, or ECT. Since that time, we terminated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clinical trial of the ECT then in progress, we wound down our other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relating to the ECT, we terminated the employment of those who worked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ECT, we sold the ECT and we relocated from Rhode Island to California. The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was a year of transition, in which we completed the consolidation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restructuring of our operations. Comparisons with the previous year's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correspondingly less meaningful than they may be under other circumstances.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87"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6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RESULTS OF OPERATIONS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MARCH 31, 2001 AND 2000</w:t>
      </w:r>
    </w:p>
    <w:p>
      <w:pPr>
        <w:spacing w:after="0" w:line="195" w:lineRule="exact"/>
        <w:rPr>
          <w:sz w:val="20"/>
          <w:szCs w:val="20"/>
          <w:color w:val="auto"/>
        </w:rPr>
      </w:pPr>
    </w:p>
    <w:p>
      <w:pPr>
        <w:jc w:val="both"/>
        <w:ind w:right="2599" w:firstLine="684"/>
        <w:spacing w:after="0" w:line="252" w:lineRule="auto"/>
        <w:rPr>
          <w:sz w:val="20"/>
          <w:szCs w:val="20"/>
          <w:color w:val="auto"/>
        </w:rPr>
      </w:pPr>
      <w:r>
        <w:rPr>
          <w:rFonts w:ascii="Courier New" w:cs="Courier New" w:eastAsia="Courier New" w:hAnsi="Courier New"/>
          <w:sz w:val="16"/>
          <w:szCs w:val="16"/>
          <w:color w:val="auto"/>
        </w:rPr>
        <w:t>For the three months ended March 31, 2001, revenues from grants totaled $100,000. There was no such revenue for the three months ended March 31, 2000.</w:t>
      </w:r>
    </w:p>
    <w:p>
      <w:pPr>
        <w:spacing w:after="0" w:line="183"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On January 9, 2001, the Company sold 22,616 Modex shares for a net price of 182.00 Swiss francs per share, which converts to $112.76 per share, for total proceeds and a realized gain of $2,550,000. In connection with this sale, the Company agreed not to resell any more of its Modex shares until April 12, 2001.</w:t>
      </w:r>
    </w:p>
    <w:p>
      <w:pPr>
        <w:spacing w:after="0" w:line="188"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Research and development expenses totaled $1,644,257 for the three months ended March 31, 2001, compared with $906,632 for the same period in 2000. The increase of $737,625 or 81% from 2000 to 2001 was primarily attributable to the related costs of an increase in personnel from 11 full time employees to 19 full time employees to facilitate the expansion of our research programs and initiate development and the cost of leasing a larger facility.</w:t>
      </w:r>
    </w:p>
    <w:p>
      <w:pPr>
        <w:spacing w:after="0" w:line="187"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General and administrative expenses were $996,862 for the three months ended March 31, 2001, compared with $657,714 for the same period in 2000. The increase of $339,148, or 52%, from 2000 to 2001 was primarily attributable to the related costs of an increase in personnel from 5 full time employees to 8 full time employees, which included the hiring of senior management personnel as part of the restructuring and consolidation of our operations in California and the cost of leasing a larger facility.</w:t>
      </w:r>
    </w:p>
    <w:p>
      <w:pPr>
        <w:spacing w:after="0" w:line="187"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Wind-down expenses related to our ECT research, our Rhode Island operations and the transfer of our headquarters to Sunnyvale, California for the three months ended March 31, 2000 were $234,386. In December 2000, we created a reserve of $1,780,578 related to the carrying costs for the Rhode Island facilities through 2001. At March 31, 2001 the reserve was $1,381,946.</w:t>
      </w:r>
    </w:p>
    <w:p>
      <w:pPr>
        <w:spacing w:after="0" w:line="187"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Interest income for the three months ended March 31, 2001 and 2000 was $79,041 and $73,332 respectively. Interest expense of $64,460 for the three months ended March 31, 2001 was booked against the wind-down reserve created in 2000 for the whole of 2001, as the expense was part of the bond payments related to the Rhode Island facilities. Interest expense for the same period in 2000 was $68,858. The decrease in 2001 was attributable to lower outstanding debt and capital lease balances in 2001 compared to 2000.</w:t>
      </w:r>
    </w:p>
    <w:p>
      <w:pPr>
        <w:spacing w:after="0" w:line="187" w:lineRule="exact"/>
        <w:rPr>
          <w:sz w:val="20"/>
          <w:szCs w:val="20"/>
          <w:color w:val="auto"/>
        </w:rPr>
      </w:pPr>
    </w:p>
    <w:p>
      <w:pPr>
        <w:ind w:right="2499" w:firstLine="684"/>
        <w:spacing w:after="0" w:line="250" w:lineRule="auto"/>
        <w:rPr>
          <w:sz w:val="20"/>
          <w:szCs w:val="20"/>
          <w:color w:val="auto"/>
        </w:rPr>
      </w:pPr>
      <w:r>
        <w:rPr>
          <w:rFonts w:ascii="Courier New" w:cs="Courier New" w:eastAsia="Courier New" w:hAnsi="Courier New"/>
          <w:sz w:val="16"/>
          <w:szCs w:val="16"/>
          <w:color w:val="auto"/>
        </w:rPr>
        <w:t>Other income for the three months ended March 31, 2001 was $180,389, which was a refund from the Citizens Bank of Rhode Island for an overpayment of property taxes in prior years.</w:t>
      </w:r>
    </w:p>
    <w:p>
      <w:pPr>
        <w:spacing w:after="0" w:line="185"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Net income (loss) for the three months ended March 31, 2001 was $268,541 or $0.01 per share, as compared to net loss of ($1,794,258) or ($0.09) per share, for the comparable period in 2000. The decrease in net loss of $2,062,800 or 115% from the same period in 2000 was primarily attributable to a realized gain of $2,550,230 from the sale of a portion of our Modex investment, offset by an increase in expenses attributable to an increase in personnel and the costs associated with our move to a larger facility.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88"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We had cash and cash equivalents totaling $4,499,000 at March 31, 2001. Cash equivalents are invested in money market funds. We also held shares of Modex Therapeutics Ltd ("Modex"), a Swiss biotechnology company that completed an initial public offering on June 23, 2000, and is publicly traded on the Swiss Neue Market exchange. We realized a gain in connection with the sale of a portion of our investment in Modex in the second quarter 2000 and first quarter of 2001 of $1,427,000 and $2,550,000 respectively. Our Modex stock had a fair market value of $8,412,000 on March 31, 2001. The fair market value of our Modex stock has varied significantly</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68" w:right="1440" w:bottom="1440" w:gutter="0" w:footer="0" w:header="0"/>
        </w:sectPr>
      </w:pPr>
    </w:p>
    <w:bookmarkStart w:id="10" w:name="page11"/>
    <w:bookmarkEnd w:id="10"/>
    <w:p>
      <w:pPr>
        <w:ind w:right="2399"/>
        <w:spacing w:after="0" w:line="249" w:lineRule="auto"/>
        <w:rPr>
          <w:sz w:val="20"/>
          <w:szCs w:val="20"/>
          <w:color w:val="auto"/>
        </w:rPr>
      </w:pPr>
      <w:r>
        <w:rPr>
          <w:rFonts w:ascii="Courier New" w:cs="Courier New" w:eastAsia="Courier New" w:hAnsi="Courier New"/>
          <w:sz w:val="16"/>
          <w:szCs w:val="16"/>
          <w:color w:val="auto"/>
        </w:rPr>
        <w:t>since the Modex public offering based on increases and decreases in the reported per share price, in Swiss francs, of the Modex stock and on foreign currency exchange rates. We had been prohibited under a lock-up agreement entered into at the time of Modex's secondary offering from selling any of our Modex holdings until December 23, 2000. On January 9, 2001, we sold 22,616 Modex shares for a net price of 182.00 Swiss francs per share, which converts to $112.76 per share, for total proceeds of $2,550,000. In connection with this sale, we agreed not to sell any more of our remaining 103,577 Modex shares until April 12, 2001. On April 30, 2001, StemCells sold its remaining 103,577 shares of Modex Therapeutics at 87.3 Swiss francs per share, or $50.51 per share at the exchange rate on that date, for total proceeds of $5,232,168 net of commissions and other fees. In addition, on April 30, 2001, the Company sold Modex Therapeutics its rights to future payments under the agreement between the Company and Neurotech S.A. by which it sold its former encapsulated cell therapy technology to Neurotech. StemCells received $300,000 for the rights to future payments.</w:t>
      </w:r>
    </w:p>
    <w:p>
      <w:pPr>
        <w:spacing w:after="0" w:line="187"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We continue to have outstanding obligations in regard to our former facilities in Lincoln, Rhode Island, including lease payments and operating costs of approximately $1,200,000 per year associated with our former research laboratory and corporate headquarters building, and debt service payments and operating costs of approximately $1,000,000 per year with respect to our pilot manufacturing and cell processing facility.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87"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received the remaining $1 million upon effectiveness of a registration statement covering the shares purchased by the Fund. The Fund purchased our common stock at $4.33 per share. The Fund became entitled, pursuant to an adjustable warrant issued in connection with the sale of common stock to the Fund, to receive 463,369 additional shares of common stock on January 27, 2001, and it has exercised its warrant as to such shares at $0.01 per share. The Fund may become entitled to receive additional shares every three months thereafter until October, 2002.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 This warrant is callable by us at $7.875 per underlying share.</w:t>
      </w:r>
    </w:p>
    <w:p>
      <w:pPr>
        <w:spacing w:after="0" w:line="186"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In addition, the Fund has the option for twelve months to purchase up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million of additional common stock. On August 23, 2000 the Fund exercised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$1,000,000 of its option to purchase additional common stock at $5.53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Fund paid $750,000 of the purchase price in connection with the closing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30, 2000, and paid the remaining $250,000 upon effectiveness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statement covering the shares owned by the Fund. At the closing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30, 2000, we issued to the Fund an adjustable warrant similar to the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 on August 3, 2000. T his adjustable warrant was canceled by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between us and the Fund on November 1, 2000. The Fund also received a warrant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up to 19,900 shares of common stock at $6.03 per share. This warrant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callable by us at $10.05 per underlying share.</w:t>
      </w:r>
    </w:p>
    <w:p>
      <w:pPr>
        <w:spacing w:after="0" w:line="195"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We have limited liquidity and capital resources and must obtain significant additional capital resources in the future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68" w:right="1440" w:bottom="1440" w:gutter="0" w:footer="0" w:header="0"/>
        </w:sectPr>
      </w:pPr>
    </w:p>
    <w:bookmarkStart w:id="11" w:name="page12"/>
    <w:bookmarkEnd w:id="11"/>
    <w:p>
      <w:pPr>
        <w:ind w:right="2399" w:firstLine="684"/>
        <w:spacing w:after="0" w:line="249" w:lineRule="auto"/>
        <w:rPr>
          <w:sz w:val="20"/>
          <w:szCs w:val="20"/>
          <w:color w:val="auto"/>
        </w:rPr>
      </w:pPr>
      <w:r>
        <w:rPr>
          <w:rFonts w:ascii="Courier New" w:cs="Courier New" w:eastAsia="Courier New" w:hAnsi="Courier New"/>
          <w:sz w:val="16"/>
          <w:szCs w:val="16"/>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 While our cash requirements may vary, as noted above, we currently expect that our existing capital resources, including income earned on invested capital, will be sufficient to fund our operations through December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68"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ITEM 3. QUANTITATIVE AND QUALITATIVE DISCLOSURES ABOUT MARKET RISK</w:t>
      </w:r>
    </w:p>
    <w:p>
      <w:pPr>
        <w:spacing w:after="0" w:line="195" w:lineRule="exact"/>
        <w:rPr>
          <w:sz w:val="20"/>
          <w:szCs w:val="20"/>
          <w:color w:val="auto"/>
        </w:rPr>
      </w:pPr>
    </w:p>
    <w:p>
      <w:pPr>
        <w:ind w:right="3700" w:firstLine="684"/>
        <w:spacing w:after="0" w:line="249" w:lineRule="auto"/>
        <w:rPr>
          <w:sz w:val="20"/>
          <w:szCs w:val="20"/>
          <w:color w:val="auto"/>
        </w:rPr>
      </w:pPr>
      <w:r>
        <w:rPr>
          <w:rFonts w:ascii="Courier New" w:cs="Courier New" w:eastAsia="Courier New" w:hAnsi="Courier New"/>
          <w:sz w:val="16"/>
          <w:szCs w:val="16"/>
          <w:color w:val="auto"/>
        </w:rPr>
        <w:t>On March 31, 2001, we had an investment in common stock of Modex Therapeutics Ltd. (Modex), a Swiss Biotherapeutics company. Our value in this investment was subject to both equity price risk and foreign currency exchange risk. Modex shares were offered in an initial public offering ("IPO") on the Swiss Neue Market on June 23, 2000 at a price of 168.00 Swiss francs. From the date of the IPO to March 9, 2001, the Modex closing share price has fluctuated from a high of 390.00 Swiss francs on October 6, 2000 to a low of 92.00 Swiss francs on April 27, 2001. On January 9, 2001, we sold 22,616 Modex shares for a net price of 182.00 Swiss francs per share, which converts to $112.76 per share, for total proceeds of $2,550,230. In connection with this sale, we agreed not to resell any more of our Modex shares until April 12, 2001. On March 31, 2001 the market price of Modex stock was 141.00 Swiss francs which converts to $81.22 using exchange rates on that date, which represented an estimated fair market value of $8,412,650.</w:t>
      </w:r>
    </w:p>
    <w:p>
      <w:pPr>
        <w:spacing w:after="0" w:line="187" w:lineRule="exact"/>
        <w:rPr>
          <w:sz w:val="20"/>
          <w:szCs w:val="20"/>
          <w:color w:val="auto"/>
        </w:rPr>
      </w:pPr>
    </w:p>
    <w:p>
      <w:pPr>
        <w:ind w:right="4000"/>
        <w:spacing w:after="0" w:line="249" w:lineRule="auto"/>
        <w:rPr>
          <w:sz w:val="20"/>
          <w:szCs w:val="20"/>
          <w:color w:val="auto"/>
        </w:rPr>
      </w:pPr>
      <w:r>
        <w:rPr>
          <w:rFonts w:ascii="Courier New" w:cs="Courier New" w:eastAsia="Courier New" w:hAnsi="Courier New"/>
          <w:sz w:val="16"/>
          <w:szCs w:val="16"/>
          <w:color w:val="auto"/>
        </w:rPr>
        <w:t>On April 30, 2001, StemCells sold its remaining 103,577 shares of Modex Therapeutics at 87.3 Swiss francs per share, which converts to $ 50.51 per share at the exchange rate for that date, for total proceeds of approximately $5,232,168 net of commissions and other fees.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80"/>
        <w:spacing w:after="0"/>
        <w:tabs>
          <w:tab w:leader="none" w:pos="2920" w:val="left"/>
          <w:tab w:leader="none" w:pos="5060" w:val="left"/>
          <w:tab w:leader="none" w:pos="7400" w:val="left"/>
          <w:tab w:leader="none" w:pos="9560" w:val="left"/>
        </w:tabs>
        <w:rPr>
          <w:sz w:val="20"/>
          <w:szCs w:val="20"/>
          <w:color w:val="auto"/>
        </w:rPr>
      </w:pPr>
      <w:r>
        <w:rPr>
          <w:rFonts w:ascii="Courier New" w:cs="Courier New" w:eastAsia="Courier New" w:hAnsi="Courier New"/>
          <w:sz w:val="16"/>
          <w:szCs w:val="16"/>
          <w:color w:val="auto"/>
        </w:rPr>
        <w:t>NO. OF SHARES</w:t>
      </w:r>
      <w:r>
        <w:rPr>
          <w:sz w:val="20"/>
          <w:szCs w:val="20"/>
          <w:color w:val="auto"/>
        </w:rPr>
        <w:tab/>
      </w: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6"/>
          <w:szCs w:val="16"/>
          <w:color w:val="auto"/>
        </w:rPr>
        <w:t>ASSOCIATED RISKS</w:t>
      </w:r>
      <w:r>
        <w:rPr>
          <w:sz w:val="20"/>
          <w:szCs w:val="20"/>
          <w:color w:val="auto"/>
        </w:rPr>
        <w:tab/>
      </w:r>
      <w:r>
        <w:rPr>
          <w:rFonts w:ascii="Courier New" w:cs="Courier New" w:eastAsia="Courier New" w:hAnsi="Courier New"/>
          <w:sz w:val="16"/>
          <w:szCs w:val="16"/>
          <w:color w:val="auto"/>
        </w:rPr>
        <w:t>MARKET VALUE AT</w:t>
      </w:r>
      <w:r>
        <w:rPr>
          <w:sz w:val="20"/>
          <w:szCs w:val="20"/>
          <w:color w:val="auto"/>
        </w:rPr>
        <w:tab/>
      </w:r>
      <w:r>
        <w:rPr>
          <w:rFonts w:ascii="Courier New" w:cs="Courier New" w:eastAsia="Courier New" w:hAnsi="Courier New"/>
          <w:sz w:val="16"/>
          <w:szCs w:val="16"/>
          <w:color w:val="auto"/>
        </w:rPr>
        <w:t>SALES PROCEEDS ON</w:t>
      </w:r>
    </w:p>
    <w:p>
      <w:pPr>
        <w:spacing w:after="0" w:line="7" w:lineRule="exact"/>
        <w:rPr>
          <w:sz w:val="20"/>
          <w:szCs w:val="20"/>
          <w:color w:val="auto"/>
        </w:rPr>
      </w:pPr>
    </w:p>
    <w:p>
      <w:pPr>
        <w:ind w:left="7420"/>
        <w:spacing w:after="0"/>
        <w:tabs>
          <w:tab w:leader="none" w:pos="9660" w:val="left"/>
        </w:tabs>
        <w:rPr>
          <w:sz w:val="20"/>
          <w:szCs w:val="20"/>
          <w:color w:val="auto"/>
        </w:rPr>
      </w:pPr>
      <w:r>
        <w:rPr>
          <w:rFonts w:ascii="Courier New" w:cs="Courier New" w:eastAsia="Courier New" w:hAnsi="Courier New"/>
          <w:sz w:val="16"/>
          <w:szCs w:val="16"/>
          <w:color w:val="auto"/>
        </w:rPr>
        <w:t>MARCH 31, 2001</w:t>
      </w:r>
      <w:r>
        <w:rPr>
          <w:sz w:val="20"/>
          <w:szCs w:val="20"/>
          <w:color w:val="auto"/>
        </w:rPr>
        <w:tab/>
      </w:r>
      <w:r>
        <w:rPr>
          <w:rFonts w:ascii="Courier New" w:cs="Courier New" w:eastAsia="Courier New" w:hAnsi="Courier New"/>
          <w:sz w:val="16"/>
          <w:szCs w:val="16"/>
          <w:color w:val="auto"/>
        </w:rPr>
        <w:t>APRIL 30,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1280" w:type="dxa"/>
            <w:vAlign w:val="bottom"/>
          </w:tcPr>
          <w:p>
            <w:pPr>
              <w:jc w:val="right"/>
              <w:ind w:right="519"/>
              <w:spacing w:after="0"/>
              <w:rPr>
                <w:sz w:val="20"/>
                <w:szCs w:val="20"/>
                <w:color w:val="auto"/>
              </w:rPr>
            </w:pPr>
            <w:r>
              <w:rPr>
                <w:rFonts w:ascii="Courier New" w:cs="Courier New" w:eastAsia="Courier New" w:hAnsi="Courier New"/>
                <w:sz w:val="16"/>
                <w:szCs w:val="16"/>
                <w:color w:val="auto"/>
                <w:w w:val="98"/>
              </w:rPr>
              <w:t>103,577</w:t>
            </w:r>
          </w:p>
        </w:tc>
        <w:tc>
          <w:tcPr>
            <w:tcW w:w="2580" w:type="dxa"/>
            <w:vAlign w:val="bottom"/>
          </w:tcPr>
          <w:p>
            <w:pPr>
              <w:ind w:left="580"/>
              <w:spacing w:after="0"/>
              <w:rPr>
                <w:sz w:val="20"/>
                <w:szCs w:val="20"/>
                <w:color w:val="auto"/>
              </w:rPr>
            </w:pPr>
            <w:r>
              <w:rPr>
                <w:rFonts w:ascii="Courier New" w:cs="Courier New" w:eastAsia="Courier New" w:hAnsi="Courier New"/>
                <w:sz w:val="16"/>
                <w:szCs w:val="16"/>
                <w:color w:val="auto"/>
              </w:rPr>
              <w:t>Modex Therapeutics</w:t>
            </w:r>
          </w:p>
        </w:tc>
        <w:tc>
          <w:tcPr>
            <w:tcW w:w="260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Equity/Foreign</w:t>
            </w:r>
          </w:p>
        </w:tc>
        <w:tc>
          <w:tcPr>
            <w:tcW w:w="20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$8,412,650</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$5,232,168</w:t>
            </w:r>
          </w:p>
        </w:tc>
      </w:tr>
      <w:tr>
        <w:trPr>
          <w:trHeight w:val="188"/>
        </w:trPr>
        <w:tc>
          <w:tcPr>
            <w:tcW w:w="12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60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Currency Translation</w:t>
            </w:r>
          </w:p>
        </w:tc>
        <w:tc>
          <w:tcPr>
            <w:tcW w:w="2000" w:type="dxa"/>
            <w:vAlign w:val="bottom"/>
          </w:tcPr>
          <w:p>
            <w:pPr>
              <w:spacing w:after="0"/>
              <w:rPr>
                <w:sz w:val="16"/>
                <w:szCs w:val="16"/>
                <w:color w:val="auto"/>
              </w:rPr>
            </w:pPr>
          </w:p>
        </w:tc>
        <w:tc>
          <w:tcPr>
            <w:tcW w:w="1600" w:type="dxa"/>
            <w:vAlign w:val="bottom"/>
          </w:tcPr>
          <w:p>
            <w:pPr>
              <w:spacing w:after="0"/>
              <w:rPr>
                <w:sz w:val="16"/>
                <w:szCs w:val="16"/>
                <w:color w:val="auto"/>
              </w:rPr>
            </w:pPr>
          </w:p>
        </w:tc>
      </w:tr>
    </w:tbl>
    <w:p>
      <w:pPr>
        <w:spacing w:after="0" w:line="4" w:lineRule="exact"/>
        <w:rPr>
          <w:sz w:val="20"/>
          <w:szCs w:val="20"/>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370" w:lineRule="exact"/>
        <w:rPr>
          <w:rFonts w:ascii="Courier New" w:cs="Courier New" w:eastAsia="Courier New" w:hAnsi="Courier New"/>
          <w:sz w:val="16"/>
          <w:szCs w:val="16"/>
          <w:color w:val="auto"/>
        </w:rPr>
      </w:pPr>
    </w:p>
    <w:p>
      <w:pPr>
        <w:ind w:left="3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w:t>
      </w:r>
    </w:p>
    <w:p>
      <w:pPr>
        <w:sectPr>
          <w:pgSz w:w="11900" w:h="16838" w:orient="portrait"/>
          <w:cols w:equalWidth="0" w:num="1">
            <w:col w:w="11520"/>
          </w:cols>
          <w:pgMar w:left="240" w:top="868" w:right="13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PART II - ITEM 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9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None.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ITEM 2</w:t>
      </w:r>
    </w:p>
    <w:p>
      <w:pPr>
        <w:spacing w:after="0" w:line="19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None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ITEM 4</w:t>
      </w:r>
    </w:p>
    <w:p>
      <w:pPr>
        <w:spacing w:after="0" w:line="19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None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ITEM 6</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 AND REPORTS ON FORM 8-K</w:t>
      </w:r>
    </w:p>
    <w:p>
      <w:pPr>
        <w:spacing w:after="0" w:line="195" w:lineRule="exact"/>
        <w:rPr>
          <w:sz w:val="20"/>
          <w:szCs w:val="20"/>
          <w:color w:val="auto"/>
        </w:rPr>
      </w:pPr>
    </w:p>
    <w:p>
      <w:pPr>
        <w:ind w:left="680" w:right="7679" w:hanging="680"/>
        <w:spacing w:after="0" w:line="500" w:lineRule="auto"/>
        <w:tabs>
          <w:tab w:leader="none" w:pos="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None.</w:t>
      </w:r>
    </w:p>
    <w:p>
      <w:pPr>
        <w:spacing w:after="0" w:line="185"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68" w:right="1440" w:bottom="1440" w:gutter="0" w:footer="0" w:header="0"/>
        </w:sectPr>
      </w:pPr>
    </w:p>
    <w:bookmarkStart w:id="14" w:name="page15"/>
    <w:bookmarkEnd w:id="14"/>
    <w:p>
      <w:pPr>
        <w:ind w:left="3720"/>
        <w:spacing w:after="0"/>
        <w:rPr>
          <w:sz w:val="20"/>
          <w:szCs w:val="20"/>
          <w:color w:val="auto"/>
        </w:rPr>
      </w:pPr>
      <w:r>
        <w:rPr>
          <w:rFonts w:ascii="Courier New" w:cs="Courier New" w:eastAsia="Courier New" w:hAnsi="Courier New"/>
          <w:sz w:val="16"/>
          <w:szCs w:val="16"/>
          <w:color w:val="auto"/>
        </w:rPr>
        <w:t>SIGNATURE</w:t>
      </w:r>
    </w:p>
    <w:p>
      <w:pPr>
        <w:spacing w:after="0" w:line="383" w:lineRule="exact"/>
        <w:rPr>
          <w:sz w:val="20"/>
          <w:szCs w:val="20"/>
          <w:color w:val="auto"/>
        </w:rPr>
      </w:pPr>
    </w:p>
    <w:p>
      <w:pPr>
        <w:ind w:right="2699" w:firstLine="489"/>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5"/>
                <w:szCs w:val="15"/>
                <w:color w:val="auto"/>
              </w:rPr>
            </w:pPr>
          </w:p>
        </w:tc>
        <w:tc>
          <w:tcPr>
            <w:tcW w:w="5120" w:type="dxa"/>
            <w:vAlign w:val="bottom"/>
          </w:tcPr>
          <w:p>
            <w:pPr>
              <w:ind w:left="1220"/>
              <w:spacing w:after="0"/>
              <w:rPr>
                <w:sz w:val="20"/>
                <w:szCs w:val="20"/>
                <w:color w:val="auto"/>
              </w:rPr>
            </w:pPr>
            <w:r>
              <w:rPr>
                <w:rFonts w:ascii="Courier New" w:cs="Courier New" w:eastAsia="Courier New" w:hAnsi="Courier New"/>
                <w:sz w:val="16"/>
                <w:szCs w:val="16"/>
                <w:color w:val="auto"/>
              </w:rPr>
              <w:t>STEMCELLS, INC.</w:t>
            </w:r>
          </w:p>
        </w:tc>
      </w:tr>
      <w:tr>
        <w:trPr>
          <w:trHeight w:val="188"/>
        </w:trPr>
        <w:tc>
          <w:tcPr>
            <w:tcW w:w="2300" w:type="dxa"/>
            <w:vAlign w:val="bottom"/>
          </w:tcPr>
          <w:p>
            <w:pPr>
              <w:spacing w:after="0"/>
              <w:rPr>
                <w:sz w:val="16"/>
                <w:szCs w:val="16"/>
                <w:color w:val="auto"/>
              </w:rPr>
            </w:pPr>
          </w:p>
        </w:tc>
        <w:tc>
          <w:tcPr>
            <w:tcW w:w="5120" w:type="dxa"/>
            <w:vAlign w:val="bottom"/>
          </w:tcPr>
          <w:p>
            <w:pPr>
              <w:ind w:left="1220"/>
              <w:spacing w:after="0"/>
              <w:rPr>
                <w:sz w:val="20"/>
                <w:szCs w:val="20"/>
                <w:color w:val="auto"/>
              </w:rPr>
            </w:pPr>
            <w:r>
              <w:rPr>
                <w:rFonts w:ascii="Courier New" w:cs="Courier New" w:eastAsia="Courier New" w:hAnsi="Courier New"/>
                <w:sz w:val="16"/>
                <w:szCs w:val="16"/>
                <w:color w:val="auto"/>
              </w:rPr>
              <w:t>----------------------------------------</w:t>
            </w:r>
          </w:p>
        </w:tc>
      </w:tr>
      <w:tr>
        <w:trPr>
          <w:trHeight w:val="188"/>
        </w:trPr>
        <w:tc>
          <w:tcPr>
            <w:tcW w:w="2300" w:type="dxa"/>
            <w:vAlign w:val="bottom"/>
          </w:tcPr>
          <w:p>
            <w:pPr>
              <w:spacing w:after="0"/>
              <w:rPr>
                <w:sz w:val="16"/>
                <w:szCs w:val="16"/>
                <w:color w:val="auto"/>
              </w:rPr>
            </w:pPr>
          </w:p>
        </w:tc>
        <w:tc>
          <w:tcPr>
            <w:tcW w:w="5120" w:type="dxa"/>
            <w:vAlign w:val="bottom"/>
          </w:tcPr>
          <w:p>
            <w:pPr>
              <w:ind w:left="1220"/>
              <w:spacing w:after="0"/>
              <w:rPr>
                <w:sz w:val="20"/>
                <w:szCs w:val="20"/>
                <w:color w:val="auto"/>
              </w:rPr>
            </w:pPr>
            <w:r>
              <w:rPr>
                <w:rFonts w:ascii="Courier New" w:cs="Courier New" w:eastAsia="Courier New" w:hAnsi="Courier New"/>
                <w:sz w:val="16"/>
                <w:szCs w:val="16"/>
                <w:color w:val="auto"/>
              </w:rPr>
              <w:t>(Name of Registrant)</w:t>
            </w:r>
          </w:p>
        </w:tc>
      </w:tr>
      <w:tr>
        <w:trPr>
          <w:trHeight w:val="752"/>
        </w:trPr>
        <w:tc>
          <w:tcPr>
            <w:tcW w:w="2300" w:type="dxa"/>
            <w:vAlign w:val="bottom"/>
          </w:tcPr>
          <w:p>
            <w:pPr>
              <w:spacing w:after="0"/>
              <w:rPr>
                <w:sz w:val="20"/>
                <w:szCs w:val="20"/>
                <w:color w:val="auto"/>
              </w:rPr>
            </w:pPr>
            <w:r>
              <w:rPr>
                <w:rFonts w:ascii="Courier New" w:cs="Courier New" w:eastAsia="Courier New" w:hAnsi="Courier New"/>
                <w:sz w:val="16"/>
                <w:szCs w:val="16"/>
                <w:color w:val="auto"/>
              </w:rPr>
              <w:t>May 9, 2001</w:t>
            </w:r>
          </w:p>
        </w:tc>
        <w:tc>
          <w:tcPr>
            <w:tcW w:w="5120" w:type="dxa"/>
            <w:vAlign w:val="bottom"/>
          </w:tcPr>
          <w:p>
            <w:pPr>
              <w:ind w:left="1220"/>
              <w:spacing w:after="0"/>
              <w:rPr>
                <w:sz w:val="20"/>
                <w:szCs w:val="20"/>
                <w:color w:val="auto"/>
              </w:rPr>
            </w:pPr>
            <w:r>
              <w:rPr>
                <w:rFonts w:ascii="Courier New" w:cs="Courier New" w:eastAsia="Courier New" w:hAnsi="Courier New"/>
                <w:sz w:val="16"/>
                <w:szCs w:val="16"/>
                <w:color w:val="auto"/>
              </w:rPr>
              <w:t>/s/ George Koshy</w:t>
            </w:r>
          </w:p>
        </w:tc>
      </w:tr>
      <w:tr>
        <w:trPr>
          <w:trHeight w:val="188"/>
        </w:trPr>
        <w:tc>
          <w:tcPr>
            <w:tcW w:w="2300" w:type="dxa"/>
            <w:vAlign w:val="bottom"/>
          </w:tcPr>
          <w:p>
            <w:pPr>
              <w:spacing w:after="0"/>
              <w:rPr>
                <w:sz w:val="16"/>
                <w:szCs w:val="16"/>
                <w:color w:val="auto"/>
              </w:rPr>
            </w:pPr>
          </w:p>
        </w:tc>
        <w:tc>
          <w:tcPr>
            <w:tcW w:w="5120" w:type="dxa"/>
            <w:vAlign w:val="bottom"/>
          </w:tcPr>
          <w:p>
            <w:pPr>
              <w:ind w:left="1220"/>
              <w:spacing w:after="0"/>
              <w:rPr>
                <w:sz w:val="20"/>
                <w:szCs w:val="20"/>
                <w:color w:val="auto"/>
              </w:rPr>
            </w:pPr>
            <w:r>
              <w:rPr>
                <w:rFonts w:ascii="Courier New" w:cs="Courier New" w:eastAsia="Courier New" w:hAnsi="Courier New"/>
                <w:sz w:val="16"/>
                <w:szCs w:val="16"/>
                <w:color w:val="auto"/>
              </w:rPr>
              <w:t>----------------------------------------</w:t>
            </w:r>
          </w:p>
        </w:tc>
      </w:tr>
      <w:tr>
        <w:trPr>
          <w:trHeight w:val="188"/>
        </w:trPr>
        <w:tc>
          <w:tcPr>
            <w:tcW w:w="2300" w:type="dxa"/>
            <w:vAlign w:val="bottom"/>
          </w:tcPr>
          <w:p>
            <w:pPr>
              <w:spacing w:after="0"/>
              <w:rPr>
                <w:sz w:val="16"/>
                <w:szCs w:val="16"/>
                <w:color w:val="auto"/>
              </w:rPr>
            </w:pPr>
          </w:p>
        </w:tc>
        <w:tc>
          <w:tcPr>
            <w:tcW w:w="5120" w:type="dxa"/>
            <w:vAlign w:val="bottom"/>
          </w:tcPr>
          <w:p>
            <w:pPr>
              <w:ind w:left="1220"/>
              <w:spacing w:after="0"/>
              <w:rPr>
                <w:sz w:val="20"/>
                <w:szCs w:val="20"/>
                <w:color w:val="auto"/>
              </w:rPr>
            </w:pPr>
            <w:r>
              <w:rPr>
                <w:rFonts w:ascii="Courier New" w:cs="Courier New" w:eastAsia="Courier New" w:hAnsi="Courier New"/>
                <w:sz w:val="16"/>
                <w:szCs w:val="16"/>
                <w:color w:val="auto"/>
              </w:rPr>
              <w:t>Controller and Acting Chief Financial</w:t>
            </w:r>
          </w:p>
        </w:tc>
      </w:tr>
      <w:tr>
        <w:trPr>
          <w:trHeight w:val="188"/>
        </w:trPr>
        <w:tc>
          <w:tcPr>
            <w:tcW w:w="2300" w:type="dxa"/>
            <w:vAlign w:val="bottom"/>
          </w:tcPr>
          <w:p>
            <w:pPr>
              <w:spacing w:after="0"/>
              <w:rPr>
                <w:sz w:val="16"/>
                <w:szCs w:val="16"/>
                <w:color w:val="auto"/>
              </w:rPr>
            </w:pPr>
          </w:p>
        </w:tc>
        <w:tc>
          <w:tcPr>
            <w:tcW w:w="5120" w:type="dxa"/>
            <w:vAlign w:val="bottom"/>
          </w:tcPr>
          <w:p>
            <w:pPr>
              <w:ind w:left="1220"/>
              <w:spacing w:after="0"/>
              <w:rPr>
                <w:sz w:val="20"/>
                <w:szCs w:val="20"/>
                <w:color w:val="auto"/>
              </w:rPr>
            </w:pPr>
            <w:r>
              <w:rPr>
                <w:rFonts w:ascii="Courier New" w:cs="Courier New" w:eastAsia="Courier New" w:hAnsi="Courier New"/>
                <w:sz w:val="16"/>
                <w:szCs w:val="16"/>
                <w:color w:val="auto"/>
              </w:rPr>
              <w:t>Officer (principal financial officer and</w:t>
            </w:r>
          </w:p>
        </w:tc>
      </w:tr>
      <w:tr>
        <w:trPr>
          <w:trHeight w:val="188"/>
        </w:trPr>
        <w:tc>
          <w:tcPr>
            <w:tcW w:w="2300" w:type="dxa"/>
            <w:vAlign w:val="bottom"/>
          </w:tcPr>
          <w:p>
            <w:pPr>
              <w:spacing w:after="0"/>
              <w:rPr>
                <w:sz w:val="16"/>
                <w:szCs w:val="16"/>
                <w:color w:val="auto"/>
              </w:rPr>
            </w:pPr>
          </w:p>
        </w:tc>
        <w:tc>
          <w:tcPr>
            <w:tcW w:w="5120" w:type="dxa"/>
            <w:vAlign w:val="bottom"/>
          </w:tcPr>
          <w:p>
            <w:pPr>
              <w:ind w:left="1220"/>
              <w:spacing w:after="0"/>
              <w:rPr>
                <w:sz w:val="20"/>
                <w:szCs w:val="20"/>
                <w:color w:val="auto"/>
              </w:rPr>
            </w:pPr>
            <w:r>
              <w:rPr>
                <w:rFonts w:ascii="Courier New" w:cs="Courier New" w:eastAsia="Courier New" w:hAnsi="Courier New"/>
                <w:sz w:val="16"/>
                <w:szCs w:val="16"/>
                <w:color w:val="auto"/>
              </w:rPr>
              <w:t>principal accounting officer)</w:t>
            </w:r>
          </w:p>
        </w:tc>
      </w:tr>
    </w:tbl>
    <w:p>
      <w:pPr>
        <w:spacing w:after="0" w:line="1" w:lineRule="exact"/>
        <w:rPr>
          <w:sz w:val="20"/>
          <w:szCs w:val="20"/>
          <w:color w:val="auto"/>
        </w:rPr>
      </w:pPr>
    </w:p>
    <w:sectPr>
      <w:pgSz w:w="11900" w:h="16838" w:orient="portrait"/>
      <w:cols w:equalWidth="0" w:num="1">
        <w:col w:w="10219"/>
      </w:cols>
      <w:pgMar w:left="240" w:top="8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2019-12-13T21:48:32Z</dcterms:created>
  <dcterms:modified xsi:type="dcterms:W3CDTF">2019-12-13T21:48:32Z</dcterms:modified>
</cp:coreProperties>
</file>