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200" w:lineRule="exact"/>
        <w:rPr>
          <w:sz w:val="20"/>
          <w:szCs w:val="20"/>
          <w:color w:val="auto"/>
        </w:rPr>
      </w:pPr>
    </w:p>
    <w:p>
      <w:pPr>
        <w:spacing w:after="0" w:line="378" w:lineRule="exact"/>
        <w:rPr>
          <w:sz w:val="20"/>
          <w:szCs w:val="20"/>
          <w:color w:val="auto"/>
        </w:rPr>
      </w:pPr>
    </w:p>
    <w:p>
      <w:pPr>
        <w:ind w:left="1100" w:right="600" w:hanging="518"/>
        <w:spacing w:after="0" w:line="256" w:lineRule="auto"/>
        <w:tabs>
          <w:tab w:leader="none" w:pos="11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2003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200" w:lineRule="exact"/>
        <w:rPr>
          <w:sz w:val="20"/>
          <w:szCs w:val="20"/>
          <w:color w:val="auto"/>
        </w:rPr>
      </w:pPr>
    </w:p>
    <w:p>
      <w:pPr>
        <w:spacing w:after="0" w:line="243" w:lineRule="exact"/>
        <w:rPr>
          <w:sz w:val="20"/>
          <w:szCs w:val="20"/>
          <w:color w:val="auto"/>
        </w:rPr>
      </w:pPr>
    </w:p>
    <w:p>
      <w:pPr>
        <w:ind w:left="1100" w:right="660" w:hanging="518"/>
        <w:spacing w:after="0" w:line="256"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COMMISSION FILE NUMBER 0-19871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45" w:lineRule="exact"/>
        <w:rPr>
          <w:sz w:val="20"/>
          <w:szCs w:val="20"/>
          <w:color w:val="auto"/>
        </w:rPr>
      </w:pPr>
    </w:p>
    <w:p>
      <w:pPr>
        <w:jc w:val="center"/>
        <w:ind w:left="2160"/>
        <w:spacing w:after="0"/>
        <w:rPr>
          <w:sz w:val="20"/>
          <w:szCs w:val="20"/>
          <w:color w:val="auto"/>
        </w:rPr>
      </w:pPr>
      <w:r>
        <w:rPr>
          <w:rFonts w:ascii="Arial" w:cs="Arial" w:eastAsia="Arial" w:hAnsi="Arial"/>
          <w:sz w:val="22"/>
          <w:szCs w:val="22"/>
          <w:color w:val="auto"/>
        </w:rPr>
        <w:t>DELAWARE</w:t>
      </w:r>
    </w:p>
    <w:p>
      <w:pPr>
        <w:jc w:val="center"/>
        <w:ind w:left="2160"/>
        <w:spacing w:after="0" w:line="238" w:lineRule="auto"/>
        <w:rPr>
          <w:sz w:val="20"/>
          <w:szCs w:val="20"/>
          <w:color w:val="auto"/>
        </w:rPr>
      </w:pPr>
      <w:r>
        <w:rPr>
          <w:rFonts w:ascii="Arial" w:cs="Arial" w:eastAsia="Arial" w:hAnsi="Arial"/>
          <w:sz w:val="22"/>
          <w:szCs w:val="22"/>
          <w:color w:val="auto"/>
        </w:rPr>
        <w:t>(State or other jurisdiction</w:t>
      </w:r>
    </w:p>
    <w:p>
      <w:pPr>
        <w:jc w:val="center"/>
        <w:ind w:left="2160"/>
        <w:spacing w:after="0"/>
        <w:rPr>
          <w:sz w:val="20"/>
          <w:szCs w:val="20"/>
          <w:color w:val="auto"/>
        </w:rPr>
      </w:pPr>
      <w:r>
        <w:rPr>
          <w:rFonts w:ascii="Arial" w:cs="Arial" w:eastAsia="Arial" w:hAnsi="Arial"/>
          <w:sz w:val="19"/>
          <w:szCs w:val="19"/>
          <w:color w:val="auto"/>
        </w:rPr>
        <w:t>of incorporation or organization)</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2180"/>
        <w:spacing w:after="0"/>
        <w:rPr>
          <w:sz w:val="20"/>
          <w:szCs w:val="20"/>
          <w:color w:val="auto"/>
        </w:rPr>
      </w:pPr>
      <w:r>
        <w:rPr>
          <w:rFonts w:ascii="Arial" w:cs="Arial" w:eastAsia="Arial" w:hAnsi="Arial"/>
          <w:sz w:val="22"/>
          <w:szCs w:val="22"/>
          <w:color w:val="auto"/>
        </w:rPr>
        <w:t>94-3078125</w:t>
      </w:r>
    </w:p>
    <w:p>
      <w:pPr>
        <w:spacing w:after="0" w:line="8" w:lineRule="exact"/>
        <w:rPr>
          <w:sz w:val="20"/>
          <w:szCs w:val="20"/>
          <w:color w:val="auto"/>
        </w:rPr>
      </w:pPr>
    </w:p>
    <w:p>
      <w:pPr>
        <w:jc w:val="center"/>
        <w:ind w:right="2180"/>
        <w:spacing w:after="0"/>
        <w:rPr>
          <w:sz w:val="20"/>
          <w:szCs w:val="20"/>
          <w:color w:val="auto"/>
        </w:rPr>
      </w:pPr>
      <w:r>
        <w:rPr>
          <w:rFonts w:ascii="Arial" w:cs="Arial" w:eastAsia="Arial" w:hAnsi="Arial"/>
          <w:sz w:val="19"/>
          <w:szCs w:val="19"/>
          <w:color w:val="auto"/>
        </w:rPr>
        <w:t>(I.R.S. Employer Identification No.)</w:t>
      </w:r>
    </w:p>
    <w:p>
      <w:pPr>
        <w:spacing w:after="0" w:line="443" w:lineRule="exact"/>
        <w:rPr>
          <w:sz w:val="20"/>
          <w:szCs w:val="20"/>
          <w:color w:val="auto"/>
        </w:rPr>
      </w:pPr>
    </w:p>
    <w:p>
      <w:pPr>
        <w:sectPr>
          <w:pgSz w:w="11900" w:h="16838" w:orient="portrait"/>
          <w:cols w:equalWidth="0" w:num="2">
            <w:col w:w="5360" w:space="720"/>
            <w:col w:w="5320"/>
          </w:cols>
          <w:pgMar w:left="240" w:top="122" w:right="259" w:bottom="1440" w:gutter="0" w:footer="0" w:header="0"/>
          <w:type w:val="continuous"/>
        </w:sectPr>
      </w:pPr>
    </w:p>
    <w:p>
      <w:pPr>
        <w:spacing w:after="0" w:line="17"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3155 PORTER DRIVE, PALO ALTO, CA 94304</w:t>
      </w:r>
    </w:p>
    <w:p>
      <w:pPr>
        <w:spacing w:after="0" w:line="212"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(Address of principal offices) (zip code)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 (650) 475 3100</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registered pursuant to Section 12(g) of the Act: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 $.01 PAR VALUE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JUNIOR PREFERRED STOCK PURCHASE RIGHTS</w:t>
      </w:r>
    </w:p>
    <w:p>
      <w:pPr>
        <w:jc w:val="center"/>
        <w:ind w:right="-39"/>
        <w:spacing w:after="0"/>
        <w:rPr>
          <w:sz w:val="20"/>
          <w:szCs w:val="20"/>
          <w:color w:val="auto"/>
        </w:rPr>
      </w:pPr>
      <w:r>
        <w:rPr>
          <w:rFonts w:ascii="Arial" w:cs="Arial" w:eastAsia="Arial" w:hAnsi="Arial"/>
          <w:sz w:val="22"/>
          <w:szCs w:val="22"/>
          <w:color w:val="auto"/>
        </w:rPr>
        <w:t>Title of class</w:t>
      </w:r>
    </w:p>
    <w:p>
      <w:pPr>
        <w:spacing w:after="0" w:line="195" w:lineRule="exact"/>
        <w:rPr>
          <w:sz w:val="20"/>
          <w:szCs w:val="20"/>
          <w:color w:val="auto"/>
        </w:rPr>
      </w:pPr>
    </w:p>
    <w:p>
      <w:pPr>
        <w:ind w:right="1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ind w:right="4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126(2).Yes o No </w:t>
      </w:r>
      <w:r>
        <w:rPr>
          <w:rFonts w:ascii="MS PGothic" w:cs="MS PGothic" w:eastAsia="MS PGothic" w:hAnsi="MS PGothic"/>
          <w:sz w:val="18"/>
          <w:szCs w:val="18"/>
          <w:color w:val="auto"/>
        </w:rPr>
        <w:t>☒</w:t>
      </w:r>
    </w:p>
    <w:p>
      <w:pPr>
        <w:spacing w:after="0" w:line="21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Aggregate market value of Common Stock held by non-affiliates at June 30, 2003: $54,596,198.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525145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DOCUMENTS INCORPORATED BY REFERENCE</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EXPLANATORY NOTE</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PART IV</w:t>
        </w:r>
      </w:hyperlink>
    </w:p>
    <w:p>
      <w:pPr>
        <w:spacing w:after="0" w:line="1" w:lineRule="exact"/>
        <w:rPr>
          <w:sz w:val="20"/>
          <w:szCs w:val="20"/>
          <w:color w:val="auto"/>
        </w:rPr>
      </w:pPr>
    </w:p>
    <w:p>
      <w:pPr>
        <w:spacing w:after="0"/>
        <w:rPr>
          <w:rFonts w:ascii="Arial" w:cs="Arial" w:eastAsia="Arial" w:hAnsi="Arial"/>
          <w:sz w:val="19"/>
          <w:szCs w:val="19"/>
          <w:u w:val="single" w:color="auto"/>
          <w:color w:val="0000EE"/>
        </w:rPr>
      </w:pPr>
      <w:hyperlink w:anchor="page6">
        <w:r>
          <w:rPr>
            <w:rFonts w:ascii="Arial" w:cs="Arial" w:eastAsia="Arial" w:hAnsi="Arial"/>
            <w:sz w:val="19"/>
            <w:szCs w:val="19"/>
            <w:u w:val="single" w:color="auto"/>
            <w:color w:val="0000EE"/>
          </w:rPr>
          <w:t>ITEM 15. EXHIBITS, FINANCIAL STATEMENT SCHEDULES AND REPORTS ON FORM 8-K</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0" w:lineRule="auto"/>
        <w:rPr>
          <w:sz w:val="20"/>
          <w:szCs w:val="20"/>
          <w:color w:val="auto"/>
        </w:rPr>
      </w:pPr>
      <w:r>
        <w:rPr>
          <w:rFonts w:ascii="Arial" w:cs="Arial" w:eastAsia="Arial" w:hAnsi="Arial"/>
          <w:sz w:val="22"/>
          <w:szCs w:val="22"/>
          <w:u w:val="single" w:color="auto"/>
          <w:color w:val="0000EE"/>
        </w:rPr>
        <w:t>EXHIBIT 23.2</w:t>
      </w:r>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0"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 stock outstanding at March 17, 2004: 41,004,834 shares.</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Portions of the registrant’s definitive Proxy Statement relating to the registrant’s 2004 Annual Meeting of Stockholders to be filed with the Commission pursuant to Regulation 14A are incorporated by reference in Part III of this report.</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This Amendment on Form 10-K/A is being filed in order to amend Exhibit 23.2 of StemCells, Inc.’s Annual Report on Form 10-K for the year ended December 31, 2003 (the “Form 10-K”). The Form 10-K as filed with the Securities and Exchange Commission on April 6, 2004, included an incorrect form of the consent of the Company’s independent certified public accountants, which form was provided by such accountants. The attached Exhibit 23.2 hereby is substituted for the form of consent filed on April 6, 2004, as Exhibit 23.2 to the Form 10-K.</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16"/>
                <w:szCs w:val="16"/>
                <w:color w:val="auto"/>
              </w:rPr>
            </w:pPr>
          </w:p>
        </w:tc>
        <w:tc>
          <w:tcPr>
            <w:tcW w:w="7240" w:type="dxa"/>
            <w:vAlign w:val="bottom"/>
          </w:tcPr>
          <w:p>
            <w:pPr>
              <w:jc w:val="right"/>
              <w:ind w:right="2668"/>
              <w:spacing w:after="0"/>
              <w:rPr>
                <w:sz w:val="20"/>
                <w:szCs w:val="20"/>
                <w:color w:val="auto"/>
              </w:rPr>
            </w:pPr>
            <w:r>
              <w:rPr>
                <w:rFonts w:ascii="Arial" w:cs="Arial" w:eastAsia="Arial" w:hAnsi="Arial"/>
                <w:sz w:val="14"/>
                <w:szCs w:val="14"/>
                <w:b w:val="1"/>
                <w:bCs w:val="1"/>
                <w:color w:val="auto"/>
              </w:rPr>
              <w:t>TITLE OR DESCRIPTION</w:t>
            </w:r>
          </w:p>
        </w:tc>
        <w:tc>
          <w:tcPr>
            <w:tcW w:w="1440" w:type="dxa"/>
            <w:vAlign w:val="bottom"/>
          </w:tcPr>
          <w:p>
            <w:pPr>
              <w:spacing w:after="0"/>
              <w:rPr>
                <w:sz w:val="16"/>
                <w:szCs w:val="16"/>
                <w:color w:val="auto"/>
              </w:rPr>
            </w:pPr>
          </w:p>
        </w:tc>
      </w:tr>
      <w:tr>
        <w:trPr>
          <w:trHeight w:val="66"/>
        </w:trPr>
        <w:tc>
          <w:tcPr>
            <w:tcW w:w="144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724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r>
      <w:tr>
        <w:trPr>
          <w:trHeight w:val="263"/>
        </w:trPr>
        <w:tc>
          <w:tcPr>
            <w:tcW w:w="144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23.2</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Consent of Grant Thornton LLP, Independent Certified Public Accountants.</w:t>
            </w:r>
          </w:p>
        </w:tc>
        <w:tc>
          <w:tcPr>
            <w:tcW w:w="1440" w:type="dxa"/>
            <w:vAlign w:val="bottom"/>
          </w:tcPr>
          <w:p>
            <w:pPr>
              <w:spacing w:after="0"/>
              <w:rPr>
                <w:sz w:val="22"/>
                <w:szCs w:val="22"/>
                <w:color w:val="auto"/>
              </w:rPr>
            </w:pPr>
          </w:p>
        </w:tc>
      </w:tr>
      <w:tr>
        <w:trPr>
          <w:trHeight w:val="216"/>
        </w:trPr>
        <w:tc>
          <w:tcPr>
            <w:tcW w:w="14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9"/>
              </w:rPr>
              <w:t>Certification Pursuant to Securities Exchange Act Rule 13(a)-14(a), as Adopted Pursuant to</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Section 302 of the Sarbanes-Oxley Act of 2002 (Martin McGlynn, Chief Executive Officer).</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9"/>
              </w:rPr>
              <w:t>Certification Pursuant to Securities Exchange Act Rule 13(a)-14(a), as Adopted Pursuant to</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5"/>
              </w:rPr>
              <w:t>Section 302 of the Sarbanes-Oxley Act of 2002 (George Koshy, Acting Chief Financial Officer).</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Sarbanes-Oxley Act of 2002 (Martin McGlynn, Chief Executive Officer)</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Sarbanes-Oxley Act of 2002 (George Koshy, Acting Chief Financial Officer)</w:t>
            </w:r>
          </w:p>
        </w:tc>
        <w:tc>
          <w:tcPr>
            <w:tcW w:w="1440" w:type="dxa"/>
            <w:vAlign w:val="bottom"/>
          </w:tcPr>
          <w:p>
            <w:pPr>
              <w:spacing w:after="0"/>
              <w:rPr>
                <w:sz w:val="20"/>
                <w:szCs w:val="20"/>
                <w:color w:val="auto"/>
              </w:rPr>
            </w:pPr>
          </w:p>
        </w:tc>
      </w:tr>
      <w:tr>
        <w:trPr>
          <w:trHeight w:val="405"/>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gridSpan w:val="2"/>
          </w:tcPr>
          <w:p>
            <w:pPr>
              <w:jc w:val="right"/>
              <w:ind w:right="4148"/>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2004</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Signature</w:t>
            </w:r>
          </w:p>
        </w:tc>
        <w:tc>
          <w:tcPr>
            <w:tcW w:w="360" w:type="dxa"/>
            <w:vAlign w:val="bottom"/>
          </w:tcPr>
          <w:p>
            <w:pPr>
              <w:spacing w:after="0"/>
              <w:rPr>
                <w:sz w:val="20"/>
                <w:szCs w:val="20"/>
                <w:color w:val="auto"/>
              </w:rPr>
            </w:pPr>
          </w:p>
        </w:tc>
        <w:tc>
          <w:tcPr>
            <w:tcW w:w="5600" w:type="dxa"/>
            <w:vAlign w:val="bottom"/>
          </w:tcPr>
          <w:p>
            <w:pPr>
              <w:ind w:left="2480"/>
              <w:spacing w:after="0"/>
              <w:rPr>
                <w:sz w:val="20"/>
                <w:szCs w:val="20"/>
                <w:color w:val="auto"/>
              </w:rPr>
            </w:pPr>
            <w:r>
              <w:rPr>
                <w:rFonts w:ascii="Arial" w:cs="Arial" w:eastAsia="Arial" w:hAnsi="Arial"/>
                <w:sz w:val="18"/>
                <w:szCs w:val="18"/>
                <w:color w:val="auto"/>
              </w:rPr>
              <w:t>Capacity</w:t>
            </w:r>
          </w:p>
        </w:tc>
        <w:tc>
          <w:tcPr>
            <w:tcW w:w="320" w:type="dxa"/>
            <w:vAlign w:val="bottom"/>
          </w:tcPr>
          <w:p>
            <w:pPr>
              <w:spacing w:after="0"/>
              <w:rPr>
                <w:sz w:val="20"/>
                <w:szCs w:val="20"/>
                <w:color w:val="auto"/>
              </w:rPr>
            </w:pPr>
          </w:p>
        </w:tc>
        <w:tc>
          <w:tcPr>
            <w:tcW w:w="1480" w:type="dxa"/>
            <w:vAlign w:val="bottom"/>
          </w:tcPr>
          <w:p>
            <w:pPr>
              <w:ind w:left="5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81"/>
        </w:trPr>
        <w:tc>
          <w:tcPr>
            <w:tcW w:w="3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660" w:type="dxa"/>
            <w:vAlign w:val="bottom"/>
          </w:tcPr>
          <w:p>
            <w:pPr>
              <w:jc w:val="center"/>
              <w:spacing w:after="0"/>
              <w:rPr>
                <w:sz w:val="20"/>
                <w:szCs w:val="20"/>
                <w:color w:val="auto"/>
              </w:rPr>
            </w:pPr>
            <w:r>
              <w:rPr>
                <w:rFonts w:ascii="Arial" w:cs="Arial" w:eastAsia="Arial" w:hAnsi="Arial"/>
                <w:sz w:val="18"/>
                <w:szCs w:val="18"/>
                <w:color w:val="auto"/>
                <w:w w:val="97"/>
              </w:rPr>
              <w:t>/s/ MARTIN McGLYNN</w:t>
            </w:r>
          </w:p>
        </w:tc>
        <w:tc>
          <w:tcPr>
            <w:tcW w:w="5960" w:type="dxa"/>
            <w:vAlign w:val="bottom"/>
            <w:gridSpan w:val="2"/>
          </w:tcPr>
          <w:p>
            <w:pPr>
              <w:ind w:left="360"/>
              <w:spacing w:after="0"/>
              <w:rPr>
                <w:sz w:val="20"/>
                <w:szCs w:val="20"/>
                <w:color w:val="auto"/>
              </w:rPr>
            </w:pPr>
            <w:r>
              <w:rPr>
                <w:rFonts w:ascii="Arial" w:cs="Arial" w:eastAsia="Arial" w:hAnsi="Arial"/>
                <w:sz w:val="18"/>
                <w:szCs w:val="18"/>
                <w:color w:val="auto"/>
              </w:rPr>
              <w:t>President and Chief Executive Officer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rPr>
              <w:t>April 12, 2004</w:t>
            </w:r>
          </w:p>
        </w:tc>
        <w:tc>
          <w:tcPr>
            <w:tcW w:w="0" w:type="dxa"/>
            <w:vAlign w:val="bottom"/>
          </w:tcPr>
          <w:p>
            <w:pPr>
              <w:spacing w:after="0"/>
              <w:rPr>
                <w:sz w:val="1"/>
                <w:szCs w:val="1"/>
                <w:color w:val="auto"/>
              </w:rPr>
            </w:pPr>
          </w:p>
        </w:tc>
      </w:tr>
      <w:tr>
        <w:trPr>
          <w:trHeight w:val="95"/>
        </w:trPr>
        <w:tc>
          <w:tcPr>
            <w:tcW w:w="3660" w:type="dxa"/>
            <w:vAlign w:val="bottom"/>
            <w:tcBorders>
              <w:bottom w:val="single" w:sz="8" w:color="808080"/>
            </w:tcBorders>
          </w:tcPr>
          <w:p>
            <w:pPr>
              <w:spacing w:after="0"/>
              <w:rPr>
                <w:sz w:val="8"/>
                <w:szCs w:val="8"/>
                <w:color w:val="auto"/>
              </w:rPr>
            </w:pPr>
          </w:p>
        </w:tc>
        <w:tc>
          <w:tcPr>
            <w:tcW w:w="5960" w:type="dxa"/>
            <w:vAlign w:val="bottom"/>
            <w:gridSpan w:val="2"/>
            <w:vMerge w:val="restart"/>
          </w:tcPr>
          <w:p>
            <w:pPr>
              <w:ind w:left="360"/>
              <w:spacing w:after="0"/>
              <w:rPr>
                <w:sz w:val="20"/>
                <w:szCs w:val="20"/>
                <w:color w:val="auto"/>
              </w:rPr>
            </w:pPr>
            <w:r>
              <w:rPr>
                <w:rFonts w:ascii="Arial" w:cs="Arial" w:eastAsia="Arial" w:hAnsi="Arial"/>
                <w:sz w:val="18"/>
                <w:szCs w:val="18"/>
                <w:color w:val="auto"/>
              </w:rPr>
              <w:t>and Director (principal executive officer)</w:t>
            </w: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8"/>
              </w:rPr>
              <w:t>Martin McGlynn</w:t>
            </w:r>
          </w:p>
        </w:tc>
        <w:tc>
          <w:tcPr>
            <w:tcW w:w="59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3"/>
              </w:rPr>
              <w:t>/s/ GEORGE KOSHY</w:t>
            </w:r>
          </w:p>
        </w:tc>
        <w:tc>
          <w:tcPr>
            <w:tcW w:w="5960" w:type="dxa"/>
            <w:vAlign w:val="bottom"/>
            <w:gridSpan w:val="2"/>
          </w:tcPr>
          <w:p>
            <w:pPr>
              <w:ind w:left="360"/>
              <w:spacing w:after="0"/>
              <w:rPr>
                <w:sz w:val="20"/>
                <w:szCs w:val="20"/>
                <w:color w:val="auto"/>
              </w:rPr>
            </w:pPr>
            <w:r>
              <w:rPr>
                <w:rFonts w:ascii="Arial" w:cs="Arial" w:eastAsia="Arial" w:hAnsi="Arial"/>
                <w:sz w:val="18"/>
                <w:szCs w:val="18"/>
                <w:color w:val="auto"/>
              </w:rPr>
              <w:t>Controller and Acting Chief Financial</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rPr>
              <w:t>April 12, 2004</w:t>
            </w:r>
          </w:p>
        </w:tc>
        <w:tc>
          <w:tcPr>
            <w:tcW w:w="0" w:type="dxa"/>
            <w:vAlign w:val="bottom"/>
          </w:tcPr>
          <w:p>
            <w:pPr>
              <w:spacing w:after="0"/>
              <w:rPr>
                <w:sz w:val="1"/>
                <w:szCs w:val="1"/>
                <w:color w:val="auto"/>
              </w:rPr>
            </w:pPr>
          </w:p>
        </w:tc>
      </w:tr>
      <w:tr>
        <w:trPr>
          <w:trHeight w:val="95"/>
        </w:trPr>
        <w:tc>
          <w:tcPr>
            <w:tcW w:w="3660" w:type="dxa"/>
            <w:vAlign w:val="bottom"/>
            <w:tcBorders>
              <w:bottom w:val="single" w:sz="8" w:color="808080"/>
            </w:tcBorders>
          </w:tcPr>
          <w:p>
            <w:pPr>
              <w:spacing w:after="0"/>
              <w:rPr>
                <w:sz w:val="8"/>
                <w:szCs w:val="8"/>
                <w:color w:val="auto"/>
              </w:rPr>
            </w:pPr>
          </w:p>
        </w:tc>
        <w:tc>
          <w:tcPr>
            <w:tcW w:w="5960" w:type="dxa"/>
            <w:vAlign w:val="bottom"/>
            <w:gridSpan w:val="2"/>
            <w:vMerge w:val="restart"/>
          </w:tcPr>
          <w:p>
            <w:pPr>
              <w:ind w:left="360"/>
              <w:spacing w:after="0"/>
              <w:rPr>
                <w:sz w:val="20"/>
                <w:szCs w:val="20"/>
                <w:color w:val="auto"/>
              </w:rPr>
            </w:pPr>
            <w:r>
              <w:rPr>
                <w:rFonts w:ascii="Arial" w:cs="Arial" w:eastAsia="Arial" w:hAnsi="Arial"/>
                <w:sz w:val="18"/>
                <w:szCs w:val="18"/>
                <w:color w:val="auto"/>
              </w:rPr>
              <w:t>Officer (principal accounting officer)</w:t>
            </w: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0"/>
              </w:rPr>
              <w:t>George Koshy</w:t>
            </w:r>
          </w:p>
        </w:tc>
        <w:tc>
          <w:tcPr>
            <w:tcW w:w="59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/s/ ERIC BJERKHOLT</w:t>
            </w:r>
          </w:p>
        </w:tc>
        <w:tc>
          <w:tcPr>
            <w:tcW w:w="59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rPr>
              <w:t>April 12, 2004</w:t>
            </w:r>
          </w:p>
        </w:tc>
        <w:tc>
          <w:tcPr>
            <w:tcW w:w="0" w:type="dxa"/>
            <w:vAlign w:val="bottom"/>
          </w:tcPr>
          <w:p>
            <w:pPr>
              <w:spacing w:after="0"/>
              <w:rPr>
                <w:sz w:val="1"/>
                <w:szCs w:val="1"/>
                <w:color w:val="auto"/>
              </w:rPr>
            </w:pPr>
          </w:p>
        </w:tc>
      </w:tr>
      <w:tr>
        <w:trPr>
          <w:trHeight w:val="81"/>
        </w:trPr>
        <w:tc>
          <w:tcPr>
            <w:tcW w:w="3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660" w:type="dxa"/>
            <w:vAlign w:val="bottom"/>
          </w:tcPr>
          <w:p>
            <w:pPr>
              <w:jc w:val="center"/>
              <w:spacing w:after="0"/>
              <w:rPr>
                <w:sz w:val="20"/>
                <w:szCs w:val="20"/>
                <w:color w:val="auto"/>
              </w:rPr>
            </w:pPr>
            <w:r>
              <w:rPr>
                <w:rFonts w:ascii="Arial" w:cs="Arial" w:eastAsia="Arial" w:hAnsi="Arial"/>
                <w:sz w:val="18"/>
                <w:szCs w:val="18"/>
                <w:color w:val="auto"/>
                <w:w w:val="98"/>
              </w:rPr>
              <w:t>Eric Bjerkholt</w:t>
            </w:r>
          </w:p>
        </w:tc>
        <w:tc>
          <w:tcPr>
            <w:tcW w:w="3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6"/>
              </w:rPr>
              <w:t>/s/ RICARDO B. LEVY PH.D.</w:t>
            </w:r>
          </w:p>
        </w:tc>
        <w:tc>
          <w:tcPr>
            <w:tcW w:w="59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rPr>
              <w:t>April 12, 2004</w:t>
            </w:r>
          </w:p>
        </w:tc>
        <w:tc>
          <w:tcPr>
            <w:tcW w:w="0" w:type="dxa"/>
            <w:vAlign w:val="bottom"/>
          </w:tcPr>
          <w:p>
            <w:pPr>
              <w:spacing w:after="0"/>
              <w:rPr>
                <w:sz w:val="1"/>
                <w:szCs w:val="1"/>
                <w:color w:val="auto"/>
              </w:rPr>
            </w:pPr>
          </w:p>
        </w:tc>
      </w:tr>
      <w:tr>
        <w:trPr>
          <w:trHeight w:val="81"/>
        </w:trPr>
        <w:tc>
          <w:tcPr>
            <w:tcW w:w="3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Ricardo B. Levy, Ph.D.</w:t>
            </w:r>
          </w:p>
        </w:tc>
        <w:tc>
          <w:tcPr>
            <w:tcW w:w="3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5"/>
              </w:rPr>
              <w:t>/s/ ROGER PERLMUTTER, M.D.</w:t>
            </w:r>
          </w:p>
        </w:tc>
        <w:tc>
          <w:tcPr>
            <w:tcW w:w="59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rPr>
              <w:t>April 12, 2004</w:t>
            </w:r>
          </w:p>
        </w:tc>
        <w:tc>
          <w:tcPr>
            <w:tcW w:w="0" w:type="dxa"/>
            <w:vAlign w:val="bottom"/>
          </w:tcPr>
          <w:p>
            <w:pPr>
              <w:spacing w:after="0"/>
              <w:rPr>
                <w:sz w:val="1"/>
                <w:szCs w:val="1"/>
                <w:color w:val="auto"/>
              </w:rPr>
            </w:pPr>
          </w:p>
        </w:tc>
      </w:tr>
      <w:tr>
        <w:trPr>
          <w:trHeight w:val="81"/>
        </w:trPr>
        <w:tc>
          <w:tcPr>
            <w:tcW w:w="3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Roger Perlmutter, M.D.</w:t>
            </w:r>
          </w:p>
        </w:tc>
        <w:tc>
          <w:tcPr>
            <w:tcW w:w="3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JOHN J. SCHWARTZ, PH.D.</w:t>
            </w:r>
          </w:p>
        </w:tc>
        <w:tc>
          <w:tcPr>
            <w:tcW w:w="5960" w:type="dxa"/>
            <w:vAlign w:val="bottom"/>
            <w:gridSpan w:val="2"/>
          </w:tcPr>
          <w:p>
            <w:pPr>
              <w:ind w:left="360"/>
              <w:spacing w:after="0"/>
              <w:rPr>
                <w:sz w:val="20"/>
                <w:szCs w:val="20"/>
                <w:color w:val="auto"/>
              </w:rPr>
            </w:pPr>
            <w:r>
              <w:rPr>
                <w:rFonts w:ascii="Arial" w:cs="Arial" w:eastAsia="Arial" w:hAnsi="Arial"/>
                <w:sz w:val="18"/>
                <w:szCs w:val="18"/>
                <w:color w:val="auto"/>
              </w:rPr>
              <w:t>Director, Chairman of the Board</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rPr>
              <w:t>April 12, 2004</w:t>
            </w:r>
          </w:p>
        </w:tc>
        <w:tc>
          <w:tcPr>
            <w:tcW w:w="0" w:type="dxa"/>
            <w:vAlign w:val="bottom"/>
          </w:tcPr>
          <w:p>
            <w:pPr>
              <w:spacing w:after="0"/>
              <w:rPr>
                <w:sz w:val="1"/>
                <w:szCs w:val="1"/>
                <w:color w:val="auto"/>
              </w:rPr>
            </w:pPr>
          </w:p>
        </w:tc>
      </w:tr>
      <w:tr>
        <w:trPr>
          <w:trHeight w:val="81"/>
        </w:trPr>
        <w:tc>
          <w:tcPr>
            <w:tcW w:w="3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John J. Schwartz, Ph.D</w:t>
            </w:r>
          </w:p>
        </w:tc>
        <w:tc>
          <w:tcPr>
            <w:tcW w:w="3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8"/>
              </w:rPr>
              <w:t>/s/ IRVING L. WEISSMAN, M.D.</w:t>
            </w:r>
          </w:p>
        </w:tc>
        <w:tc>
          <w:tcPr>
            <w:tcW w:w="59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320"/>
              <w:spacing w:after="0"/>
              <w:rPr>
                <w:sz w:val="20"/>
                <w:szCs w:val="20"/>
                <w:color w:val="auto"/>
              </w:rPr>
            </w:pPr>
            <w:r>
              <w:rPr>
                <w:rFonts w:ascii="Arial" w:cs="Arial" w:eastAsia="Arial" w:hAnsi="Arial"/>
                <w:sz w:val="18"/>
                <w:szCs w:val="18"/>
                <w:color w:val="auto"/>
              </w:rPr>
              <w:t>April 12, 2004</w:t>
            </w:r>
          </w:p>
        </w:tc>
        <w:tc>
          <w:tcPr>
            <w:tcW w:w="0" w:type="dxa"/>
            <w:vAlign w:val="bottom"/>
          </w:tcPr>
          <w:p>
            <w:pPr>
              <w:spacing w:after="0"/>
              <w:rPr>
                <w:sz w:val="1"/>
                <w:szCs w:val="1"/>
                <w:color w:val="auto"/>
              </w:rPr>
            </w:pPr>
          </w:p>
        </w:tc>
      </w:tr>
      <w:tr>
        <w:trPr>
          <w:trHeight w:val="81"/>
        </w:trPr>
        <w:tc>
          <w:tcPr>
            <w:tcW w:w="3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Irving L. Weissman, M.D.</w:t>
            </w:r>
          </w:p>
        </w:tc>
        <w:tc>
          <w:tcPr>
            <w:tcW w:w="3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60" w:type="dxa"/>
            <w:vAlign w:val="bottom"/>
          </w:tcPr>
          <w:p>
            <w:pPr>
              <w:spacing w:after="0"/>
              <w:rPr>
                <w:sz w:val="24"/>
                <w:szCs w:val="24"/>
                <w:color w:val="auto"/>
              </w:rPr>
            </w:pPr>
          </w:p>
        </w:tc>
        <w:tc>
          <w:tcPr>
            <w:tcW w:w="5960" w:type="dxa"/>
            <w:vAlign w:val="bottom"/>
            <w:gridSpan w:val="2"/>
          </w:tcPr>
          <w:p>
            <w:pPr>
              <w:ind w:left="20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16"/>
                <w:szCs w:val="16"/>
                <w:color w:val="auto"/>
              </w:rPr>
            </w:pPr>
          </w:p>
        </w:tc>
        <w:tc>
          <w:tcPr>
            <w:tcW w:w="7240" w:type="dxa"/>
            <w:vAlign w:val="bottom"/>
          </w:tcPr>
          <w:p>
            <w:pPr>
              <w:jc w:val="right"/>
              <w:ind w:right="2668"/>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90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7240" w:type="dxa"/>
            <w:vAlign w:val="bottom"/>
            <w:tcBorders>
              <w:bottom w:val="single" w:sz="8" w:color="808080"/>
            </w:tcBorders>
          </w:tcPr>
          <w:p>
            <w:pPr>
              <w:spacing w:after="0"/>
              <w:rPr>
                <w:sz w:val="5"/>
                <w:szCs w:val="5"/>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23.2</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Consent of Grant Thornton LLP, Independent Certified Public Accountants.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9"/>
              </w:rPr>
              <w:t>Certification Pursuant to Securities Exchange Act Rule 13(a)-14(a), as Adopted Pursuant to</w:t>
            </w:r>
          </w:p>
        </w:tc>
      </w:tr>
      <w:tr>
        <w:trPr>
          <w:trHeight w:val="216"/>
        </w:trPr>
        <w:tc>
          <w:tcPr>
            <w:tcW w:w="900" w:type="dxa"/>
            <w:vAlign w:val="bottom"/>
          </w:tcPr>
          <w:p>
            <w:pPr>
              <w:spacing w:after="0"/>
              <w:rPr>
                <w:sz w:val="18"/>
                <w:szCs w:val="18"/>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Section 302 of the Sarbanes-Oxley Act of 2002 (Martin McGlynn, Chief Executive Officer).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9"/>
              </w:rPr>
              <w:t>Certification Pursuant to Securities Exchange Act Rule 13(a)-14(a), as Adopted Pursuant to</w:t>
            </w:r>
          </w:p>
        </w:tc>
      </w:tr>
      <w:tr>
        <w:trPr>
          <w:trHeight w:val="216"/>
        </w:trPr>
        <w:tc>
          <w:tcPr>
            <w:tcW w:w="900" w:type="dxa"/>
            <w:vAlign w:val="bottom"/>
          </w:tcPr>
          <w:p>
            <w:pPr>
              <w:spacing w:after="0"/>
              <w:rPr>
                <w:sz w:val="18"/>
                <w:szCs w:val="18"/>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5"/>
              </w:rPr>
              <w:t>Section 302 of the Sarbanes-Oxley Act of 2002 (George Koshy, Acting Chief Financial Officer).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w:t>
            </w:r>
          </w:p>
        </w:tc>
      </w:tr>
      <w:tr>
        <w:trPr>
          <w:trHeight w:val="216"/>
        </w:trPr>
        <w:tc>
          <w:tcPr>
            <w:tcW w:w="900" w:type="dxa"/>
            <w:vAlign w:val="bottom"/>
          </w:tcPr>
          <w:p>
            <w:pPr>
              <w:spacing w:after="0"/>
              <w:rPr>
                <w:sz w:val="18"/>
                <w:szCs w:val="18"/>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Sarbanes-Oxley Act of 2002 (Martin McGlynn, Chief Executive Officer)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w:t>
            </w:r>
          </w:p>
        </w:tc>
      </w:tr>
      <w:tr>
        <w:trPr>
          <w:trHeight w:val="230"/>
        </w:trPr>
        <w:tc>
          <w:tcPr>
            <w:tcW w:w="900" w:type="dxa"/>
            <w:vAlign w:val="bottom"/>
          </w:tcPr>
          <w:p>
            <w:pPr>
              <w:spacing w:after="0"/>
              <w:rPr>
                <w:sz w:val="20"/>
                <w:szCs w:val="20"/>
                <w:color w:val="auto"/>
              </w:rPr>
            </w:pPr>
          </w:p>
        </w:tc>
        <w:tc>
          <w:tcPr>
            <w:tcW w:w="7640" w:type="dxa"/>
            <w:vAlign w:val="bottom"/>
            <w:gridSpan w:val="2"/>
          </w:tcPr>
          <w:p>
            <w:pPr>
              <w:ind w:left="400"/>
              <w:spacing w:after="0"/>
              <w:rPr>
                <w:sz w:val="20"/>
                <w:szCs w:val="20"/>
                <w:color w:val="auto"/>
              </w:rPr>
            </w:pPr>
            <w:r>
              <w:rPr>
                <w:rFonts w:ascii="Arial" w:cs="Arial" w:eastAsia="Arial" w:hAnsi="Arial"/>
                <w:sz w:val="18"/>
                <w:szCs w:val="18"/>
                <w:color w:val="auto"/>
              </w:rPr>
              <w:t>Sarbanes-Oxley Act of 2002 (George Koshy, Acting Chief Financial Officer)</w:t>
            </w:r>
          </w:p>
        </w:tc>
      </w:tr>
      <w:tr>
        <w:trPr>
          <w:trHeight w:val="405"/>
        </w:trPr>
        <w:tc>
          <w:tcPr>
            <w:tcW w:w="900" w:type="dxa"/>
            <w:vAlign w:val="bottom"/>
          </w:tcPr>
          <w:p>
            <w:pPr>
              <w:spacing w:after="0"/>
              <w:rPr>
                <w:sz w:val="24"/>
                <w:szCs w:val="24"/>
                <w:color w:val="auto"/>
              </w:rPr>
            </w:pPr>
          </w:p>
        </w:tc>
        <w:tc>
          <w:tcPr>
            <w:tcW w:w="7640" w:type="dxa"/>
            <w:vAlign w:val="bottom"/>
            <w:gridSpan w:val="2"/>
          </w:tcPr>
          <w:p>
            <w:pPr>
              <w:jc w:val="right"/>
              <w:ind w:right="4148"/>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219"/>
          </w:cols>
          <w:pgMar w:left="240" w:top="419"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EXHIBIT 23.2</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CONSENT OF GRANT THORNTON LLP, INDEPENDENT CERTIFIED PUBLIC ACCOUNTANTS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issued our report dated March 26, 2004, accompanying the consolidated financial statements included in the Annual Report of StemCells, Inc. on Form 10-K for the year ended December 31, 2003. We hereby consent to the incorporation by reference of said report in the Registration statements of StemCells, Inc. on Forms S-3 (File No. 333-105664, effective May 29, 2003, File No. 333-83992, effective March 8, 2002, File No. 333-75806, effective December 21, 2001, File No. 333-66692, effective August 3, 2001, and File No. 333-61726, effective June 29, 2001) and Forms S-8 (File No. 333-66700, effective August 3, 2001, File No. 333-37313, effective October 7, 1997, File No. 333-29335, effective June 16, 1997, File No. 333-10773, effective August 23, 1996, and File No. 33-49524, effective July 10, 1992) and Registration statements of CytoTherapeutics, Inc. on Forms S-3 (File No. 33-91228, effective April 14, 1995, and File No. 33-68900, effective September 15, 1993).</w:t>
      </w:r>
    </w:p>
    <w:p>
      <w:pPr>
        <w:spacing w:after="0" w:line="38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Grant Thornton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238" w:lineRule="auto"/>
        <w:rPr>
          <w:sz w:val="20"/>
          <w:szCs w:val="20"/>
          <w:color w:val="auto"/>
        </w:rPr>
      </w:pPr>
      <w:r>
        <w:rPr>
          <w:rFonts w:ascii="Courier New" w:cs="Courier New" w:eastAsia="Courier New" w:hAnsi="Courier New"/>
          <w:sz w:val="18"/>
          <w:szCs w:val="18"/>
          <w:color w:val="auto"/>
        </w:rPr>
        <w:t>April 5, 2004</w:t>
      </w:r>
    </w:p>
    <w:p>
      <w:pPr>
        <w:sectPr>
          <w:pgSz w:w="11900" w:h="16838" w:orient="portrait"/>
          <w:cols w:equalWidth="0" w:num="1">
            <w:col w:w="10219"/>
          </w:cols>
          <w:pgMar w:left="240" w:top="344"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000"/>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7"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10-K/A of StemCells, Inc.;</w:t>
      </w:r>
    </w:p>
    <w:p>
      <w:pPr>
        <w:spacing w:after="0" w:line="223"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580" w:right="209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12,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339"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George Koshy, certify that:</w:t>
      </w:r>
    </w:p>
    <w:p>
      <w:pPr>
        <w:spacing w:after="0" w:line="207"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10-K/A of StemCells, Inc.;</w:t>
      </w:r>
    </w:p>
    <w:p>
      <w:pPr>
        <w:spacing w:after="0" w:line="223"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580" w:right="209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 b. 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12,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339"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10-K/A for the year ending December 31, 2003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(1). The Report fully complies with the requirements of Section 13(a) or 15(d) of the Securities Exchange Act of 1934, as amended; and</w:t>
      </w:r>
    </w:p>
    <w:p>
      <w:pPr>
        <w:spacing w:after="0" w:line="208"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(2). 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12,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339"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10-K/A for the year ending December 31, 2003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(1). The Report fully complies with the requirements of Section 13(a) or 15(d) of the Securities Exchange Act of 1934, as amended; and</w:t>
      </w:r>
    </w:p>
    <w:p>
      <w:pPr>
        <w:spacing w:after="0" w:line="208"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(2). 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12,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2019-12-13T21:46:58Z</dcterms:created>
  <dcterms:modified xsi:type="dcterms:W3CDTF">2019-12-13T21:46:58Z</dcterms:modified>
</cp:coreProperties>
</file>