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September 2, 2022</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MICROBOT MEDICAL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780" w:type="dxa"/>
        <w:tblCellMar>
          <w:top w:w="0" w:type="dxa"/>
          <w:left w:w="0" w:type="dxa"/>
          <w:bottom w:w="0" w:type="dxa"/>
          <w:right w:w="0" w:type="dxa"/>
        </w:tblCellMar>
      </w:tblP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000-19871</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94-3078125</w:t>
            </w:r>
          </w:p>
        </w:tc>
      </w:t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2160" w:type="dxa"/>
            <w:vAlign w:val="bottom"/>
          </w:tcPr>
          <w:p>
            <w:pPr>
              <w:spacing w:after="0"/>
              <w:rPr>
                <w:sz w:val="24"/>
                <w:szCs w:val="24"/>
                <w:color w:val="auto"/>
              </w:rPr>
            </w:pP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25 Recreation Park Drive, Unit 108</w:t>
            </w:r>
          </w:p>
        </w:tc>
        <w:tc>
          <w:tcPr>
            <w:tcW w:w="1660" w:type="dxa"/>
            <w:vAlign w:val="bottom"/>
          </w:tcPr>
          <w:p>
            <w:pPr>
              <w:spacing w:after="0"/>
              <w:rPr>
                <w:sz w:val="24"/>
                <w:szCs w:val="24"/>
                <w:color w:val="auto"/>
              </w:rPr>
            </w:pPr>
          </w:p>
        </w:tc>
      </w:tr>
      <w:tr>
        <w:trPr>
          <w:trHeight w:val="216"/>
        </w:trPr>
        <w:tc>
          <w:tcPr>
            <w:tcW w:w="2160" w:type="dxa"/>
            <w:vAlign w:val="bottom"/>
          </w:tcPr>
          <w:p>
            <w:pPr>
              <w:spacing w:after="0"/>
              <w:rPr>
                <w:sz w:val="18"/>
                <w:szCs w:val="18"/>
                <w:color w:val="auto"/>
              </w:rPr>
            </w:pP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Hingham, Massachusetts 02043</w:t>
            </w:r>
          </w:p>
        </w:tc>
        <w:tc>
          <w:tcPr>
            <w:tcW w:w="1660" w:type="dxa"/>
            <w:vAlign w:val="bottom"/>
          </w:tcPr>
          <w:p>
            <w:pPr>
              <w:spacing w:after="0"/>
              <w:rPr>
                <w:sz w:val="18"/>
                <w:szCs w:val="18"/>
                <w:color w:val="auto"/>
              </w:rPr>
            </w:pPr>
          </w:p>
        </w:tc>
      </w:tr>
      <w:tr>
        <w:trPr>
          <w:trHeight w:val="238"/>
        </w:trPr>
        <w:tc>
          <w:tcPr>
            <w:tcW w:w="2160" w:type="dxa"/>
            <w:vAlign w:val="bottom"/>
          </w:tcPr>
          <w:p>
            <w:pPr>
              <w:spacing w:after="0"/>
              <w:rPr>
                <w:sz w:val="20"/>
                <w:szCs w:val="20"/>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(Zip Code)</w:t>
            </w:r>
          </w:p>
        </w:tc>
        <w:tc>
          <w:tcPr>
            <w:tcW w:w="166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(781) 875-3605</w:t>
            </w:r>
          </w:p>
        </w:tc>
        <w:tc>
          <w:tcPr>
            <w:tcW w:w="1660" w:type="dxa"/>
            <w:vAlign w:val="bottom"/>
          </w:tcPr>
          <w:p>
            <w:pPr>
              <w:spacing w:after="0"/>
              <w:rPr>
                <w:sz w:val="24"/>
                <w:szCs w:val="24"/>
                <w:color w:val="auto"/>
              </w:rPr>
            </w:pPr>
          </w:p>
        </w:tc>
      </w:tr>
    </w:tbl>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2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6"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240" w:type="dxa"/>
            <w:vAlign w:val="bottom"/>
          </w:tcPr>
          <w:p>
            <w:pPr>
              <w:spacing w:after="0"/>
              <w:rPr>
                <w:sz w:val="20"/>
                <w:szCs w:val="20"/>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MBOT</w:t>
            </w:r>
          </w:p>
        </w:tc>
        <w:tc>
          <w:tcPr>
            <w:tcW w:w="220" w:type="dxa"/>
            <w:vAlign w:val="bottom"/>
          </w:tcPr>
          <w:p>
            <w:pPr>
              <w:spacing w:after="0"/>
              <w:rPr>
                <w:sz w:val="20"/>
                <w:szCs w:val="20"/>
                <w:color w:val="auto"/>
              </w:rPr>
            </w:pPr>
          </w:p>
        </w:tc>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476885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September 2, 2022, Microbot Medical Inc. (the “Company”) issued a press release to announce, as part of the preparation for its anticipated U.S. Food and Drug Administration (FDA) and CE Mark submissions, that it recently shipped multiple LIBERTY Robotic System devices to a market-leading research laboratory to conduct the Company’s GLP pre-clinical trial. The comprehensive trial, which is anticipated to commence later this month, will be performed by a team of global leaders in the endovascular space at a state-of-the-art, lab with FDA approved levels of planning, controlling, monitoring and reporting (GLP standards).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press release, which is furnished as Exhibit 99.1 to this Current Report on Form 8-K, is incorporated herein by reference. The information in this report (including Exhibit 99.1) is being furnished pursuant to Item 7.01 and shall not be deemed to be “filed” for the purposes of Section 18 of the Securities Exchange Act of 1934, as amended, or otherwise subject to the liabilities of that section. This report will not be deemed an admission as to the materiality of any information herein (including Exhibit 99.1).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Number</w:t>
      </w:r>
      <w:r>
        <w:rPr>
          <w:rFonts w:ascii="Times New Roman" w:cs="Times New Roman" w:eastAsia="Times New Roman" w:hAnsi="Times New Roman"/>
          <w:sz w:val="18"/>
          <w:szCs w:val="18"/>
          <w:b w:val="1"/>
          <w:bCs w:val="1"/>
          <w:color w:val="auto"/>
        </w:rPr>
        <w:t xml:space="preserve">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5715</wp:posOffset>
            </wp:positionV>
            <wp:extent cx="664337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43370" cy="17145"/>
                    </a:xfrm>
                    <a:prstGeom prst="rect">
                      <a:avLst/>
                    </a:prstGeom>
                    <a:noFill/>
                  </pic:spPr>
                </pic:pic>
              </a:graphicData>
            </a:graphic>
          </wp:anchor>
        </w:drawing>
      </w:r>
    </w:p>
    <w:p>
      <w:pPr>
        <w:spacing w:after="0" w:line="214"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w:t>
      </w:r>
    </w:p>
    <w:p>
      <w:pPr>
        <w:spacing w:after="0" w:line="27"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Harel Gadot</w:t>
      </w:r>
    </w:p>
    <w:p>
      <w:pPr>
        <w:spacing w:after="0" w:line="36"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President and Chairman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2,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 w:name="page4"/>
    <w:bookmarkEnd w:id="3"/>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2611120</wp:posOffset>
            </wp:positionH>
            <wp:positionV relativeFrom="paragraph">
              <wp:posOffset>164465</wp:posOffset>
            </wp:positionV>
            <wp:extent cx="1928495" cy="7454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928495" cy="745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Microbot Medical Confirms GLP Pre-Clinical Trial is on Track to Commence Later this Month</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HINGHAM, Mass., September 2, 2022 </w:t>
      </w:r>
      <w:r>
        <w:rPr>
          <w:rFonts w:ascii="Times New Roman" w:cs="Times New Roman" w:eastAsia="Times New Roman" w:hAnsi="Times New Roman"/>
          <w:sz w:val="18"/>
          <w:szCs w:val="18"/>
          <w:color w:val="auto"/>
        </w:rPr>
        <w:t>–Microbot Medical Inc. (Nasdaq: MBOT) announced, as part of the preparation for its anticipated U.S. Food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Drug Administration (FDA) and CE Mark submissions, that it recently shipped multiple LIBERTY Robotic System devices to a market-leading research laboratory to conduct the Company’s GLP pre-clinical trial. The comprehensive trial, which is anticipated to commence later this month, will be performed by a team of global leaders in the endovascular space at a state-of-the-art lab with FDA approved levels of planning, controlling, monitoring and reporting (GLP standards).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very excited to commence the first step of our regulatory process leading to the anticipated clearances for our LIBERTY® Robotic system,” commented Harel Gadot, Chairman, CEO and President. “We are confident the collaboration with a world-leading research institute, coupled with the Key Opinion Leaders performing the study, will allow us to progress as planned.”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expects the results of the GLP pre-clinical trial will further validate the successful outcomes from multiple prior animal feasibility studies performed.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Microbot Medical Inc.</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Microbot Medical Inc. (NASDAQ: MBOT) is a pre-clinical medical device company that specializes in transformational micro-robotic technologies, focused primarily on both natural and artificial lumens within the human body. Microbot’s current proprietary technological platforms provide the foundation for the development of a Multi Generation Pipeline Portfolio (MGPP).</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Microbot Medical was founded in 2010 by Harel Gadot, Prof. Moshe Shoham, and Yossi Bornstein with the goals of improving clinical outcomes for patients and increasing accessibility through the use of micro-robotic technologies. Further information about Microbot Medical is available at http://www.microbotmedical.com.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w:t>
      </w:r>
    </w:p>
    <w:p>
      <w:pPr>
        <w:spacing w:after="0" w:line="22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Statements as to future financial and/or operating results, future growth in research, technology, clinical development, and potential opportunities for Microbot Medical Inc. and its subsidiaries, along with other statements about the future expectations, beliefs, goals, plans, or prospects expressed by management, constitute forward-looking statements within the meaning of the Private Securities Litigation Reform Act of 1995 and the Federal securities laws. Any statements that are not historical fact (including, but not limited to statements that contain words such as “will,” “believes,” “plans,” “anticipates,” “expects” and “estimates”) should also be considered to be forward-looking statements. Forward-looking statements involve risks and uncertainties, including, without limitation, market conditions, risks inherent in the development and/or commercialization of potential products, including LIBERTY and SCS, the outcome of its studies to evaluate LIBERTY, SCS and other existing and future technologies, any failure or inability to recruit physicians and clinicians to serve as primary investigators to conduct the SCS’s EFS which could adversely affect or delay the EFS, uncertainty in the results of pre-clinical and clinical trials or regulatory pathways and regulatory approvals, uncertainty resulting from the COVID-19 pandemic, need and ability to obtain future capital, and maintenance of intellectual property rights. Additional information on risks facing Microbot Medical can be found under the heading “Risk Factors” in Microbot Medical’s periodic reports filed with the Securities and Exchange Commission (SEC), which are available on the SEC’s web site at www.sec.gov. Microbot Medical disclaims any intent or obligation to update these forward-looking statements, except as required by law.</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Polyviou</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EVC Group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mpolyviou@evcgroup.com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732-933-2754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2022-09-02T06:02:46Z</dcterms:created>
  <dcterms:modified xsi:type="dcterms:W3CDTF">2022-09-02T06:02:46Z</dcterms:modified>
</cp:coreProperties>
</file>