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17,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8"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21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288 Grove Street, Suite 388</w:t>
      </w:r>
    </w:p>
    <w:p>
      <w:pPr>
        <w:spacing w:after="0" w:line="1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Braintree, MA 02184</w:t>
      </w: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875-3605</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David J. Wilson, who was elected at the Annual Meeting of Stockholders (the “Annual Meeting”) of Microbot Medical Inc. (the “Company”), held on December 17, 2024, to serve as a Class III director for a three-year term commencing on December 17, 2024, was subsequently appointed by the Board of Directors of the Company to serve as a member of the Company’s Audit Committee and Compensation Committee. He fills the committee vacancies created when Yoseph Bornstein’s term as a director expired at the Annual Meeting.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March 2022, Mr. 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The Company believes that Mr. Wilson is qualified to serve as a member of the Board due to his experience as a healthcare and medical device executive, including extensive experience in general management, research and development, marketing, sales and supply chain management.</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Wilson is independent under NASDAQ rules. There is no arrangement or understanding between Mr. Wilson and any other persons pursuant to which Mr. Wilson was elected as a director.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Mr. Wilson will receive compensation for his services as a director in accordance with the compensation package of the Company for all non-management directors.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also entered into its standard director indemnification agreement with Mr. Wilson. Pursuant to the indemnification agreement, the Company has agreed to indemnify and hold harmless Mr. Wilson to the fullest extent permitted by the Delaware General Corporation Law. The indemnification agreement generally covers expenses that Mr. Wilson incurs or amounts that Mr. Wilson becomes obligated to pay because of any proceeding to which he is made or threatened to be made a party or participant by reason of his service as a current or former director of the Company, provided that he acted in good faith and in a manner he reasonably believed to be in or not opposed to the best interests of the Company. The indemnification agreement also provides for the advancement of expenses to Mr. Wilson subject to specified conditions. There are certain exceptions to the Company’s obligation to indemnify Mr. Wilson, and, with certain exceptions, with respect to proceedings that he initiates.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Annual Meeting of the Company was held on December 17, 2024. At the Annual Meeting, a quorum of the Company’s stockholders voted on the following three proposals and cast their votes as described below. The proposals are described in more detail in the Company’s Definitive Proxy Statement on Schedule 14A filed with the U.S. Securities and Exchange Commission on November 6, 2024.</w:t>
      </w:r>
    </w:p>
    <w:p>
      <w:pPr>
        <w:spacing w:after="0" w:line="176"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1:</w:t>
        <w:tab/>
        <w:t>Election of the two nominees listed below to serve as Class III Directors on the Board of Directors of the Company until the 2027 Annual Meeting of Shareholders and until their respective successors have been duly elected and qualified:</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2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Number of Votes Cast in Favor</w:t>
            </w:r>
          </w:p>
        </w:tc>
        <w:tc>
          <w:tcPr>
            <w:tcW w:w="2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Number of Votes Withheld</w:t>
            </w:r>
          </w:p>
        </w:tc>
        <w:tc>
          <w:tcPr>
            <w:tcW w:w="26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34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4,245,945</w:t>
            </w:r>
          </w:p>
        </w:tc>
        <w:tc>
          <w:tcPr>
            <w:tcW w:w="3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1,278,803</w:t>
            </w:r>
          </w:p>
        </w:tc>
        <w:tc>
          <w:tcPr>
            <w:tcW w:w="3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3,553,702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2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4,488,416</w:t>
            </w:r>
          </w:p>
        </w:tc>
        <w:tc>
          <w:tcPr>
            <w:tcW w:w="2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1,036,332</w:t>
            </w:r>
          </w:p>
        </w:tc>
        <w:tc>
          <w:tcPr>
            <w:tcW w:w="2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3,553,702</w:t>
            </w:r>
          </w:p>
        </w:tc>
      </w:tr>
    </w:tbl>
    <w:p>
      <w:pPr>
        <w:spacing w:after="0" w:line="179"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2:</w:t>
        <w:tab/>
        <w:t>The approval of an amendment to the Company’s 2020 Omnibus Performance Award Plan, to increase the number of authorized shares of common stock reserved for issuance by 600,000, from 2,020,652 to 2,620,652:</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Number of Votes Cast in Favor</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 of Votes Cast Against</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Number of Votes Abstained</w:t>
            </w:r>
          </w:p>
        </w:tc>
        <w:tc>
          <w:tcPr>
            <w:tcW w:w="26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3,516,462</w:t>
            </w:r>
          </w:p>
        </w:tc>
        <w:tc>
          <w:tcPr>
            <w:tcW w:w="34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1,866,121</w:t>
            </w:r>
          </w:p>
        </w:tc>
        <w:tc>
          <w:tcPr>
            <w:tcW w:w="3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142,165</w:t>
            </w:r>
          </w:p>
        </w:tc>
        <w:tc>
          <w:tcPr>
            <w:tcW w:w="3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3,553,702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980" w:right="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3:</w:t>
        <w:tab/>
        <w:t>The ratification of Brightman Almagor Zohar &amp; Co., a Member of Deloitte Touche Tohmatsu Limited, or its U.S. affiliate, as the Company’s independent registered public accounting firm for the year ending December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7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Number of Votes Cast in Favor</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 of Votes Cast Against</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Number of Votes Abstained</w:t>
            </w:r>
          </w:p>
        </w:tc>
        <w:tc>
          <w:tcPr>
            <w:tcW w:w="26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Broker Non-Votes</w:t>
            </w:r>
          </w:p>
        </w:tc>
        <w:tc>
          <w:tcPr>
            <w:tcW w:w="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8,341,843</w:t>
            </w:r>
          </w:p>
        </w:tc>
        <w:tc>
          <w:tcPr>
            <w:tcW w:w="34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557,608</w:t>
            </w:r>
          </w:p>
        </w:tc>
        <w:tc>
          <w:tcPr>
            <w:tcW w:w="3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178,999</w:t>
            </w:r>
          </w:p>
        </w:tc>
        <w:tc>
          <w:tcPr>
            <w:tcW w:w="3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5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414"/>
        </w:trPr>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2024-12-19T16:16:13Z</dcterms:created>
  <dcterms:modified xsi:type="dcterms:W3CDTF">2024-12-19T16:16:13Z</dcterms:modified>
</cp:coreProperties>
</file>