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UNITED STATES</w:t>
      </w: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spacing w:after="0" w:line="338"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SCHEDULE 13D</w:t>
      </w:r>
    </w:p>
    <w:p>
      <w:pPr>
        <w:jc w:val="center"/>
        <w:ind w:right="3170"/>
        <w:spacing w:after="0"/>
        <w:rPr>
          <w:sz w:val="20"/>
          <w:szCs w:val="20"/>
          <w:color w:val="auto"/>
        </w:rPr>
      </w:pPr>
      <w:r>
        <w:rPr>
          <w:rFonts w:ascii="Courier New" w:cs="Courier New" w:eastAsia="Courier New" w:hAnsi="Courier New"/>
          <w:sz w:val="15"/>
          <w:szCs w:val="15"/>
          <w:color w:val="auto"/>
        </w:rPr>
        <w:t>Under the Securities Exchange Act of 1934*</w:t>
      </w:r>
    </w:p>
    <w:p>
      <w:pPr>
        <w:jc w:val="center"/>
        <w:ind w:right="3070"/>
        <w:spacing w:after="0"/>
        <w:rPr>
          <w:sz w:val="20"/>
          <w:szCs w:val="20"/>
          <w:color w:val="auto"/>
        </w:rPr>
      </w:pPr>
      <w:r>
        <w:rPr>
          <w:rFonts w:ascii="Courier New" w:cs="Courier New" w:eastAsia="Courier New" w:hAnsi="Courier New"/>
          <w:sz w:val="15"/>
          <w:szCs w:val="15"/>
          <w:color w:val="auto"/>
        </w:rPr>
        <w:t>(Amendment No. 1)</w:t>
      </w:r>
    </w:p>
    <w:p>
      <w:pPr>
        <w:spacing w:after="0" w:line="338" w:lineRule="exact"/>
        <w:rPr>
          <w:sz w:val="24"/>
          <w:szCs w:val="24"/>
          <w:color w:val="auto"/>
        </w:rPr>
      </w:pPr>
    </w:p>
    <w:p>
      <w:pPr>
        <w:ind w:left="1330"/>
        <w:spacing w:after="0"/>
        <w:rPr>
          <w:sz w:val="20"/>
          <w:szCs w:val="20"/>
          <w:color w:val="auto"/>
        </w:rPr>
      </w:pPr>
      <w:r>
        <w:rPr>
          <w:rFonts w:ascii="Courier New" w:cs="Courier New" w:eastAsia="Courier New" w:hAnsi="Courier New"/>
          <w:sz w:val="15"/>
          <w:szCs w:val="15"/>
          <w:color w:val="auto"/>
        </w:rPr>
        <w:t>CytoTherapeutics, Inc. (now known as StemCells, Inc.)</w:t>
      </w:r>
    </w:p>
    <w:p>
      <w:pPr>
        <w:spacing w:after="0" w:line="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8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Issuer)</w:t>
      </w:r>
    </w:p>
    <w:p>
      <w:pPr>
        <w:spacing w:after="0" w:line="169" w:lineRule="exact"/>
        <w:rPr>
          <w:sz w:val="24"/>
          <w:szCs w:val="24"/>
          <w:color w:val="auto"/>
        </w:rPr>
      </w:pPr>
    </w:p>
    <w:p>
      <w:pPr>
        <w:ind w:left="2990"/>
        <w:spacing w:after="0"/>
        <w:rPr>
          <w:sz w:val="20"/>
          <w:szCs w:val="20"/>
          <w:color w:val="auto"/>
        </w:rPr>
      </w:pPr>
      <w:r>
        <w:rPr>
          <w:rFonts w:ascii="Courier New" w:cs="Courier New" w:eastAsia="Courier New" w:hAnsi="Courier New"/>
          <w:sz w:val="15"/>
          <w:szCs w:val="15"/>
          <w:color w:val="auto"/>
        </w:rPr>
        <w:t>Common Stock</w:t>
      </w:r>
    </w:p>
    <w:p>
      <w:pPr>
        <w:spacing w:after="0" w:line="5"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2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(Title of Class of Securities)</w:t>
      </w:r>
    </w:p>
    <w:p>
      <w:pPr>
        <w:spacing w:after="0" w:line="169"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232923 10 2</w:t>
      </w:r>
    </w:p>
    <w:p>
      <w:pPr>
        <w:spacing w:after="0" w:line="5"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9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(CUSIP Number)</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Iris Brest, Esq.</w:t>
      </w:r>
    </w:p>
    <w:p>
      <w:pPr>
        <w:jc w:val="center"/>
        <w:ind w:right="3070"/>
        <w:spacing w:after="0"/>
        <w:rPr>
          <w:sz w:val="20"/>
          <w:szCs w:val="20"/>
          <w:color w:val="auto"/>
        </w:rPr>
      </w:pPr>
      <w:r>
        <w:rPr>
          <w:rFonts w:ascii="Courier New" w:cs="Courier New" w:eastAsia="Courier New" w:hAnsi="Courier New"/>
          <w:sz w:val="15"/>
          <w:szCs w:val="15"/>
          <w:color w:val="auto"/>
        </w:rPr>
        <w:t>525 Del Rey Avenue, Suite C, Sunnyvale, California 94086 (408) 731-8670</w:t>
      </w:r>
    </w:p>
    <w:p>
      <w:pPr>
        <w:spacing w:after="0" w:line="5" w:lineRule="exact"/>
        <w:rPr>
          <w:sz w:val="24"/>
          <w:szCs w:val="2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6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Address and Telephone Number of Person Authorized to Receive</w:t>
      </w:r>
    </w:p>
    <w:p>
      <w:pPr>
        <w:ind w:left="2390"/>
        <w:spacing w:after="0"/>
        <w:rPr>
          <w:sz w:val="20"/>
          <w:szCs w:val="20"/>
          <w:color w:val="auto"/>
        </w:rPr>
      </w:pPr>
      <w:r>
        <w:rPr>
          <w:rFonts w:ascii="Courier New" w:cs="Courier New" w:eastAsia="Courier New" w:hAnsi="Courier New"/>
          <w:sz w:val="15"/>
          <w:szCs w:val="15"/>
          <w:color w:val="auto"/>
        </w:rPr>
        <w:t>Notices and Communications)</w:t>
      </w:r>
    </w:p>
    <w:p>
      <w:pPr>
        <w:spacing w:after="0" w:line="168" w:lineRule="exact"/>
        <w:rPr>
          <w:sz w:val="24"/>
          <w:szCs w:val="24"/>
          <w:color w:val="auto"/>
        </w:rPr>
      </w:pPr>
    </w:p>
    <w:p>
      <w:pPr>
        <w:ind w:left="2910"/>
        <w:spacing w:after="0"/>
        <w:rPr>
          <w:sz w:val="20"/>
          <w:szCs w:val="20"/>
          <w:color w:val="auto"/>
        </w:rPr>
      </w:pPr>
      <w:r>
        <w:rPr>
          <w:rFonts w:ascii="Courier New" w:cs="Courier New" w:eastAsia="Courier New" w:hAnsi="Courier New"/>
          <w:sz w:val="15"/>
          <w:szCs w:val="15"/>
          <w:color w:val="auto"/>
        </w:rPr>
        <w:t>March 29, 2000</w:t>
      </w:r>
    </w:p>
    <w:p>
      <w:pPr>
        <w:spacing w:after="0" w:line="5" w:lineRule="exact"/>
        <w:rPr>
          <w:sz w:val="24"/>
          <w:szCs w:val="24"/>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1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(Date of Event which Requires Filing of this Statement)</w:t>
      </w:r>
    </w:p>
    <w:p>
      <w:pPr>
        <w:spacing w:after="0" w:line="174" w:lineRule="exact"/>
        <w:rPr>
          <w:sz w:val="24"/>
          <w:szCs w:val="24"/>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If the filing person has previously filed a statement on Schedule 13G to report the acquisition which is the subject of this Schedule 13D, and is filing this schedule of Rule 13d-1(b)(3) or (4), check the following box [ ].</w:t>
      </w:r>
    </w:p>
    <w:p>
      <w:pPr>
        <w:spacing w:after="0" w:line="175" w:lineRule="exact"/>
        <w:rPr>
          <w:sz w:val="24"/>
          <w:szCs w:val="24"/>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Check the following box if a fee is being paid with this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less than five percent of such class). (See Rule 13d-7.)</w:t>
      </w:r>
    </w:p>
    <w:p>
      <w:pPr>
        <w:spacing w:after="0" w:line="176" w:lineRule="exact"/>
        <w:rPr>
          <w:sz w:val="24"/>
          <w:szCs w:val="24"/>
          <w:color w:val="auto"/>
        </w:rPr>
      </w:pPr>
    </w:p>
    <w:p>
      <w:pPr>
        <w:jc w:val="both"/>
        <w:ind w:left="10" w:right="3179"/>
        <w:spacing w:after="0" w:line="265" w:lineRule="auto"/>
        <w:rPr>
          <w:sz w:val="20"/>
          <w:szCs w:val="20"/>
          <w:color w:val="auto"/>
        </w:rPr>
      </w:pPr>
      <w:r>
        <w:rPr>
          <w:rFonts w:ascii="Courier New" w:cs="Courier New" w:eastAsia="Courier New" w:hAnsi="Courier New"/>
          <w:sz w:val="14"/>
          <w:szCs w:val="14"/>
          <w:color w:val="auto"/>
        </w:rPr>
        <w:t>Note: This document is being electronically filed with the Commission, using the EDGAR system. See Rule 13d-1(a) for other parties to whom copies are to be sent.</w:t>
      </w:r>
    </w:p>
    <w:p>
      <w:pPr>
        <w:spacing w:after="0" w:line="158" w:lineRule="exact"/>
        <w:rPr>
          <w:sz w:val="24"/>
          <w:szCs w:val="24"/>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*The remainder of this cover page should be filled out for a reporting person's initial filing on this form with respect to the subject class of securities, and for any subsequent amendment containing information which would alter disclosures provided in a prior cover page.</w:t>
      </w:r>
    </w:p>
    <w:p>
      <w:pPr>
        <w:spacing w:after="0" w:line="176" w:lineRule="exact"/>
        <w:rPr>
          <w:sz w:val="24"/>
          <w:szCs w:val="24"/>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29"/>
          </w:cols>
          <w:pgMar w:left="230" w:top="226" w:right="1440" w:bottom="1440" w:gutter="0" w:footer="0" w:header="0"/>
        </w:sectPr>
      </w:pPr>
    </w:p>
    <w:bookmarkStart w:id="1" w:name="page2"/>
    <w:bookmarkEnd w:id="1"/>
    <w:p>
      <w:pPr>
        <w:ind w:left="27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p>
      <w:pPr>
        <w:ind w:left="1230" w:right="3359" w:hanging="1230"/>
        <w:spacing w:after="0" w:line="235" w:lineRule="auto"/>
        <w:tabs>
          <w:tab w:leader="none" w:pos="12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Names of Reporting Persons S.S. or I.R.S. Identification Nos. of Above Persons</w:t>
      </w:r>
    </w:p>
    <w:p>
      <w:pPr>
        <w:spacing w:after="0" w:line="170"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Genentech, Inc.</w:t>
      </w:r>
    </w:p>
    <w:p>
      <w:pPr>
        <w:ind w:left="1230"/>
        <w:spacing w:after="0"/>
        <w:rPr>
          <w:sz w:val="20"/>
          <w:szCs w:val="20"/>
          <w:color w:val="auto"/>
        </w:rPr>
      </w:pPr>
      <w:r>
        <w:rPr>
          <w:rFonts w:ascii="Courier New" w:cs="Courier New" w:eastAsia="Courier New" w:hAnsi="Courier New"/>
          <w:sz w:val="15"/>
          <w:szCs w:val="15"/>
          <w:color w:val="auto"/>
        </w:rPr>
        <w:t>94-2347624</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230" w:right="4759" w:hanging="1230"/>
        <w:spacing w:after="0" w:line="359" w:lineRule="auto"/>
        <w:tabs>
          <w:tab w:leader="none" w:pos="123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the Appropriate Box if a Member of a Group Not Applicable</w:t>
      </w:r>
    </w:p>
    <w:p>
      <w:pPr>
        <w:ind w:left="1590" w:hanging="356"/>
        <w:spacing w:after="0"/>
        <w:tabs>
          <w:tab w:leader="none" w:pos="159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590" w:hanging="356"/>
        <w:spacing w:after="0"/>
        <w:tabs>
          <w:tab w:leader="none" w:pos="159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230" w:hanging="1230"/>
        <w:spacing w:after="0"/>
        <w:tabs>
          <w:tab w:leader="none" w:pos="12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230" w:hanging="1230"/>
        <w:spacing w:after="0"/>
        <w:tabs>
          <w:tab w:leader="none" w:pos="12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Source of Funds</w:t>
      </w:r>
    </w:p>
    <w:p>
      <w:pPr>
        <w:spacing w:after="0" w:line="169"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WC</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230" w:right="3359" w:hanging="1230"/>
        <w:spacing w:after="0" w:line="235" w:lineRule="auto"/>
        <w:tabs>
          <w:tab w:leader="none" w:pos="123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if Disclosure of Legal Proceedings is Required Pursuant to Items 2(d) or 2(e) [ ]</w:t>
      </w: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230" w:hanging="1230"/>
        <w:spacing w:after="0"/>
        <w:tabs>
          <w:tab w:leader="none" w:pos="12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w:t>
      </w:r>
    </w:p>
    <w:p>
      <w:pPr>
        <w:spacing w:after="0" w:line="169"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ind w:left="170" w:hanging="170"/>
        <w:spacing w:after="0"/>
        <w:tabs>
          <w:tab w:leader="none" w:pos="17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3710" w:right="3619" w:hanging="1242"/>
        <w:spacing w:after="0" w:line="235" w:lineRule="auto"/>
        <w:tabs>
          <w:tab w:leader="none" w:pos="371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Voting Power: 426,094 shares Common Stock</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Number of Shares</w:t>
            </w:r>
          </w:p>
        </w:tc>
        <w:tc>
          <w:tcPr>
            <w:tcW w:w="12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Beneficially</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w:t>
            </w:r>
          </w:p>
        </w:tc>
        <w:tc>
          <w:tcPr>
            <w:tcW w:w="2440" w:type="dxa"/>
            <w:vAlign w:val="bottom"/>
          </w:tcPr>
          <w:p>
            <w:pPr>
              <w:ind w:left="500"/>
              <w:spacing w:after="0"/>
              <w:rPr>
                <w:sz w:val="20"/>
                <w:szCs w:val="20"/>
                <w:color w:val="auto"/>
              </w:rPr>
            </w:pPr>
            <w:r>
              <w:rPr>
                <w:rFonts w:ascii="Courier New" w:cs="Courier New" w:eastAsia="Courier New" w:hAnsi="Courier New"/>
                <w:sz w:val="15"/>
                <w:szCs w:val="15"/>
                <w:color w:val="auto"/>
                <w:w w:val="96"/>
              </w:rPr>
              <w:t>Shared Voting Power: 0</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Owned by Each</w:t>
            </w:r>
          </w:p>
        </w:tc>
        <w:tc>
          <w:tcPr>
            <w:tcW w:w="12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Reporting Person</w:t>
            </w:r>
          </w:p>
        </w:tc>
        <w:tc>
          <w:tcPr>
            <w:tcW w:w="1280" w:type="dxa"/>
            <w:vAlign w:val="bottom"/>
          </w:tcPr>
          <w:p>
            <w:pPr>
              <w:spacing w:after="0"/>
              <w:rPr>
                <w:sz w:val="14"/>
                <w:szCs w:val="14"/>
                <w:color w:val="auto"/>
              </w:rPr>
            </w:pPr>
          </w:p>
        </w:tc>
        <w:tc>
          <w:tcPr>
            <w:tcW w:w="2440" w:type="dxa"/>
            <w:vAlign w:val="bottom"/>
          </w:tcPr>
          <w:p>
            <w:pPr>
              <w:spacing w:after="0"/>
              <w:rPr>
                <w:sz w:val="14"/>
                <w:szCs w:val="14"/>
                <w:color w:val="auto"/>
              </w:rPr>
            </w:pPr>
          </w:p>
        </w:tc>
      </w:tr>
    </w:tbl>
    <w:p>
      <w:pPr>
        <w:spacing w:after="0" w:line="5" w:lineRule="exact"/>
        <w:rPr>
          <w:sz w:val="20"/>
          <w:szCs w:val="20"/>
          <w:color w:val="auto"/>
        </w:rPr>
      </w:pPr>
    </w:p>
    <w:p>
      <w:pPr>
        <w:ind w:left="3710" w:right="3699" w:hanging="1242"/>
        <w:spacing w:after="0" w:line="235" w:lineRule="auto"/>
        <w:tabs>
          <w:tab w:leader="none" w:pos="371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Dispositive Power: 426,094 shares Common Stock</w:t>
      </w:r>
    </w:p>
    <w:p>
      <w:pPr>
        <w:spacing w:after="0" w:line="170" w:lineRule="exact"/>
        <w:rPr>
          <w:rFonts w:ascii="Courier New" w:cs="Courier New" w:eastAsia="Courier New" w:hAnsi="Courier New"/>
          <w:sz w:val="15"/>
          <w:szCs w:val="15"/>
          <w:color w:val="auto"/>
        </w:rPr>
      </w:pPr>
    </w:p>
    <w:p>
      <w:pPr>
        <w:ind w:left="3710" w:hanging="1242"/>
        <w:spacing w:after="0"/>
        <w:tabs>
          <w:tab w:leader="none" w:pos="371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Dispositive Power: 0</w:t>
      </w:r>
    </w:p>
    <w:p>
      <w:pPr>
        <w:spacing w:after="0" w:line="5"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1230" w:right="3619" w:hanging="1230"/>
        <w:spacing w:after="0" w:line="235" w:lineRule="auto"/>
        <w:tabs>
          <w:tab w:leader="none" w:pos="123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 426,094 shares Common Stock</w:t>
      </w: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230" w:hanging="1230"/>
        <w:spacing w:after="0"/>
        <w:tabs>
          <w:tab w:leader="none" w:pos="123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if the Aggregate Amount in Row (11) Excludes Certain Shares</w:t>
      </w:r>
    </w:p>
    <w:p>
      <w:pPr>
        <w:spacing w:after="0" w:line="169"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Not Applicable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230" w:hanging="1230"/>
        <w:spacing w:after="0"/>
        <w:tabs>
          <w:tab w:leader="none" w:pos="123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 of Class Represented by Amount in Row (11)</w:t>
      </w:r>
    </w:p>
    <w:p>
      <w:pPr>
        <w:spacing w:after="0" w:line="169"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2.2% of Common Stock</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230" w:hanging="1230"/>
        <w:spacing w:after="0"/>
        <w:tabs>
          <w:tab w:leader="none" w:pos="123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Reporting Person (See Instructions)</w:t>
      </w:r>
    </w:p>
    <w:p>
      <w:pPr>
        <w:spacing w:after="0" w:line="169"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CO</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Genentech, Inc. ("Genentech" or "Reporting Person") hereby amends its statement on Schedule 13D filed with the Securities and Exchange Commission on December 23, 1996 (the "Original Schedule 13D") with respect to the Common Stock of CytoTherapeutics, Inc.</w:t>
      </w:r>
    </w:p>
    <w:p>
      <w:pPr>
        <w:sectPr>
          <w:pgSz w:w="11900" w:h="16838" w:orient="portrait"/>
          <w:cols w:equalWidth="0" w:num="1">
            <w:col w:w="10229"/>
          </w:cols>
          <w:pgMar w:left="230" w:top="283" w:right="1440" w:bottom="1440" w:gutter="0" w:footer="0" w:header="0"/>
        </w:sectPr>
      </w:pPr>
    </w:p>
    <w:bookmarkStart w:id="2" w:name="page3"/>
    <w:bookmarkEnd w:id="2"/>
    <w:p>
      <w:pPr>
        <w:ind w:left="27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 SECURITY AND ISSUER</w:t>
      </w:r>
    </w:p>
    <w:p>
      <w:pPr>
        <w:spacing w:after="0" w:line="169" w:lineRule="exact"/>
        <w:rPr>
          <w:sz w:val="20"/>
          <w:szCs w:val="20"/>
          <w:color w:val="auto"/>
        </w:rPr>
      </w:pPr>
    </w:p>
    <w:p>
      <w:pPr>
        <w:ind w:left="610" w:hanging="610"/>
        <w:spacing w:after="0"/>
        <w:tabs>
          <w:tab w:leader="none" w:pos="61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of Securities: Common Stock</w:t>
      </w:r>
    </w:p>
    <w:p>
      <w:pPr>
        <w:spacing w:after="0" w:line="169"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Issuer: CytoTherapeutics, Inc. (now known as StemCells, Inc.) ("CTI")</w:t>
      </w:r>
    </w:p>
    <w:p>
      <w:pPr>
        <w:spacing w:after="0" w:line="169"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Address: 525 Del Rey Avenue, Suite C, Sunnyvale, CA 94086</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ITEM 2: IDENTITY AND BACKGROUND</w:t>
      </w:r>
    </w:p>
    <w:p>
      <w:pPr>
        <w:spacing w:after="0" w:line="169" w:lineRule="exact"/>
        <w:rPr>
          <w:rFonts w:ascii="Courier New" w:cs="Courier New" w:eastAsia="Courier New" w:hAnsi="Courier New"/>
          <w:sz w:val="15"/>
          <w:szCs w:val="15"/>
          <w:color w:val="auto"/>
        </w:rPr>
      </w:pPr>
    </w:p>
    <w:p>
      <w:pPr>
        <w:ind w:left="1230" w:hanging="613"/>
        <w:spacing w:after="0"/>
        <w:tabs>
          <w:tab w:leader="none" w:pos="123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Reporting Person: Genentech, Inc. ("Genentech")</w:t>
      </w:r>
    </w:p>
    <w:p>
      <w:pPr>
        <w:spacing w:after="0" w:line="169" w:lineRule="exact"/>
        <w:rPr>
          <w:rFonts w:ascii="Courier New" w:cs="Courier New" w:eastAsia="Courier New" w:hAnsi="Courier New"/>
          <w:sz w:val="15"/>
          <w:szCs w:val="15"/>
          <w:color w:val="auto"/>
        </w:rPr>
      </w:pPr>
    </w:p>
    <w:p>
      <w:pPr>
        <w:ind w:left="1230" w:hanging="613"/>
        <w:spacing w:after="0"/>
        <w:tabs>
          <w:tab w:leader="none" w:pos="123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of Organization: Delaware</w:t>
      </w:r>
    </w:p>
    <w:p>
      <w:pPr>
        <w:spacing w:after="0" w:line="169" w:lineRule="exact"/>
        <w:rPr>
          <w:rFonts w:ascii="Courier New" w:cs="Courier New" w:eastAsia="Courier New" w:hAnsi="Courier New"/>
          <w:sz w:val="15"/>
          <w:szCs w:val="15"/>
          <w:color w:val="auto"/>
        </w:rPr>
      </w:pPr>
    </w:p>
    <w:p>
      <w:pPr>
        <w:ind w:left="1230" w:hanging="613"/>
        <w:spacing w:after="0"/>
        <w:tabs>
          <w:tab w:leader="none" w:pos="123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Business: Pharmaceutical company</w:t>
      </w:r>
    </w:p>
    <w:p>
      <w:pPr>
        <w:spacing w:after="0" w:line="174" w:lineRule="exact"/>
        <w:rPr>
          <w:rFonts w:ascii="Courier New" w:cs="Courier New" w:eastAsia="Courier New" w:hAnsi="Courier New"/>
          <w:sz w:val="15"/>
          <w:szCs w:val="15"/>
          <w:color w:val="auto"/>
        </w:rPr>
      </w:pPr>
    </w:p>
    <w:p>
      <w:pPr>
        <w:ind w:left="1230" w:right="3539" w:hanging="613"/>
        <w:spacing w:after="0" w:line="235" w:lineRule="auto"/>
        <w:tabs>
          <w:tab w:leader="none" w:pos="123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Business Address: 1 DNA Way, South San Francisco, CA 94080</w:t>
      </w:r>
    </w:p>
    <w:p>
      <w:pPr>
        <w:spacing w:after="0" w:line="170" w:lineRule="exact"/>
        <w:rPr>
          <w:rFonts w:ascii="Courier New" w:cs="Courier New" w:eastAsia="Courier New" w:hAnsi="Courier New"/>
          <w:sz w:val="15"/>
          <w:szCs w:val="15"/>
          <w:color w:val="auto"/>
        </w:rPr>
      </w:pPr>
    </w:p>
    <w:p>
      <w:pPr>
        <w:ind w:left="1230" w:hanging="613"/>
        <w:spacing w:after="0"/>
        <w:tabs>
          <w:tab w:leader="none" w:pos="123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Office: As above</w:t>
      </w:r>
    </w:p>
    <w:p>
      <w:pPr>
        <w:spacing w:after="0" w:line="174" w:lineRule="exact"/>
        <w:rPr>
          <w:rFonts w:ascii="Courier New" w:cs="Courier New" w:eastAsia="Courier New" w:hAnsi="Courier New"/>
          <w:sz w:val="15"/>
          <w:szCs w:val="15"/>
          <w:color w:val="auto"/>
        </w:rPr>
      </w:pPr>
    </w:p>
    <w:p>
      <w:pPr>
        <w:ind w:left="1230" w:right="3179" w:hanging="613"/>
        <w:spacing w:after="0" w:line="238" w:lineRule="auto"/>
        <w:tabs>
          <w:tab w:leader="none" w:pos="123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Criminal Convictions: Genentech plead guilty on April 14, 1999 to a single count of the introduction of a misbranded drug in interstate commerce, in violation of 21 U.S.C. Sections 331(a), 333(a)(2) and 352 before the United States District Court of the Northern District of California. Genentech paid a criminal fine of $30 million and paid restitution of $20 million pursuant to a civil settlement agreement between the United States and Genentech.</w:t>
      </w:r>
    </w:p>
    <w:p>
      <w:pPr>
        <w:spacing w:after="0" w:line="171" w:lineRule="exact"/>
        <w:rPr>
          <w:rFonts w:ascii="Courier New" w:cs="Courier New" w:eastAsia="Courier New" w:hAnsi="Courier New"/>
          <w:sz w:val="15"/>
          <w:szCs w:val="15"/>
          <w:color w:val="auto"/>
        </w:rPr>
      </w:pPr>
    </w:p>
    <w:p>
      <w:pPr>
        <w:ind w:left="1230" w:hanging="613"/>
        <w:spacing w:after="0"/>
        <w:tabs>
          <w:tab w:leader="none" w:pos="123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Civil Adjudication of Violation of Securities Laws: None</w:t>
      </w:r>
    </w:p>
    <w:p>
      <w:pPr>
        <w:spacing w:after="0" w:line="175" w:lineRule="exact"/>
        <w:rPr>
          <w:sz w:val="20"/>
          <w:szCs w:val="20"/>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Attached hereto as Exhibit A is a list of Genentech's executive officers and directors as required by Instruction C to Schedule 13D.</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3: SOURCE AND AMOUNT OF FUNDS</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Pursuant to the terms of a Common Stock Purchase Agreement between Genentech and CTI (collectively, the "Parties") dated as of November 22, 1996 (the "Purchase Agreement"), Genentech purchased 829,171 shares of CTI's Common Stock, par value $.01 per share (the "CTI Common Stock") for $10.01 per share. The total purchase price of $8,300,000 for the CTI Common Stock was paid in cash from Genentech's working capital.</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4: PURPOSE OF TRANSACTION</w:t>
      </w:r>
    </w:p>
    <w:p>
      <w:pPr>
        <w:spacing w:after="0" w:line="17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The purpose of the purchase of the shares of Common Stock described in Item 3 is investment. Depending on its evaluation of CTI's business, prospects, financial condition, the market for CTI securities, other opportunities available to Genentech, general economic conditions, general market conditions, other future developments and the contractual restrictions described in Item 6, Genentech may decide to sell some or all of its investment in the capital stock of CTI through open market sales or in negotiated transactions, to or through one or more broker dealers, or in underwritten offerings, block trades, agency placements, brokerage transactions or otherwise. Depending on the same factors, Genentech may in the future purchase additional capital stock of CTI as described below or enter into hedging or similar transactions.</w:t>
      </w:r>
    </w:p>
    <w:p>
      <w:pPr>
        <w:spacing w:after="0" w:line="166"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The Parties entered into a Development Collaboration and License Agreement Relating to Parkinson's Disease dated as of November 22, 1996 (the "Collaboration Agreement"). As of March 3, 2000, the Collaboration Agreement was mutually terminated by the Parties.</w:t>
      </w:r>
    </w:p>
    <w:p>
      <w:pPr>
        <w:spacing w:after="0" w:line="176"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Except as described in the foregoing, Genentech does not have any other plan or proposal relating to, or which would result in, any event described in (a) - (j) of the instructions to this Item 4.</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5: INTEREST IN SECURITIES OF ISSUER</w:t>
      </w:r>
    </w:p>
    <w:p>
      <w:pPr>
        <w:spacing w:after="0" w:line="200" w:lineRule="exact"/>
        <w:rPr>
          <w:sz w:val="20"/>
          <w:szCs w:val="20"/>
          <w:color w:val="auto"/>
        </w:rPr>
      </w:pPr>
    </w:p>
    <w:p>
      <w:pPr>
        <w:spacing w:after="0" w:line="308"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w w:val="99"/>
              </w:rPr>
              <w:t>Beneficial</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Ownership</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Genentech:</w:t>
            </w: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w w:val="91"/>
              </w:rPr>
              <w:t>426,094</w:t>
            </w:r>
          </w:p>
        </w:tc>
      </w:tr>
      <w:tr>
        <w:trPr>
          <w:trHeight w:val="170"/>
        </w:trPr>
        <w:tc>
          <w:tcPr>
            <w:tcW w:w="40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w w:val="99"/>
              </w:rPr>
              <w:t>Percentage</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Ownership</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Genentech:</w:t>
            </w: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2.2%</w:t>
            </w:r>
          </w:p>
        </w:tc>
      </w:tr>
    </w:tbl>
    <w:p>
      <w:pPr>
        <w:sectPr>
          <w:pgSz w:w="11900" w:h="16838" w:orient="portrait"/>
          <w:cols w:equalWidth="0" w:num="1">
            <w:col w:w="10229"/>
          </w:cols>
          <w:pgMar w:left="230" w:top="283" w:right="1440" w:bottom="1440" w:gutter="0" w:footer="0" w:header="0"/>
        </w:sectPr>
      </w:pPr>
    </w:p>
    <w:bookmarkStart w:id="3" w:name="page4"/>
    <w:bookmarkEnd w:id="3"/>
    <w:p>
      <w:pPr>
        <w:ind w:left="270"/>
        <w:spacing w:after="0"/>
        <w:rPr>
          <w:sz w:val="20"/>
          <w:szCs w:val="20"/>
          <w:color w:val="auto"/>
        </w:rPr>
      </w:pPr>
      <w:r>
        <w:rPr>
          <w:rFonts w:ascii="Courier New" w:cs="Courier New" w:eastAsia="Courier New" w:hAnsi="Courier New"/>
          <w:sz w:val="15"/>
          <w:szCs w:val="15"/>
          <w:color w:val="auto"/>
        </w:rPr>
        <w:t>4</w:t>
      </w:r>
    </w:p>
    <w:p>
      <w:pPr>
        <w:spacing w:after="0" w:line="175"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To the best of Genentech's knowledge, none of the persons listed on Exhibit A hereto beneficially owns any Common Stock of CTI.</w:t>
      </w:r>
    </w:p>
    <w:p>
      <w:pPr>
        <w:spacing w:after="0" w:line="200" w:lineRule="exact"/>
        <w:rPr>
          <w:sz w:val="20"/>
          <w:szCs w:val="20"/>
          <w:color w:val="auto"/>
        </w:rPr>
      </w:pPr>
    </w:p>
    <w:p>
      <w:pPr>
        <w:spacing w:after="0" w:line="30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Sole</w:t>
            </w:r>
          </w:p>
        </w:tc>
        <w:tc>
          <w:tcPr>
            <w:tcW w:w="2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Voting Power of Genentech:</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w w:val="91"/>
              </w:rPr>
              <w:t>426,094</w:t>
            </w:r>
          </w:p>
        </w:tc>
      </w:tr>
      <w:tr>
        <w:trPr>
          <w:trHeight w:val="170"/>
        </w:trPr>
        <w:tc>
          <w:tcPr>
            <w:tcW w:w="40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Shared</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Voting Power:</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0</w:t>
            </w:r>
          </w:p>
        </w:tc>
      </w:tr>
      <w:tr>
        <w:trPr>
          <w:trHeight w:val="170"/>
        </w:trPr>
        <w:tc>
          <w:tcPr>
            <w:tcW w:w="400" w:type="dxa"/>
            <w:vAlign w:val="bottom"/>
          </w:tcPr>
          <w:p>
            <w:pPr>
              <w:spacing w:after="0"/>
              <w:rPr>
                <w:sz w:val="14"/>
                <w:szCs w:val="14"/>
                <w:color w:val="auto"/>
              </w:rPr>
            </w:pP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Sole</w:t>
            </w:r>
          </w:p>
        </w:tc>
        <w:tc>
          <w:tcPr>
            <w:tcW w:w="2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Dispositive Power of Genentech:</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w w:val="91"/>
              </w:rPr>
              <w:t>426,094</w:t>
            </w:r>
          </w:p>
        </w:tc>
      </w:tr>
      <w:tr>
        <w:trPr>
          <w:trHeight w:val="170"/>
        </w:trPr>
        <w:tc>
          <w:tcPr>
            <w:tcW w:w="40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Shared</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Dispositive Power:</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0</w:t>
            </w:r>
          </w:p>
        </w:tc>
      </w:tr>
    </w:tbl>
    <w:p>
      <w:pPr>
        <w:spacing w:after="0" w:line="344"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To the best of Genentech's knowledge, none of the persons listed on Exhibit A hereto has any sole or shared power to vote or to direct the vote of any CTI Common Stock nor sole or shared power to dispose of or direct the disposition of any CTI Common Stock.</w:t>
      </w:r>
    </w:p>
    <w:p>
      <w:pPr>
        <w:spacing w:after="0" w:line="176" w:lineRule="exact"/>
        <w:rPr>
          <w:sz w:val="20"/>
          <w:szCs w:val="20"/>
          <w:color w:val="auto"/>
        </w:rPr>
      </w:pPr>
    </w:p>
    <w:p>
      <w:pPr>
        <w:ind w:left="10" w:right="3179" w:firstLine="617"/>
        <w:spacing w:after="0" w:line="238" w:lineRule="auto"/>
        <w:rPr>
          <w:sz w:val="20"/>
          <w:szCs w:val="20"/>
          <w:color w:val="auto"/>
        </w:rPr>
      </w:pPr>
      <w:r>
        <w:rPr>
          <w:rFonts w:ascii="Courier New" w:cs="Courier New" w:eastAsia="Courier New" w:hAnsi="Courier New"/>
          <w:sz w:val="15"/>
          <w:szCs w:val="15"/>
          <w:color w:val="auto"/>
        </w:rPr>
        <w:t>c. Recent Transactions: Shares of CTI Common Stock were sold by Genentech in the public market through broker transactions during March 2000. The sales transactions are set forth on Exhibit B attached hereto and are hereby incorporated by reference. Except as set forth on Exhibit B hereto and as described in Item 6, no transactions in CTI's Common Stock have been effected during the past 60 days by Genentech nor, to the best of its knowledge, by any of the persons listed on Exhibit A hereto.</w:t>
      </w:r>
    </w:p>
    <w:p>
      <w:pPr>
        <w:spacing w:after="0" w:line="171"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d. Receipt of dividends, etc.: Not applicable</w:t>
      </w:r>
    </w:p>
    <w:p>
      <w:pPr>
        <w:spacing w:after="0" w:line="175" w:lineRule="exact"/>
        <w:rPr>
          <w:sz w:val="20"/>
          <w:szCs w:val="20"/>
          <w:color w:val="auto"/>
        </w:rPr>
      </w:pPr>
    </w:p>
    <w:p>
      <w:pPr>
        <w:ind w:left="10" w:right="4059" w:firstLine="617"/>
        <w:spacing w:after="0" w:line="235" w:lineRule="auto"/>
        <w:rPr>
          <w:sz w:val="20"/>
          <w:szCs w:val="20"/>
          <w:color w:val="auto"/>
        </w:rPr>
      </w:pPr>
      <w:r>
        <w:rPr>
          <w:rFonts w:ascii="Courier New" w:cs="Courier New" w:eastAsia="Courier New" w:hAnsi="Courier New"/>
          <w:sz w:val="15"/>
          <w:szCs w:val="15"/>
          <w:color w:val="auto"/>
        </w:rPr>
        <w:t>e. Ownership below 5%: As of March 29, 2000 , Genentech was the beneficial owner of less than 5% of CTI's Common Stock.</w:t>
      </w:r>
    </w:p>
    <w:p>
      <w:pPr>
        <w:spacing w:after="0" w:line="176" w:lineRule="exact"/>
        <w:rPr>
          <w:sz w:val="20"/>
          <w:szCs w:val="20"/>
          <w:color w:val="auto"/>
        </w:rPr>
      </w:pPr>
    </w:p>
    <w:p>
      <w:pPr>
        <w:ind w:left="710" w:right="3259" w:hanging="704"/>
        <w:spacing w:after="0" w:line="235" w:lineRule="auto"/>
        <w:rPr>
          <w:sz w:val="20"/>
          <w:szCs w:val="20"/>
          <w:color w:val="auto"/>
        </w:rPr>
      </w:pPr>
      <w:r>
        <w:rPr>
          <w:rFonts w:ascii="Courier New" w:cs="Courier New" w:eastAsia="Courier New" w:hAnsi="Courier New"/>
          <w:sz w:val="15"/>
          <w:szCs w:val="15"/>
          <w:color w:val="auto"/>
        </w:rPr>
        <w:t>ITEM 6: CONTRACTS, ARRANGEMENTS, UNDERSTANDINGS OR RELATIONSHIP WITH RESPECT TO SECURITIES OF THE ISSUER</w:t>
      </w:r>
    </w:p>
    <w:p>
      <w:pPr>
        <w:spacing w:after="0" w:line="176" w:lineRule="exact"/>
        <w:rPr>
          <w:sz w:val="20"/>
          <w:szCs w:val="20"/>
          <w:color w:val="auto"/>
        </w:rPr>
      </w:pPr>
    </w:p>
    <w:p>
      <w:pPr>
        <w:ind w:left="10" w:right="3179"/>
        <w:spacing w:after="0" w:line="256" w:lineRule="auto"/>
        <w:rPr>
          <w:sz w:val="20"/>
          <w:szCs w:val="20"/>
          <w:color w:val="auto"/>
        </w:rPr>
      </w:pPr>
      <w:r>
        <w:rPr>
          <w:rFonts w:ascii="Courier New" w:cs="Courier New" w:eastAsia="Courier New" w:hAnsi="Courier New"/>
          <w:sz w:val="14"/>
          <w:szCs w:val="14"/>
          <w:color w:val="auto"/>
        </w:rPr>
        <w:t>Under the Purchase Agreement, Genentech has the right to include shares of the CTI Common Stock in a registration of securities of CTI at any time at least one</w:t>
      </w:r>
    </w:p>
    <w:p>
      <w:pPr>
        <w:spacing w:after="0" w:line="1" w:lineRule="exact"/>
        <w:rPr>
          <w:sz w:val="20"/>
          <w:szCs w:val="20"/>
          <w:color w:val="auto"/>
        </w:rPr>
      </w:pPr>
    </w:p>
    <w:p>
      <w:pPr>
        <w:ind w:left="10" w:right="4059" w:hanging="10"/>
        <w:spacing w:after="0" w:line="235" w:lineRule="auto"/>
        <w:tabs>
          <w:tab w:leader="none" w:pos="36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after the closing of the transaction pursuant to the Purchase Agreement.</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Under the Purchase Agreement, Genentech has agreed that without the prior consent of the board of directors of CTI, Genentech will not at any time directly or indirectly acquire (or offer to or agree to acquire) any shares or rights or options to acquire shares of CTI Common Stock if following such action Genentech would beneficially own in excess of ten percent (10%) of outstanding CTI Common Stock, except that the foregoing shall not limit any additional purchases of CTI Common Stock by Genentech as contemplated by the Parties under the Purchase Agreement, as described in Item 4 above.</w:t>
      </w:r>
    </w:p>
    <w:p>
      <w:pPr>
        <w:spacing w:after="0" w:line="178"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Under the Purchase Agreement, Genentech has agreed that without the prior consent of the board of directors of CTI, Genentech will not make or become a participant in any solicitation of proxies to vote shares of CTI Common Stock, or seek to advise or influence any person with respect to the voting of any voting securities of CTI, or form, joint in or participate in a group with respect to any voting securities of CTI.</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7: EXHIBITS</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1749" w:val="left"/>
        </w:tabs>
        <w:rPr>
          <w:sz w:val="20"/>
          <w:szCs w:val="20"/>
          <w:color w:val="auto"/>
        </w:rPr>
      </w:pPr>
      <w:r>
        <w:rPr>
          <w:rFonts w:ascii="Courier New" w:cs="Courier New" w:eastAsia="Courier New" w:hAnsi="Courier New"/>
          <w:sz w:val="15"/>
          <w:szCs w:val="15"/>
          <w:color w:val="auto"/>
        </w:rPr>
        <w:t>Exhibit A:</w:t>
      </w:r>
      <w:r>
        <w:rPr>
          <w:sz w:val="20"/>
          <w:szCs w:val="20"/>
          <w:color w:val="auto"/>
        </w:rPr>
        <w:tab/>
      </w:r>
      <w:r>
        <w:rPr>
          <w:rFonts w:ascii="Courier New" w:cs="Courier New" w:eastAsia="Courier New" w:hAnsi="Courier New"/>
          <w:sz w:val="14"/>
          <w:szCs w:val="14"/>
          <w:color w:val="auto"/>
        </w:rPr>
        <w:t>Additional information regarding Item 2 hereof.</w:t>
      </w:r>
    </w:p>
    <w:p>
      <w:pPr>
        <w:spacing w:after="0" w:line="169" w:lineRule="exact"/>
        <w:rPr>
          <w:sz w:val="20"/>
          <w:szCs w:val="20"/>
          <w:color w:val="auto"/>
        </w:rPr>
      </w:pPr>
    </w:p>
    <w:p>
      <w:pPr>
        <w:ind w:left="10"/>
        <w:spacing w:after="0"/>
        <w:tabs>
          <w:tab w:leader="none" w:pos="1749" w:val="left"/>
        </w:tabs>
        <w:rPr>
          <w:sz w:val="20"/>
          <w:szCs w:val="20"/>
          <w:color w:val="auto"/>
        </w:rPr>
      </w:pPr>
      <w:r>
        <w:rPr>
          <w:rFonts w:ascii="Courier New" w:cs="Courier New" w:eastAsia="Courier New" w:hAnsi="Courier New"/>
          <w:sz w:val="15"/>
          <w:szCs w:val="15"/>
          <w:color w:val="auto"/>
        </w:rPr>
        <w:t>Exhibit B:</w:t>
      </w:r>
      <w:r>
        <w:rPr>
          <w:sz w:val="20"/>
          <w:szCs w:val="20"/>
          <w:color w:val="auto"/>
        </w:rPr>
        <w:tab/>
      </w:r>
      <w:r>
        <w:rPr>
          <w:rFonts w:ascii="Courier New" w:cs="Courier New" w:eastAsia="Courier New" w:hAnsi="Courier New"/>
          <w:sz w:val="14"/>
          <w:szCs w:val="14"/>
          <w:color w:val="auto"/>
        </w:rPr>
        <w:t>Additional information regarding Item 5.c. hereof.</w:t>
      </w:r>
    </w:p>
    <w:p>
      <w:pPr>
        <w:spacing w:after="0" w:line="344" w:lineRule="exact"/>
        <w:rPr>
          <w:sz w:val="20"/>
          <w:szCs w:val="20"/>
          <w:color w:val="auto"/>
        </w:rPr>
      </w:pPr>
    </w:p>
    <w:p>
      <w:pPr>
        <w:ind w:left="10" w:right="3259"/>
        <w:spacing w:after="0" w:line="265" w:lineRule="auto"/>
        <w:rPr>
          <w:sz w:val="20"/>
          <w:szCs w:val="20"/>
          <w:color w:val="auto"/>
        </w:rPr>
      </w:pPr>
      <w:r>
        <w:rPr>
          <w:rFonts w:ascii="Courier New" w:cs="Courier New" w:eastAsia="Courier New" w:hAnsi="Courier New"/>
          <w:sz w:val="14"/>
          <w:szCs w:val="14"/>
          <w:color w:val="auto"/>
        </w:rPr>
        <w:t>After reasonable inquiry and to the best of my knowledge and belief, I certify that the information set forth in this statement is true, complete and correct.</w:t>
      </w:r>
    </w:p>
    <w:p>
      <w:pPr>
        <w:spacing w:after="0" w:line="153"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May 30, 2000</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GENENTECH, INC.</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Stephen G. Juelsgaard</w:t>
      </w:r>
    </w:p>
    <w:p>
      <w:pPr>
        <w:ind w:left="10"/>
        <w:spacing w:after="0"/>
        <w:rPr>
          <w:sz w:val="20"/>
          <w:szCs w:val="20"/>
          <w:color w:val="auto"/>
        </w:rPr>
      </w:pPr>
      <w:r>
        <w:rPr>
          <w:rFonts w:ascii="Courier New" w:cs="Courier New" w:eastAsia="Courier New" w:hAnsi="Courier New"/>
          <w:sz w:val="15"/>
          <w:szCs w:val="15"/>
          <w:color w:val="auto"/>
        </w:rPr>
        <w:t>Senior Vice President,</w:t>
      </w:r>
    </w:p>
    <w:p>
      <w:pPr>
        <w:ind w:left="10"/>
        <w:spacing w:after="0"/>
        <w:rPr>
          <w:sz w:val="20"/>
          <w:szCs w:val="20"/>
          <w:color w:val="auto"/>
        </w:rPr>
      </w:pPr>
      <w:r>
        <w:rPr>
          <w:rFonts w:ascii="Courier New" w:cs="Courier New" w:eastAsia="Courier New" w:hAnsi="Courier New"/>
          <w:sz w:val="15"/>
          <w:szCs w:val="15"/>
          <w:color w:val="auto"/>
        </w:rPr>
        <w:t>General Counsel and Secretary</w:t>
      </w:r>
    </w:p>
    <w:p>
      <w:pPr>
        <w:sectPr>
          <w:pgSz w:w="11900" w:h="16838" w:orient="portrait"/>
          <w:cols w:equalWidth="0" w:num="1">
            <w:col w:w="10229"/>
          </w:cols>
          <w:pgMar w:left="23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EXHIBIT A</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ITEM 2 (ADDITIONAL INFORMATION):</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LIST OF EXECUTIVE OFFICERS AND DIRECTORS OF GENENTECH, INC.</w:t>
      </w:r>
    </w:p>
    <w:p>
      <w:pPr>
        <w:sectPr>
          <w:pgSz w:w="11900" w:h="16838" w:orient="portrait"/>
          <w:cols w:equalWidth="0" w:num="1">
            <w:col w:w="11520"/>
          </w:cols>
          <w:pgMar w:left="240" w:top="136" w:right="1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PRESENT PRINCIPAL OCCUPATION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240" w:space="720"/>
            <w:col w:w="7560"/>
          </w:cols>
          <w:pgMar w:left="240" w:top="136"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EXECUTIVE OFFICERS</w:t>
      </w:r>
    </w:p>
    <w:p>
      <w:pPr>
        <w:spacing w:after="0"/>
        <w:rPr>
          <w:sz w:val="20"/>
          <w:szCs w:val="20"/>
          <w:color w:val="auto"/>
        </w:rPr>
      </w:pPr>
      <w:r>
        <w:rPr>
          <w:rFonts w:ascii="Courier New" w:cs="Courier New" w:eastAsia="Courier New" w:hAnsi="Courier New"/>
          <w:sz w:val="15"/>
          <w:szCs w:val="15"/>
          <w:color w:val="auto"/>
        </w:rPr>
        <w:t>William R. Arathoon, Ph.D.</w:t>
      </w:r>
    </w:p>
    <w:p>
      <w:pPr>
        <w:spacing w:after="0"/>
        <w:rPr>
          <w:sz w:val="20"/>
          <w:szCs w:val="20"/>
          <w:color w:val="auto"/>
        </w:rPr>
      </w:pPr>
      <w:r>
        <w:rPr>
          <w:rFonts w:ascii="Courier New" w:cs="Courier New" w:eastAsia="Courier New" w:hAnsi="Courier New"/>
          <w:sz w:val="15"/>
          <w:szCs w:val="15"/>
          <w:color w:val="auto"/>
        </w:rPr>
        <w:t>Joffre B. Baker, Ph.D.</w:t>
      </w:r>
    </w:p>
    <w:p>
      <w:pPr>
        <w:spacing w:after="0" w:line="238" w:lineRule="auto"/>
        <w:rPr>
          <w:sz w:val="20"/>
          <w:szCs w:val="20"/>
          <w:color w:val="auto"/>
        </w:rPr>
      </w:pPr>
      <w:r>
        <w:rPr>
          <w:rFonts w:ascii="Courier New" w:cs="Courier New" w:eastAsia="Courier New" w:hAnsi="Courier New"/>
          <w:sz w:val="15"/>
          <w:szCs w:val="15"/>
          <w:color w:val="auto"/>
        </w:rPr>
        <w:t>J. Joseph Barta</w:t>
      </w:r>
    </w:p>
    <w:p>
      <w:pPr>
        <w:spacing w:after="0"/>
        <w:rPr>
          <w:sz w:val="20"/>
          <w:szCs w:val="20"/>
          <w:color w:val="auto"/>
        </w:rPr>
      </w:pPr>
      <w:r>
        <w:rPr>
          <w:rFonts w:ascii="Courier New" w:cs="Courier New" w:eastAsia="Courier New" w:hAnsi="Courier New"/>
          <w:sz w:val="15"/>
          <w:szCs w:val="15"/>
          <w:color w:val="auto"/>
        </w:rPr>
        <w:t>Stephen G. Dilly, M. D., Ph.D.</w:t>
      </w:r>
    </w:p>
    <w:p>
      <w:pPr>
        <w:spacing w:after="0"/>
        <w:rPr>
          <w:sz w:val="20"/>
          <w:szCs w:val="20"/>
          <w:color w:val="auto"/>
        </w:rPr>
      </w:pPr>
      <w:r>
        <w:rPr>
          <w:rFonts w:ascii="Courier New" w:cs="Courier New" w:eastAsia="Courier New" w:hAnsi="Courier New"/>
          <w:sz w:val="15"/>
          <w:szCs w:val="15"/>
          <w:color w:val="auto"/>
        </w:rPr>
        <w:t>David Ebersman</w:t>
      </w:r>
    </w:p>
    <w:p>
      <w:pPr>
        <w:spacing w:after="0" w:line="238" w:lineRule="auto"/>
        <w:rPr>
          <w:sz w:val="20"/>
          <w:szCs w:val="20"/>
          <w:color w:val="auto"/>
        </w:rPr>
      </w:pPr>
      <w:r>
        <w:rPr>
          <w:rFonts w:ascii="Courier New" w:cs="Courier New" w:eastAsia="Courier New" w:hAnsi="Courier New"/>
          <w:sz w:val="15"/>
          <w:szCs w:val="15"/>
          <w:color w:val="auto"/>
        </w:rPr>
        <w:t>Robert L. Garnick, Ph.D.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Susan D. Desmond-Hellmann, M.D., M.P.H.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Roy C. Hardiman</w:t>
      </w:r>
    </w:p>
    <w:p>
      <w:pPr>
        <w:spacing w:after="0"/>
        <w:rPr>
          <w:sz w:val="20"/>
          <w:szCs w:val="20"/>
          <w:color w:val="auto"/>
        </w:rPr>
      </w:pPr>
      <w:r>
        <w:rPr>
          <w:rFonts w:ascii="Courier New" w:cs="Courier New" w:eastAsia="Courier New" w:hAnsi="Courier New"/>
          <w:sz w:val="15"/>
          <w:szCs w:val="15"/>
          <w:color w:val="auto"/>
        </w:rPr>
        <w:t>Dennis J. Henner, Ph.D.</w:t>
      </w:r>
    </w:p>
    <w:p>
      <w:pPr>
        <w:spacing w:after="0"/>
        <w:rPr>
          <w:sz w:val="20"/>
          <w:szCs w:val="20"/>
          <w:color w:val="auto"/>
        </w:rPr>
      </w:pPr>
      <w:r>
        <w:rPr>
          <w:rFonts w:ascii="Courier New" w:cs="Courier New" w:eastAsia="Courier New" w:hAnsi="Courier New"/>
          <w:sz w:val="15"/>
          <w:szCs w:val="15"/>
          <w:color w:val="auto"/>
        </w:rPr>
        <w:t>Judith A. Heyboer</w:t>
      </w:r>
    </w:p>
    <w:p>
      <w:pPr>
        <w:spacing w:after="0" w:line="238" w:lineRule="auto"/>
        <w:rPr>
          <w:sz w:val="20"/>
          <w:szCs w:val="20"/>
          <w:color w:val="auto"/>
        </w:rPr>
      </w:pPr>
      <w:r>
        <w:rPr>
          <w:rFonts w:ascii="Courier New" w:cs="Courier New" w:eastAsia="Courier New" w:hAnsi="Courier New"/>
          <w:sz w:val="15"/>
          <w:szCs w:val="15"/>
          <w:color w:val="auto"/>
        </w:rPr>
        <w:t>Paula M. Jardieu, Ph.D.</w:t>
      </w:r>
    </w:p>
    <w:p>
      <w:pPr>
        <w:spacing w:after="0"/>
        <w:rPr>
          <w:sz w:val="20"/>
          <w:szCs w:val="20"/>
          <w:color w:val="auto"/>
        </w:rPr>
      </w:pPr>
      <w:r>
        <w:rPr>
          <w:rFonts w:ascii="Courier New" w:cs="Courier New" w:eastAsia="Courier New" w:hAnsi="Courier New"/>
          <w:sz w:val="15"/>
          <w:szCs w:val="15"/>
          <w:color w:val="auto"/>
        </w:rPr>
        <w:t>Sean A. Johnston, Ph.D.</w:t>
      </w:r>
    </w:p>
    <w:p>
      <w:pPr>
        <w:spacing w:after="0"/>
        <w:rPr>
          <w:sz w:val="20"/>
          <w:szCs w:val="20"/>
          <w:color w:val="auto"/>
        </w:rPr>
      </w:pPr>
      <w:r>
        <w:rPr>
          <w:rFonts w:ascii="Courier New" w:cs="Courier New" w:eastAsia="Courier New" w:hAnsi="Courier New"/>
          <w:sz w:val="15"/>
          <w:szCs w:val="15"/>
          <w:color w:val="auto"/>
        </w:rPr>
        <w:t>Stephen G. Juelsgaard</w:t>
      </w:r>
    </w:p>
    <w:p>
      <w:pPr>
        <w:spacing w:after="0" w:line="238" w:lineRule="auto"/>
        <w:rPr>
          <w:sz w:val="20"/>
          <w:szCs w:val="20"/>
          <w:color w:val="auto"/>
        </w:rPr>
      </w:pPr>
      <w:r>
        <w:rPr>
          <w:rFonts w:ascii="Courier New" w:cs="Courier New" w:eastAsia="Courier New" w:hAnsi="Courier New"/>
          <w:sz w:val="15"/>
          <w:szCs w:val="15"/>
          <w:color w:val="auto"/>
        </w:rPr>
        <w:t>R. Guy Kraines</w:t>
      </w:r>
    </w:p>
    <w:p>
      <w:pPr>
        <w:spacing w:after="0"/>
        <w:rPr>
          <w:sz w:val="20"/>
          <w:szCs w:val="20"/>
          <w:color w:val="auto"/>
        </w:rPr>
      </w:pPr>
      <w:r>
        <w:rPr>
          <w:rFonts w:ascii="Courier New" w:cs="Courier New" w:eastAsia="Courier New" w:hAnsi="Courier New"/>
          <w:sz w:val="15"/>
          <w:szCs w:val="15"/>
          <w:color w:val="auto"/>
        </w:rPr>
        <w:t>Louis J. Lavigne, Jr.</w:t>
      </w:r>
    </w:p>
    <w:p>
      <w:pPr>
        <w:spacing w:after="0"/>
        <w:rPr>
          <w:sz w:val="20"/>
          <w:szCs w:val="20"/>
          <w:color w:val="auto"/>
        </w:rPr>
      </w:pPr>
      <w:r>
        <w:rPr>
          <w:rFonts w:ascii="Courier New" w:cs="Courier New" w:eastAsia="Courier New" w:hAnsi="Courier New"/>
          <w:sz w:val="15"/>
          <w:szCs w:val="15"/>
          <w:color w:val="auto"/>
        </w:rPr>
        <w:t>Laura Leber</w:t>
      </w:r>
    </w:p>
    <w:p>
      <w:pPr>
        <w:spacing w:after="0"/>
        <w:rPr>
          <w:sz w:val="20"/>
          <w:szCs w:val="20"/>
          <w:color w:val="auto"/>
        </w:rPr>
      </w:pPr>
      <w:r>
        <w:rPr>
          <w:rFonts w:ascii="Courier New" w:cs="Courier New" w:eastAsia="Courier New" w:hAnsi="Courier New"/>
          <w:sz w:val="15"/>
          <w:szCs w:val="15"/>
          <w:color w:val="auto"/>
        </w:rPr>
        <w:t>Arthur D. Levinson, Ph.D.</w:t>
      </w:r>
    </w:p>
    <w:p>
      <w:pPr>
        <w:spacing w:after="0" w:line="238" w:lineRule="auto"/>
        <w:rPr>
          <w:sz w:val="20"/>
          <w:szCs w:val="20"/>
          <w:color w:val="auto"/>
        </w:rPr>
      </w:pPr>
      <w:r>
        <w:rPr>
          <w:rFonts w:ascii="Courier New" w:cs="Courier New" w:eastAsia="Courier New" w:hAnsi="Courier New"/>
          <w:sz w:val="15"/>
          <w:szCs w:val="15"/>
          <w:color w:val="auto"/>
        </w:rPr>
        <w:t>Walter K. Moore</w:t>
      </w:r>
    </w:p>
    <w:p>
      <w:pPr>
        <w:spacing w:after="0"/>
        <w:rPr>
          <w:sz w:val="20"/>
          <w:szCs w:val="20"/>
          <w:color w:val="auto"/>
        </w:rPr>
      </w:pPr>
      <w:r>
        <w:rPr>
          <w:rFonts w:ascii="Courier New" w:cs="Courier New" w:eastAsia="Courier New" w:hAnsi="Courier New"/>
          <w:sz w:val="15"/>
          <w:szCs w:val="15"/>
          <w:color w:val="auto"/>
        </w:rPr>
        <w:t>James P. Panek</w:t>
      </w:r>
    </w:p>
    <w:p>
      <w:pPr>
        <w:spacing w:after="0"/>
        <w:rPr>
          <w:sz w:val="20"/>
          <w:szCs w:val="20"/>
          <w:color w:val="auto"/>
        </w:rPr>
      </w:pPr>
      <w:r>
        <w:rPr>
          <w:rFonts w:ascii="Courier New" w:cs="Courier New" w:eastAsia="Courier New" w:hAnsi="Courier New"/>
          <w:sz w:val="15"/>
          <w:szCs w:val="15"/>
          <w:color w:val="auto"/>
        </w:rPr>
        <w:t>Diane L. Parks</w:t>
      </w:r>
    </w:p>
    <w:p>
      <w:pPr>
        <w:spacing w:after="0" w:line="238" w:lineRule="auto"/>
        <w:rPr>
          <w:sz w:val="20"/>
          <w:szCs w:val="20"/>
          <w:color w:val="auto"/>
        </w:rPr>
      </w:pPr>
      <w:r>
        <w:rPr>
          <w:rFonts w:ascii="Courier New" w:cs="Courier New" w:eastAsia="Courier New" w:hAnsi="Courier New"/>
          <w:sz w:val="15"/>
          <w:szCs w:val="15"/>
          <w:color w:val="auto"/>
        </w:rPr>
        <w:t>Kimberly J. Popovits</w:t>
      </w:r>
    </w:p>
    <w:p>
      <w:pPr>
        <w:spacing w:after="0"/>
        <w:rPr>
          <w:sz w:val="20"/>
          <w:szCs w:val="20"/>
          <w:color w:val="auto"/>
        </w:rPr>
      </w:pPr>
      <w:r>
        <w:rPr>
          <w:rFonts w:ascii="Courier New" w:cs="Courier New" w:eastAsia="Courier New" w:hAnsi="Courier New"/>
          <w:sz w:val="15"/>
          <w:szCs w:val="15"/>
          <w:color w:val="auto"/>
        </w:rPr>
        <w:t>Myrtle S. Potter</w:t>
      </w:r>
    </w:p>
    <w:p>
      <w:pPr>
        <w:spacing w:after="0"/>
        <w:rPr>
          <w:sz w:val="20"/>
          <w:szCs w:val="20"/>
          <w:color w:val="auto"/>
        </w:rPr>
      </w:pPr>
      <w:r>
        <w:rPr>
          <w:rFonts w:ascii="Courier New" w:cs="Courier New" w:eastAsia="Courier New" w:hAnsi="Courier New"/>
          <w:sz w:val="15"/>
          <w:szCs w:val="15"/>
          <w:color w:val="auto"/>
        </w:rPr>
        <w:t>Andrew Scherer</w:t>
      </w:r>
    </w:p>
    <w:p>
      <w:pPr>
        <w:spacing w:after="0"/>
        <w:rPr>
          <w:sz w:val="20"/>
          <w:szCs w:val="20"/>
          <w:color w:val="auto"/>
        </w:rPr>
      </w:pPr>
      <w:r>
        <w:rPr>
          <w:rFonts w:ascii="Courier New" w:cs="Courier New" w:eastAsia="Courier New" w:hAnsi="Courier New"/>
          <w:sz w:val="15"/>
          <w:szCs w:val="15"/>
          <w:color w:val="auto"/>
        </w:rPr>
        <w:t>Daniel S. Sulzbach, Ph.D.</w:t>
      </w:r>
    </w:p>
    <w:p>
      <w:pPr>
        <w:spacing w:after="0" w:line="238" w:lineRule="auto"/>
        <w:rPr>
          <w:sz w:val="20"/>
          <w:szCs w:val="20"/>
          <w:color w:val="auto"/>
        </w:rPr>
      </w:pPr>
      <w:r>
        <w:rPr>
          <w:rFonts w:ascii="Courier New" w:cs="Courier New" w:eastAsia="Courier New" w:hAnsi="Courier New"/>
          <w:sz w:val="15"/>
          <w:szCs w:val="15"/>
          <w:color w:val="auto"/>
        </w:rPr>
        <w:t>John M. Whiting</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Process Sciences and Manufacturing</w:t>
      </w:r>
    </w:p>
    <w:p>
      <w:pPr>
        <w:spacing w:after="0"/>
        <w:rPr>
          <w:sz w:val="20"/>
          <w:szCs w:val="20"/>
          <w:color w:val="auto"/>
        </w:rPr>
      </w:pPr>
      <w:r>
        <w:rPr>
          <w:rFonts w:ascii="Courier New" w:cs="Courier New" w:eastAsia="Courier New" w:hAnsi="Courier New"/>
          <w:sz w:val="15"/>
          <w:szCs w:val="15"/>
          <w:color w:val="auto"/>
        </w:rPr>
        <w:t>Vice President, Research Discovery</w:t>
      </w:r>
    </w:p>
    <w:p>
      <w:pPr>
        <w:spacing w:after="0"/>
        <w:rPr>
          <w:sz w:val="20"/>
          <w:szCs w:val="20"/>
          <w:color w:val="auto"/>
        </w:rPr>
      </w:pPr>
      <w:r>
        <w:rPr>
          <w:rFonts w:ascii="Courier New" w:cs="Courier New" w:eastAsia="Courier New" w:hAnsi="Courier New"/>
          <w:sz w:val="15"/>
          <w:szCs w:val="15"/>
          <w:color w:val="auto"/>
        </w:rPr>
        <w:t>Vice President, Quality</w:t>
      </w:r>
    </w:p>
    <w:p>
      <w:pPr>
        <w:spacing w:after="0" w:line="238" w:lineRule="auto"/>
        <w:rPr>
          <w:sz w:val="20"/>
          <w:szCs w:val="20"/>
          <w:color w:val="auto"/>
        </w:rPr>
      </w:pPr>
      <w:r>
        <w:rPr>
          <w:rFonts w:ascii="Courier New" w:cs="Courier New" w:eastAsia="Courier New" w:hAnsi="Courier New"/>
          <w:sz w:val="15"/>
          <w:szCs w:val="15"/>
          <w:color w:val="auto"/>
        </w:rPr>
        <w:t>Vice President, Medical Affairs</w:t>
      </w:r>
    </w:p>
    <w:p>
      <w:pPr>
        <w:spacing w:after="0"/>
        <w:rPr>
          <w:sz w:val="20"/>
          <w:szCs w:val="20"/>
          <w:color w:val="auto"/>
        </w:rPr>
      </w:pPr>
      <w:r>
        <w:rPr>
          <w:rFonts w:ascii="Courier New" w:cs="Courier New" w:eastAsia="Courier New" w:hAnsi="Courier New"/>
          <w:sz w:val="15"/>
          <w:szCs w:val="15"/>
          <w:color w:val="auto"/>
        </w:rPr>
        <w:t>Vice President, Product Development</w:t>
      </w:r>
    </w:p>
    <w:p>
      <w:pPr>
        <w:spacing w:after="0"/>
        <w:rPr>
          <w:sz w:val="20"/>
          <w:szCs w:val="20"/>
          <w:color w:val="auto"/>
        </w:rPr>
      </w:pPr>
      <w:r>
        <w:rPr>
          <w:rFonts w:ascii="Courier New" w:cs="Courier New" w:eastAsia="Courier New" w:hAnsi="Courier New"/>
          <w:sz w:val="15"/>
          <w:szCs w:val="15"/>
          <w:color w:val="auto"/>
        </w:rPr>
        <w:t>Vice President, Regulatory Affairs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Development and Product Operations and Chief Medical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Corporate Law</w:t>
      </w:r>
    </w:p>
    <w:p>
      <w:pPr>
        <w:spacing w:after="0"/>
        <w:rPr>
          <w:sz w:val="20"/>
          <w:szCs w:val="20"/>
          <w:color w:val="auto"/>
        </w:rPr>
      </w:pPr>
      <w:r>
        <w:rPr>
          <w:rFonts w:ascii="Courier New" w:cs="Courier New" w:eastAsia="Courier New" w:hAnsi="Courier New"/>
          <w:sz w:val="15"/>
          <w:szCs w:val="15"/>
          <w:color w:val="auto"/>
        </w:rPr>
        <w:t>Senior Vice President, Research</w:t>
      </w:r>
    </w:p>
    <w:p>
      <w:pPr>
        <w:spacing w:after="0"/>
        <w:rPr>
          <w:sz w:val="20"/>
          <w:szCs w:val="20"/>
          <w:color w:val="auto"/>
        </w:rPr>
      </w:pPr>
      <w:r>
        <w:rPr>
          <w:rFonts w:ascii="Courier New" w:cs="Courier New" w:eastAsia="Courier New" w:hAnsi="Courier New"/>
          <w:sz w:val="15"/>
          <w:szCs w:val="15"/>
          <w:color w:val="auto"/>
        </w:rPr>
        <w:t>Senior Vice President, Human Resources</w:t>
      </w:r>
    </w:p>
    <w:p>
      <w:pPr>
        <w:spacing w:after="0" w:line="238" w:lineRule="auto"/>
        <w:rPr>
          <w:sz w:val="20"/>
          <w:szCs w:val="20"/>
          <w:color w:val="auto"/>
        </w:rPr>
      </w:pPr>
      <w:r>
        <w:rPr>
          <w:rFonts w:ascii="Courier New" w:cs="Courier New" w:eastAsia="Courier New" w:hAnsi="Courier New"/>
          <w:sz w:val="15"/>
          <w:szCs w:val="15"/>
          <w:color w:val="auto"/>
        </w:rPr>
        <w:t>Vice President, Pharmacological Sciences</w:t>
      </w:r>
    </w:p>
    <w:p>
      <w:pPr>
        <w:spacing w:after="0"/>
        <w:rPr>
          <w:sz w:val="20"/>
          <w:szCs w:val="20"/>
          <w:color w:val="auto"/>
        </w:rPr>
      </w:pPr>
      <w:r>
        <w:rPr>
          <w:rFonts w:ascii="Courier New" w:cs="Courier New" w:eastAsia="Courier New" w:hAnsi="Courier New"/>
          <w:sz w:val="15"/>
          <w:szCs w:val="15"/>
          <w:color w:val="auto"/>
        </w:rPr>
        <w:t>Vice President, Intellectual Property</w:t>
      </w:r>
    </w:p>
    <w:p>
      <w:pPr>
        <w:spacing w:after="0"/>
        <w:rPr>
          <w:sz w:val="20"/>
          <w:szCs w:val="20"/>
          <w:color w:val="auto"/>
        </w:rPr>
      </w:pPr>
      <w:r>
        <w:rPr>
          <w:rFonts w:ascii="Courier New" w:cs="Courier New" w:eastAsia="Courier New" w:hAnsi="Courier New"/>
          <w:sz w:val="15"/>
          <w:szCs w:val="15"/>
          <w:color w:val="auto"/>
        </w:rPr>
        <w:t>Senior Vice President, General Counsel and Secretary</w:t>
      </w:r>
    </w:p>
    <w:p>
      <w:pPr>
        <w:spacing w:after="0" w:line="238" w:lineRule="auto"/>
        <w:rPr>
          <w:sz w:val="20"/>
          <w:szCs w:val="20"/>
          <w:color w:val="auto"/>
        </w:rPr>
      </w:pPr>
      <w:r>
        <w:rPr>
          <w:rFonts w:ascii="Courier New" w:cs="Courier New" w:eastAsia="Courier New" w:hAnsi="Courier New"/>
          <w:sz w:val="15"/>
          <w:szCs w:val="15"/>
          <w:color w:val="auto"/>
        </w:rPr>
        <w:t>Vice President, Finance</w:t>
      </w:r>
    </w:p>
    <w:p>
      <w:pPr>
        <w:spacing w:after="0"/>
        <w:rPr>
          <w:sz w:val="20"/>
          <w:szCs w:val="20"/>
          <w:color w:val="auto"/>
        </w:rPr>
      </w:pPr>
      <w:r>
        <w:rPr>
          <w:rFonts w:ascii="Courier New" w:cs="Courier New" w:eastAsia="Courier New" w:hAnsi="Courier New"/>
          <w:sz w:val="15"/>
          <w:szCs w:val="15"/>
          <w:color w:val="auto"/>
        </w:rPr>
        <w:t>Executive Vice President and Chief Financial Officer</w:t>
      </w:r>
    </w:p>
    <w:p>
      <w:pPr>
        <w:spacing w:after="0"/>
        <w:rPr>
          <w:sz w:val="20"/>
          <w:szCs w:val="20"/>
          <w:color w:val="auto"/>
        </w:rPr>
      </w:pPr>
      <w:r>
        <w:rPr>
          <w:rFonts w:ascii="Courier New" w:cs="Courier New" w:eastAsia="Courier New" w:hAnsi="Courier New"/>
          <w:sz w:val="15"/>
          <w:szCs w:val="15"/>
          <w:color w:val="auto"/>
        </w:rPr>
        <w:t>Vice President, Corporate Communications</w:t>
      </w:r>
    </w:p>
    <w:p>
      <w:pPr>
        <w:spacing w:after="0"/>
        <w:rPr>
          <w:sz w:val="20"/>
          <w:szCs w:val="20"/>
          <w:color w:val="auto"/>
        </w:rPr>
      </w:pPr>
      <w:r>
        <w:rPr>
          <w:rFonts w:ascii="Courier New" w:cs="Courier New" w:eastAsia="Courier New" w:hAnsi="Courier New"/>
          <w:sz w:val="15"/>
          <w:szCs w:val="15"/>
          <w:color w:val="auto"/>
        </w:rPr>
        <w:t>Director, Chairman, President and Chief Executive Officer</w:t>
      </w:r>
    </w:p>
    <w:p>
      <w:pPr>
        <w:spacing w:after="0" w:line="238" w:lineRule="auto"/>
        <w:rPr>
          <w:sz w:val="20"/>
          <w:szCs w:val="20"/>
          <w:color w:val="auto"/>
        </w:rPr>
      </w:pPr>
      <w:r>
        <w:rPr>
          <w:rFonts w:ascii="Courier New" w:cs="Courier New" w:eastAsia="Courier New" w:hAnsi="Courier New"/>
          <w:sz w:val="15"/>
          <w:szCs w:val="15"/>
          <w:color w:val="auto"/>
        </w:rPr>
        <w:t>Vice President, Government Affairs</w:t>
      </w:r>
    </w:p>
    <w:p>
      <w:pPr>
        <w:spacing w:after="0"/>
        <w:rPr>
          <w:sz w:val="20"/>
          <w:szCs w:val="20"/>
          <w:color w:val="auto"/>
        </w:rPr>
      </w:pPr>
      <w:r>
        <w:rPr>
          <w:rFonts w:ascii="Courier New" w:cs="Courier New" w:eastAsia="Courier New" w:hAnsi="Courier New"/>
          <w:sz w:val="15"/>
          <w:szCs w:val="15"/>
          <w:color w:val="auto"/>
        </w:rPr>
        <w:t>Senior Vice President, Product Operations</w:t>
      </w:r>
    </w:p>
    <w:p>
      <w:pPr>
        <w:spacing w:after="0"/>
        <w:rPr>
          <w:sz w:val="20"/>
          <w:szCs w:val="20"/>
          <w:color w:val="auto"/>
        </w:rPr>
      </w:pPr>
      <w:r>
        <w:rPr>
          <w:rFonts w:ascii="Courier New" w:cs="Courier New" w:eastAsia="Courier New" w:hAnsi="Courier New"/>
          <w:sz w:val="15"/>
          <w:szCs w:val="15"/>
          <w:color w:val="auto"/>
        </w:rPr>
        <w:t>Vice President, Marketing</w:t>
      </w:r>
    </w:p>
    <w:p>
      <w:pPr>
        <w:spacing w:after="0" w:line="238" w:lineRule="auto"/>
        <w:rPr>
          <w:sz w:val="20"/>
          <w:szCs w:val="20"/>
          <w:color w:val="auto"/>
        </w:rPr>
      </w:pPr>
      <w:r>
        <w:rPr>
          <w:rFonts w:ascii="Courier New" w:cs="Courier New" w:eastAsia="Courier New" w:hAnsi="Courier New"/>
          <w:sz w:val="15"/>
          <w:szCs w:val="15"/>
          <w:color w:val="auto"/>
        </w:rPr>
        <w:t>Vice President, Sales</w:t>
      </w:r>
    </w:p>
    <w:p>
      <w:pPr>
        <w:spacing w:after="0"/>
        <w:rPr>
          <w:sz w:val="20"/>
          <w:szCs w:val="20"/>
          <w:color w:val="auto"/>
        </w:rPr>
      </w:pPr>
      <w:r>
        <w:rPr>
          <w:rFonts w:ascii="Courier New" w:cs="Courier New" w:eastAsia="Courier New" w:hAnsi="Courier New"/>
          <w:sz w:val="15"/>
          <w:szCs w:val="15"/>
          <w:color w:val="auto"/>
        </w:rPr>
        <w:t>Executive Vice President, Commercial Operations and Chief Operating Officer</w:t>
      </w:r>
    </w:p>
    <w:p>
      <w:pPr>
        <w:spacing w:after="0"/>
        <w:rPr>
          <w:sz w:val="20"/>
          <w:szCs w:val="20"/>
          <w:color w:val="auto"/>
        </w:rPr>
      </w:pPr>
      <w:r>
        <w:rPr>
          <w:rFonts w:ascii="Courier New" w:cs="Courier New" w:eastAsia="Courier New" w:hAnsi="Courier New"/>
          <w:sz w:val="15"/>
          <w:szCs w:val="15"/>
          <w:color w:val="auto"/>
        </w:rPr>
        <w:t>Vice President, Facilities and Engineering</w:t>
      </w:r>
    </w:p>
    <w:p>
      <w:pPr>
        <w:spacing w:after="0"/>
        <w:rPr>
          <w:sz w:val="20"/>
          <w:szCs w:val="20"/>
          <w:color w:val="auto"/>
        </w:rPr>
      </w:pPr>
      <w:r>
        <w:rPr>
          <w:rFonts w:ascii="Courier New" w:cs="Courier New" w:eastAsia="Courier New" w:hAnsi="Courier New"/>
          <w:sz w:val="15"/>
          <w:szCs w:val="15"/>
          <w:color w:val="auto"/>
        </w:rPr>
        <w:t>Vice President, Information Resources</w:t>
      </w:r>
    </w:p>
    <w:p>
      <w:pPr>
        <w:spacing w:after="0" w:line="238" w:lineRule="auto"/>
        <w:rPr>
          <w:sz w:val="20"/>
          <w:szCs w:val="20"/>
          <w:color w:val="auto"/>
        </w:rPr>
      </w:pPr>
      <w:r>
        <w:rPr>
          <w:rFonts w:ascii="Courier New" w:cs="Courier New" w:eastAsia="Courier New" w:hAnsi="Courier New"/>
          <w:sz w:val="15"/>
          <w:szCs w:val="15"/>
          <w:color w:val="auto"/>
        </w:rPr>
        <w:t>Controller and Chief Accounting Officer</w:t>
      </w:r>
    </w:p>
    <w:p>
      <w:pPr>
        <w:spacing w:after="0" w:line="169" w:lineRule="exact"/>
        <w:rPr>
          <w:sz w:val="20"/>
          <w:szCs w:val="20"/>
          <w:color w:val="auto"/>
        </w:rPr>
      </w:pPr>
    </w:p>
    <w:p>
      <w:pPr>
        <w:sectPr>
          <w:pgSz w:w="11900" w:h="16838" w:orient="portrait"/>
          <w:cols w:equalWidth="0" w:num="2">
            <w:col w:w="3420" w:space="540"/>
            <w:col w:w="7560"/>
          </w:cols>
          <w:pgMar w:left="240" w:top="136"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DIRECTORS</w:t>
      </w:r>
    </w:p>
    <w:p>
      <w:pPr>
        <w:spacing w:after="0"/>
        <w:rPr>
          <w:sz w:val="20"/>
          <w:szCs w:val="20"/>
          <w:color w:val="auto"/>
        </w:rPr>
      </w:pPr>
      <w:r>
        <w:rPr>
          <w:rFonts w:ascii="Courier New" w:cs="Courier New" w:eastAsia="Courier New" w:hAnsi="Courier New"/>
          <w:sz w:val="15"/>
          <w:szCs w:val="15"/>
          <w:color w:val="auto"/>
        </w:rPr>
        <w:t>Herbert W. Boyer, Ph.D.</w:t>
      </w:r>
    </w:p>
    <w:p>
      <w:pPr>
        <w:spacing w:after="0"/>
        <w:rPr>
          <w:sz w:val="20"/>
          <w:szCs w:val="20"/>
          <w:color w:val="auto"/>
        </w:rPr>
      </w:pPr>
      <w:r>
        <w:rPr>
          <w:rFonts w:ascii="Courier New" w:cs="Courier New" w:eastAsia="Courier New" w:hAnsi="Courier New"/>
          <w:sz w:val="15"/>
          <w:szCs w:val="15"/>
          <w:color w:val="auto"/>
        </w:rPr>
        <w:t>Franz B. Humer, Ph.D.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Jonathan K. C. Knowles, Ph.D.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Sir Mark Richmond Ph.D.</w:t>
      </w:r>
    </w:p>
    <w:p>
      <w:pPr>
        <w:spacing w:after="0"/>
        <w:rPr>
          <w:sz w:val="20"/>
          <w:szCs w:val="20"/>
          <w:color w:val="auto"/>
        </w:rPr>
      </w:pPr>
      <w:r>
        <w:rPr>
          <w:rFonts w:ascii="Courier New" w:cs="Courier New" w:eastAsia="Courier New" w:hAnsi="Courier New"/>
          <w:sz w:val="15"/>
          <w:szCs w:val="15"/>
          <w:color w:val="auto"/>
        </w:rPr>
        <w:t>Charles Sanders, M.D.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of Genentech,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of Roche Holding Ltd and Head of the Pharmaceuticals Division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Roche Holding Ltd</w:t>
      </w:r>
    </w:p>
    <w:p>
      <w:pPr>
        <w:spacing w:after="0"/>
        <w:rPr>
          <w:sz w:val="20"/>
          <w:szCs w:val="20"/>
          <w:color w:val="auto"/>
        </w:rPr>
      </w:pPr>
      <w:r>
        <w:rPr>
          <w:rFonts w:ascii="Courier New" w:cs="Courier New" w:eastAsia="Courier New" w:hAnsi="Courier New"/>
          <w:sz w:val="15"/>
          <w:szCs w:val="15"/>
          <w:color w:val="auto"/>
        </w:rPr>
        <w:t>President of Global Research of F. Hoffmann-La Roche Holding Ltd</w:t>
      </w:r>
    </w:p>
    <w:p>
      <w:pPr>
        <w:spacing w:after="0"/>
        <w:rPr>
          <w:sz w:val="20"/>
          <w:szCs w:val="20"/>
          <w:color w:val="auto"/>
        </w:rPr>
      </w:pPr>
      <w:r>
        <w:rPr>
          <w:rFonts w:ascii="Courier New" w:cs="Courier New" w:eastAsia="Courier New" w:hAnsi="Courier New"/>
          <w:sz w:val="15"/>
          <w:szCs w:val="15"/>
          <w:color w:val="auto"/>
        </w:rPr>
        <w:t>Senior Research Fellow at the School of Public Policy, University College London</w:t>
      </w:r>
    </w:p>
    <w:p>
      <w:pPr>
        <w:spacing w:after="0" w:line="238" w:lineRule="auto"/>
        <w:rPr>
          <w:sz w:val="20"/>
          <w:szCs w:val="20"/>
          <w:color w:val="auto"/>
        </w:rPr>
      </w:pPr>
      <w:r>
        <w:rPr>
          <w:rFonts w:ascii="Courier New" w:cs="Courier New" w:eastAsia="Courier New" w:hAnsi="Courier New"/>
          <w:sz w:val="15"/>
          <w:szCs w:val="15"/>
          <w:color w:val="auto"/>
        </w:rPr>
        <w:t>Director of Genentech, Inc.</w:t>
      </w:r>
    </w:p>
    <w:p>
      <w:pPr>
        <w:spacing w:after="0" w:line="5" w:lineRule="exact"/>
        <w:rPr>
          <w:sz w:val="20"/>
          <w:szCs w:val="20"/>
          <w:color w:val="auto"/>
        </w:rPr>
      </w:pPr>
    </w:p>
    <w:p>
      <w:pPr>
        <w:sectPr>
          <w:pgSz w:w="11900" w:h="16838" w:orient="portrait"/>
          <w:cols w:equalWidth="0" w:num="2">
            <w:col w:w="3240" w:space="720"/>
            <w:col w:w="7560"/>
          </w:cols>
          <w:pgMar w:left="240" w:top="13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MAILING ADDRESS FOR ALL</w:t>
      </w:r>
    </w:p>
    <w:p>
      <w:pPr>
        <w:sectPr>
          <w:pgSz w:w="11900" w:h="16838" w:orient="portrait"/>
          <w:cols w:equalWidth="0" w:num="1">
            <w:col w:w="11520"/>
          </w:cols>
          <w:pgMar w:left="240" w:top="136" w:right="1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AND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 DNA Way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South San Francisco, CA</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94080-4990</w:t>
      </w:r>
    </w:p>
    <w:p>
      <w:pPr>
        <w:spacing w:after="0" w:line="200" w:lineRule="exact"/>
        <w:rPr>
          <w:sz w:val="20"/>
          <w:szCs w:val="20"/>
          <w:color w:val="auto"/>
        </w:rPr>
      </w:pPr>
    </w:p>
    <w:p>
      <w:pPr>
        <w:sectPr>
          <w:pgSz w:w="11900" w:h="16838" w:orient="portrait"/>
          <w:cols w:equalWidth="0" w:num="3">
            <w:col w:w="3240" w:space="720"/>
            <w:col w:w="2020" w:space="180"/>
            <w:col w:w="5360"/>
          </w:cols>
          <w:pgMar w:left="240" w:top="136" w:right="139" w:bottom="1440" w:gutter="0" w:footer="0" w:header="0"/>
          <w:type w:val="continuous"/>
        </w:sectPr>
      </w:pPr>
    </w:p>
    <w:p>
      <w:pPr>
        <w:spacing w:after="0" w:line="150" w:lineRule="exact"/>
        <w:rPr>
          <w:sz w:val="20"/>
          <w:szCs w:val="20"/>
          <w:color w:val="auto"/>
        </w:rPr>
      </w:pPr>
    </w:p>
    <w:p>
      <w:pPr>
        <w:ind w:right="4480"/>
        <w:spacing w:after="0" w:line="238" w:lineRule="auto"/>
        <w:rPr>
          <w:sz w:val="20"/>
          <w:szCs w:val="20"/>
          <w:color w:val="auto"/>
        </w:rPr>
      </w:pPr>
      <w:r>
        <w:rPr>
          <w:rFonts w:ascii="Courier New" w:cs="Courier New" w:eastAsia="Courier New" w:hAnsi="Courier New"/>
          <w:sz w:val="15"/>
          <w:szCs w:val="15"/>
          <w:color w:val="auto"/>
        </w:rPr>
        <w:t>During the last five years: (i) none of the individuals described above has been convicted in a criminal proceeding (excluding traffic violations or similar misdemeanors); and (ii) none of the individuals described above has been a party to a civil proceeding of a judicial or administrative body of competent jurisdiction which as a result of such proceeding was or is subject to a judgment, decree or final order enjoining future violations of, or prohibiting or mandating activities subject to, federal or state securities laws or finding any violation with respect to such laws. Each of the individuals listed above is a U.S. citizen, except Dr. Humer who is a citizen of Switzerland, Dr. Knowles who is a citizen of England and Sir Richmond who is a citizen of the United Kingdom.</w:t>
      </w:r>
    </w:p>
    <w:p>
      <w:pPr>
        <w:sectPr>
          <w:pgSz w:w="11900" w:h="16838" w:orient="portrait"/>
          <w:cols w:equalWidth="0" w:num="1">
            <w:col w:w="11520"/>
          </w:cols>
          <w:pgMar w:left="240" w:top="136" w:right="139"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B</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5.C. (ADDITIONAL INFORMATION):</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SALES OF CTI COMMON STOCK BY GENENTECH</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80" w:type="dxa"/>
            <w:vAlign w:val="bottom"/>
          </w:tcPr>
          <w:p>
            <w:pPr>
              <w:spacing w:after="0"/>
              <w:rPr>
                <w:sz w:val="14"/>
                <w:szCs w:val="14"/>
                <w:color w:val="auto"/>
              </w:rPr>
            </w:pP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NO. OF</w:t>
            </w:r>
          </w:p>
        </w:tc>
        <w:tc>
          <w:tcPr>
            <w:tcW w:w="16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AVERAGE SALE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DATE SOLD</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SHARES</w:t>
            </w:r>
          </w:p>
        </w:tc>
        <w:tc>
          <w:tcPr>
            <w:tcW w:w="1600" w:type="dxa"/>
            <w:vAlign w:val="bottom"/>
          </w:tcPr>
          <w:p>
            <w:pPr>
              <w:ind w:left="540"/>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ind w:left="54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1480" w:type="dxa"/>
            <w:vAlign w:val="bottom"/>
          </w:tcPr>
          <w:p>
            <w:pPr>
              <w:spacing w:after="0"/>
              <w:rPr>
                <w:sz w:val="20"/>
                <w:szCs w:val="20"/>
                <w:color w:val="auto"/>
              </w:rPr>
            </w:pPr>
            <w:r>
              <w:rPr>
                <w:rFonts w:ascii="Courier New" w:cs="Courier New" w:eastAsia="Courier New" w:hAnsi="Courier New"/>
                <w:sz w:val="15"/>
                <w:szCs w:val="15"/>
                <w:color w:val="auto"/>
              </w:rPr>
              <w:t>3/7/00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150,000</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$13.29</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3/8/00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159,690</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$11.69</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3/9/00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100,000</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$11.93</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3/10/00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100,000</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12.55</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3/13/00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100,000</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10.36</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3/14/00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60,000</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9.11</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3/15/00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110,000</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8.91</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3/15/00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49,481</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8.40</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3/28/00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37,500</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6.65</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3/29/00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37,500</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6.08</w:t>
            </w:r>
          </w:p>
        </w:tc>
      </w:tr>
      <w:tr>
        <w:trPr>
          <w:trHeight w:val="170"/>
        </w:trPr>
        <w:tc>
          <w:tcPr>
            <w:tcW w:w="148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r>
      <w:tr>
        <w:trPr>
          <w:trHeight w:val="339"/>
        </w:trPr>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TOTAL</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904,171</w:t>
            </w:r>
          </w:p>
        </w:tc>
        <w:tc>
          <w:tcPr>
            <w:tcW w:w="16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2"/>
    </w:lvl>
    <w:lvl w:ilvl="1">
      <w:lvlJc w:val="left"/>
      <w:lvlText w:val="(%2)"/>
      <w:numFmt w:val="lowerLetter"/>
      <w:start w:val="1"/>
    </w:lvl>
  </w:abstractNum>
  <w:abstractNum w:abstractNumId="7">
    <w:nsid w:val="109CF92E"/>
    <w:multiLevelType w:val="hybridMultilevel"/>
    <w:lvl w:ilvl="0">
      <w:lvlJc w:val="left"/>
      <w:lvlText w:val="(%1)"/>
      <w:numFmt w:val="decimal"/>
      <w:start w:val="3"/>
    </w:lvl>
  </w:abstractNum>
  <w:abstractNum w:abstractNumId="8">
    <w:nsid w:val="DED7263"/>
    <w:multiLevelType w:val="hybridMultilevel"/>
    <w:lvl w:ilvl="0">
      <w:lvlJc w:val="left"/>
      <w:lvlText w:val="(%1)"/>
      <w:numFmt w:val="decimal"/>
      <w:start w:val="4"/>
    </w:lvl>
  </w:abstractNum>
  <w:abstractNum w:abstractNumId="9">
    <w:nsid w:val="7FDCC233"/>
    <w:multiLevelType w:val="hybridMultilevel"/>
    <w:lvl w:ilvl="0">
      <w:lvlJc w:val="left"/>
      <w:lvlText w:val="(%1)"/>
      <w:numFmt w:val="decimal"/>
      <w:start w:val="5"/>
    </w:lvl>
  </w:abstractNum>
  <w:abstractNum w:abstractNumId="10">
    <w:nsid w:val="1BEFD79F"/>
    <w:multiLevelType w:val="hybridMultilevel"/>
    <w:lvl w:ilvl="0">
      <w:lvlJc w:val="left"/>
      <w:lvlText w:val="(%1)"/>
      <w:numFmt w:val="decimal"/>
      <w:start w:val="6"/>
    </w:lvl>
  </w:abstractNum>
  <w:abstractNum w:abstractNumId="11">
    <w:nsid w:val="41A7C4C9"/>
    <w:multiLevelType w:val="hybridMultilevel"/>
    <w:lvl w:ilvl="0">
      <w:lvlJc w:val="left"/>
      <w:lvlText w:val="-"/>
      <w:numFmt w:val="bullet"/>
      <w:start w:val="1"/>
    </w:lvl>
    <w:lvl w:ilvl="1">
      <w:lvlJc w:val="left"/>
      <w:lvlText w:val="(%2)"/>
      <w:numFmt w:val="decimal"/>
      <w:start w:val="7"/>
    </w:lvl>
  </w:abstractNum>
  <w:abstractNum w:abstractNumId="12">
    <w:nsid w:val="6B68079A"/>
    <w:multiLevelType w:val="hybridMultilevel"/>
    <w:lvl w:ilvl="0">
      <w:lvlJc w:val="left"/>
      <w:lvlText w:val="-"/>
      <w:numFmt w:val="bullet"/>
      <w:start w:val="1"/>
    </w:lvl>
    <w:lvl w:ilvl="1">
      <w:lvlJc w:val="left"/>
      <w:lvlText w:val="(%2)"/>
      <w:numFmt w:val="decimal"/>
      <w:start w:val="9"/>
    </w:lvl>
  </w:abstractNum>
  <w:abstractNum w:abstractNumId="13">
    <w:nsid w:val="4E6AFB66"/>
    <w:multiLevelType w:val="hybridMultilevel"/>
    <w:lvl w:ilvl="0">
      <w:lvlJc w:val="left"/>
      <w:lvlText w:val="(%1)"/>
      <w:numFmt w:val="decimal"/>
      <w:start w:val="11"/>
    </w:lvl>
  </w:abstractNum>
  <w:abstractNum w:abstractNumId="14">
    <w:nsid w:val="25E45D32"/>
    <w:multiLevelType w:val="hybridMultilevel"/>
    <w:lvl w:ilvl="0">
      <w:lvlJc w:val="left"/>
      <w:lvlText w:val="(%1)"/>
      <w:numFmt w:val="decimal"/>
      <w:start w:val="12"/>
    </w:lvl>
  </w:abstractNum>
  <w:abstractNum w:abstractNumId="15">
    <w:nsid w:val="519B500D"/>
    <w:multiLevelType w:val="hybridMultilevel"/>
    <w:lvl w:ilvl="0">
      <w:lvlJc w:val="left"/>
      <w:lvlText w:val="(%1)"/>
      <w:numFmt w:val="decimal"/>
      <w:start w:val="13"/>
    </w:lvl>
  </w:abstractNum>
  <w:abstractNum w:abstractNumId="16">
    <w:nsid w:val="431BD7B7"/>
    <w:multiLevelType w:val="hybridMultilevel"/>
    <w:lvl w:ilvl="0">
      <w:lvlJc w:val="left"/>
      <w:lvlText w:val="(%1)"/>
      <w:numFmt w:val="decimal"/>
      <w:start w:val="14"/>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2019-12-13T21:51:35Z</dcterms:created>
  <dcterms:modified xsi:type="dcterms:W3CDTF">2019-12-13T21:51:35Z</dcterms:modified>
</cp:coreProperties>
</file>