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1700" w:hanging="1331"/>
        <w:spacing w:after="0"/>
        <w:tabs>
          <w:tab w:leader="none" w:pos="1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jc w:val="right"/>
              <w:ind w:right="370"/>
              <w:spacing w:after="0"/>
              <w:rPr>
                <w:sz w:val="20"/>
                <w:szCs w:val="20"/>
                <w:color w:val="auto"/>
              </w:rPr>
            </w:pPr>
            <w:r>
              <w:rPr>
                <w:rFonts w:ascii="Arial" w:cs="Arial" w:eastAsia="Arial" w:hAnsi="Arial"/>
                <w:sz w:val="18"/>
                <w:szCs w:val="18"/>
                <w:color w:val="auto"/>
              </w:rPr>
              <w:t>[ ]</w:t>
            </w:r>
          </w:p>
        </w:tc>
        <w:tc>
          <w:tcPr>
            <w:tcW w:w="10180" w:type="dxa"/>
            <w:vAlign w:val="bottom"/>
            <w:gridSpan w:val="4"/>
          </w:tcPr>
          <w:p>
            <w:pPr>
              <w:ind w:left="44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tc>
      </w:tr>
      <w:tr>
        <w:trPr>
          <w:trHeight w:val="432"/>
        </w:trPr>
        <w:tc>
          <w:tcPr>
            <w:tcW w:w="1060" w:type="dxa"/>
            <w:vAlign w:val="bottom"/>
          </w:tcPr>
          <w:p>
            <w:pPr>
              <w:spacing w:after="0"/>
              <w:rPr>
                <w:sz w:val="24"/>
                <w:szCs w:val="24"/>
                <w:color w:val="auto"/>
              </w:rPr>
            </w:pPr>
          </w:p>
        </w:tc>
        <w:tc>
          <w:tcPr>
            <w:tcW w:w="6720" w:type="dxa"/>
            <w:vAlign w:val="bottom"/>
            <w:gridSpan w:val="3"/>
          </w:tcPr>
          <w:p>
            <w:pPr>
              <w:jc w:val="center"/>
              <w:ind w:left="2321"/>
              <w:spacing w:after="0"/>
              <w:rPr>
                <w:sz w:val="20"/>
                <w:szCs w:val="20"/>
                <w:color w:val="auto"/>
              </w:rPr>
            </w:pPr>
            <w:r>
              <w:rPr>
                <w:rFonts w:ascii="Arial" w:cs="Arial" w:eastAsia="Arial" w:hAnsi="Arial"/>
                <w:sz w:val="18"/>
                <w:szCs w:val="18"/>
                <w:b w:val="1"/>
                <w:bCs w:val="1"/>
                <w:color w:val="auto"/>
                <w:w w:val="91"/>
              </w:rPr>
              <w:t>For the transition period from ____ to _____</w:t>
            </w:r>
          </w:p>
        </w:tc>
        <w:tc>
          <w:tcPr>
            <w:tcW w:w="346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6720" w:type="dxa"/>
            <w:vAlign w:val="bottom"/>
            <w:gridSpan w:val="3"/>
          </w:tcPr>
          <w:p>
            <w:pPr>
              <w:jc w:val="center"/>
              <w:ind w:left="2321"/>
              <w:spacing w:after="0"/>
              <w:rPr>
                <w:sz w:val="20"/>
                <w:szCs w:val="20"/>
                <w:color w:val="auto"/>
              </w:rPr>
            </w:pPr>
            <w:r>
              <w:rPr>
                <w:rFonts w:ascii="Arial" w:cs="Arial" w:eastAsia="Arial" w:hAnsi="Arial"/>
                <w:sz w:val="18"/>
                <w:szCs w:val="18"/>
                <w:b w:val="1"/>
                <w:bCs w:val="1"/>
                <w:color w:val="auto"/>
                <w:w w:val="90"/>
              </w:rPr>
              <w:t>Commission file number: 000-19871</w:t>
            </w:r>
          </w:p>
        </w:tc>
        <w:tc>
          <w:tcPr>
            <w:tcW w:w="3460" w:type="dxa"/>
            <w:vAlign w:val="bottom"/>
          </w:tcPr>
          <w:p>
            <w:pPr>
              <w:spacing w:after="0"/>
              <w:rPr>
                <w:sz w:val="24"/>
                <w:szCs w:val="24"/>
                <w:color w:val="auto"/>
              </w:rPr>
            </w:pPr>
          </w:p>
        </w:tc>
      </w:tr>
      <w:tr>
        <w:trPr>
          <w:trHeight w:val="566"/>
        </w:trPr>
        <w:tc>
          <w:tcPr>
            <w:tcW w:w="1060" w:type="dxa"/>
            <w:vAlign w:val="bottom"/>
          </w:tcPr>
          <w:p>
            <w:pPr>
              <w:spacing w:after="0"/>
              <w:rPr>
                <w:sz w:val="24"/>
                <w:szCs w:val="24"/>
                <w:color w:val="auto"/>
              </w:rPr>
            </w:pPr>
          </w:p>
        </w:tc>
        <w:tc>
          <w:tcPr>
            <w:tcW w:w="6720" w:type="dxa"/>
            <w:vAlign w:val="bottom"/>
            <w:gridSpan w:val="3"/>
          </w:tcPr>
          <w:p>
            <w:pPr>
              <w:jc w:val="center"/>
              <w:ind w:left="2301"/>
              <w:spacing w:after="0"/>
              <w:rPr>
                <w:sz w:val="20"/>
                <w:szCs w:val="20"/>
                <w:color w:val="auto"/>
              </w:rPr>
            </w:pPr>
            <w:r>
              <w:rPr>
                <w:rFonts w:ascii="Arial" w:cs="Arial" w:eastAsia="Arial" w:hAnsi="Arial"/>
                <w:sz w:val="32"/>
                <w:szCs w:val="32"/>
                <w:b w:val="1"/>
                <w:bCs w:val="1"/>
                <w:color w:val="auto"/>
              </w:rPr>
              <w:t>MICROBOT MEDICAL INC.</w:t>
            </w:r>
          </w:p>
        </w:tc>
        <w:tc>
          <w:tcPr>
            <w:tcW w:w="34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6720" w:type="dxa"/>
            <w:vAlign w:val="bottom"/>
            <w:gridSpan w:val="3"/>
          </w:tcPr>
          <w:p>
            <w:pPr>
              <w:jc w:val="center"/>
              <w:ind w:left="2301"/>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3460" w:type="dxa"/>
            <w:vAlign w:val="bottom"/>
          </w:tcPr>
          <w:p>
            <w:pPr>
              <w:spacing w:after="0"/>
              <w:rPr>
                <w:sz w:val="20"/>
                <w:szCs w:val="20"/>
                <w:color w:val="auto"/>
              </w:rPr>
            </w:pPr>
          </w:p>
        </w:tc>
      </w:tr>
      <w:tr>
        <w:trPr>
          <w:trHeight w:val="439"/>
        </w:trPr>
        <w:tc>
          <w:tcPr>
            <w:tcW w:w="1060" w:type="dxa"/>
            <w:vAlign w:val="bottom"/>
          </w:tcPr>
          <w:p>
            <w:pPr>
              <w:spacing w:after="0"/>
              <w:rPr>
                <w:sz w:val="24"/>
                <w:szCs w:val="24"/>
                <w:color w:val="auto"/>
              </w:rPr>
            </w:pPr>
          </w:p>
        </w:tc>
        <w:tc>
          <w:tcPr>
            <w:tcW w:w="672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1950"/>
              <w:spacing w:after="0"/>
              <w:rPr>
                <w:sz w:val="20"/>
                <w:szCs w:val="20"/>
                <w:color w:val="auto"/>
              </w:rPr>
            </w:pPr>
            <w:r>
              <w:rPr>
                <w:rFonts w:ascii="Arial" w:cs="Arial" w:eastAsia="Arial" w:hAnsi="Arial"/>
                <w:sz w:val="18"/>
                <w:szCs w:val="18"/>
                <w:b w:val="1"/>
                <w:bCs w:val="1"/>
                <w:color w:val="auto"/>
                <w:w w:val="89"/>
              </w:rPr>
              <w:t>94-3078125</w:t>
            </w:r>
          </w:p>
        </w:tc>
      </w:tr>
      <w:tr>
        <w:trPr>
          <w:trHeight w:val="202"/>
        </w:trPr>
        <w:tc>
          <w:tcPr>
            <w:tcW w:w="106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tcPr>
          <w:p>
            <w:pPr>
              <w:jc w:val="center"/>
              <w:ind w:right="961"/>
              <w:spacing w:after="0" w:line="201" w:lineRule="exact"/>
              <w:rPr>
                <w:sz w:val="20"/>
                <w:szCs w:val="20"/>
                <w:color w:val="auto"/>
              </w:rPr>
            </w:pPr>
            <w:r>
              <w:rPr>
                <w:rFonts w:ascii="Arial" w:cs="Arial" w:eastAsia="Arial" w:hAnsi="Arial"/>
                <w:sz w:val="18"/>
                <w:szCs w:val="18"/>
                <w:i w:val="1"/>
                <w:iCs w:val="1"/>
                <w:color w:val="auto"/>
                <w:w w:val="93"/>
              </w:rPr>
              <w:t>(State or Other Jurisdiction</w:t>
            </w:r>
          </w:p>
        </w:tc>
        <w:tc>
          <w:tcPr>
            <w:tcW w:w="2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right="1930"/>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1060" w:type="dxa"/>
            <w:vAlign w:val="bottom"/>
          </w:tcPr>
          <w:p>
            <w:pPr>
              <w:spacing w:after="0"/>
              <w:rPr>
                <w:sz w:val="20"/>
                <w:szCs w:val="20"/>
                <w:color w:val="auto"/>
              </w:rPr>
            </w:pPr>
          </w:p>
        </w:tc>
        <w:tc>
          <w:tcPr>
            <w:tcW w:w="6720" w:type="dxa"/>
            <w:vAlign w:val="bottom"/>
            <w:gridSpan w:val="3"/>
          </w:tcPr>
          <w:p>
            <w:pPr>
              <w:jc w:val="center"/>
              <w:ind w:right="3300"/>
              <w:spacing w:after="0"/>
              <w:rPr>
                <w:sz w:val="20"/>
                <w:szCs w:val="20"/>
                <w:color w:val="auto"/>
              </w:rPr>
            </w:pPr>
            <w:r>
              <w:rPr>
                <w:rFonts w:ascii="Arial" w:cs="Arial" w:eastAsia="Arial" w:hAnsi="Arial"/>
                <w:sz w:val="18"/>
                <w:szCs w:val="18"/>
                <w:i w:val="1"/>
                <w:iCs w:val="1"/>
                <w:color w:val="auto"/>
                <w:w w:val="94"/>
              </w:rPr>
              <w:t>of Incorporation or Organization)</w:t>
            </w:r>
          </w:p>
        </w:tc>
        <w:tc>
          <w:tcPr>
            <w:tcW w:w="3460" w:type="dxa"/>
            <w:vAlign w:val="bottom"/>
          </w:tcPr>
          <w:p>
            <w:pPr>
              <w:jc w:val="center"/>
              <w:ind w:right="195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5"/>
          </w:tcPr>
          <w:p>
            <w:pPr>
              <w:jc w:val="center"/>
              <w:ind w:right="3390"/>
              <w:spacing w:after="0"/>
              <w:rPr>
                <w:sz w:val="20"/>
                <w:szCs w:val="20"/>
                <w:color w:val="auto"/>
              </w:rPr>
            </w:pPr>
            <w:r>
              <w:rPr>
                <w:rFonts w:ascii="Arial" w:cs="Arial" w:eastAsia="Arial" w:hAnsi="Arial"/>
                <w:sz w:val="18"/>
                <w:szCs w:val="18"/>
                <w:b w:val="1"/>
                <w:bCs w:val="1"/>
                <w:color w:val="auto"/>
                <w:w w:val="88"/>
              </w:rPr>
              <w:t>Securities registered under Section 12(b) of the Act:</w:t>
            </w:r>
          </w:p>
        </w:tc>
      </w:tr>
      <w:tr>
        <w:trPr>
          <w:trHeight w:val="439"/>
        </w:trPr>
        <w:tc>
          <w:tcPr>
            <w:tcW w:w="3480" w:type="dxa"/>
            <w:vAlign w:val="bottom"/>
          </w:tcPr>
          <w:p>
            <w:pPr>
              <w:jc w:val="center"/>
              <w:ind w:left="730"/>
              <w:spacing w:after="0"/>
              <w:rPr>
                <w:sz w:val="20"/>
                <w:szCs w:val="20"/>
                <w:color w:val="auto"/>
              </w:rPr>
            </w:pPr>
            <w:r>
              <w:rPr>
                <w:rFonts w:ascii="Arial" w:cs="Arial" w:eastAsia="Arial" w:hAnsi="Arial"/>
                <w:sz w:val="18"/>
                <w:szCs w:val="18"/>
                <w:b w:val="1"/>
                <w:bCs w:val="1"/>
                <w:color w:val="auto"/>
                <w:w w:val="86"/>
              </w:rPr>
              <w:t>Title of each class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480" w:type="dxa"/>
            <w:vAlign w:val="bottom"/>
            <w:tcBorders>
              <w:top w:val="single" w:sz="8" w:color="auto"/>
            </w:tcBorders>
          </w:tcPr>
          <w:p>
            <w:pPr>
              <w:jc w:val="center"/>
              <w:ind w:left="730"/>
              <w:spacing w:after="0"/>
              <w:rPr>
                <w:sz w:val="20"/>
                <w:szCs w:val="20"/>
                <w:color w:val="auto"/>
              </w:rPr>
            </w:pPr>
            <w:r>
              <w:rPr>
                <w:rFonts w:ascii="Arial" w:cs="Arial" w:eastAsia="Arial" w:hAnsi="Arial"/>
                <w:sz w:val="18"/>
                <w:szCs w:val="18"/>
                <w:color w:val="auto"/>
                <w:w w:val="90"/>
              </w:rPr>
              <w:t>Common Stock, Par value $0.01</w:t>
            </w: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6"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[X]</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4900" w:space="720"/>
            <w:col w:w="5620"/>
          </w:cols>
          <w:pgMar w:left="320" w:top="746" w:right="339" w:bottom="146" w:gutter="0" w:footer="0" w:header="0"/>
          <w:type w:val="continuous"/>
        </w:sectPr>
      </w:pPr>
    </w:p>
    <w:p>
      <w:pPr>
        <w:spacing w:after="0" w:line="2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ectPr>
          <w:pgSz w:w="11900" w:h="16838" w:orient="portrait"/>
          <w:cols w:equalWidth="0" w:num="1">
            <w:col w:w="11240"/>
          </w:cols>
          <w:pgMar w:left="320" w:top="746" w:right="339" w:bottom="146"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$46,050,375.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as of March 29, 2021: 7,108,133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Amendment No. 1 on Form 10-K/A (this “Amendment”) amends the Annual Report on Form 10-K of Microbot Medical Inc. (the “Company”) for the year ended December 31, 2020, as filed with the Securities and Exchange Commission on March 31, 2021 (the “Form 10-K”).</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Form 10-K, the Company inadvertently omitted (a) “/s/ Brightman Almagor Zohar &amp; Co.” on the signature line in the document titled “Report of Independent Registered Public Accounting Firm” (the “Audit Report”), (b) “We have served as the Company’s auditor since 2013.” from the Audit Report and (c) “/s/ Brightman Almagor Zohar &amp; Co.” on the signature line in the document titled “Consent of Independent Registered Public Accounting Firm” in Exhibit 23.1 filed with the Form 10-K (the “Consent”).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Report and Consent were each signed by Brightman Almagor Zohar &amp; Co. and delivered to the Company, and Brightman Almagor Zohar &amp; Co. provided their consent to the Company to release the Audit Report and the Consent and file the Form 10-K prior to the original filing of the Form 10-K, but the conformed signature lines and the other disclosure was inadvertently omitted from the versions of the Audit Report and Consent included in or accompanying the filing.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by Rule 12b-15 under the Securities Exchange Act of 1934, as amended, new certifications by our principal executive officer and principal financial officer are being filed as Exhibits 31.1, 31.2, 32.1 and 32.2 to this Amendment.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consists solely of the preceding cover page, this explanatory note, the information required by Item 15 of Form 10-K, a signature page, a replacement Exhibit 23.1, and certifications required to be filed as exhibits hereto. Except as described in this Explanatory Note, this Amendment does not modify, amend, or update any of the financial information or any other information set forth in the Form 10-K, and this Amendment does not reflect events that occurred subsequent to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financial statements are filed as part of this Annual Report on Form 10-K commencing on page F-1 and are hereby incorporated by reference</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 schedules are omitted as they are either not applicable or the information required is presented in the financial statements and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Description of Document</w:t>
            </w:r>
          </w:p>
        </w:tc>
      </w:tr>
      <w:tr>
        <w:trPr>
          <w:trHeight w:val="175"/>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120" w:type="dxa"/>
            <w:vAlign w:val="bottom"/>
            <w:tcBorders>
              <w:bottom w:val="single" w:sz="8" w:color="0000EE"/>
            </w:tcBorders>
            <w:gridSpan w:val="5"/>
          </w:tcPr>
          <w:p>
            <w:pPr>
              <w:spacing w:after="0" w:line="176" w:lineRule="exact"/>
              <w:rPr>
                <w:rFonts w:ascii="Arial" w:cs="Arial" w:eastAsia="Arial" w:hAnsi="Arial"/>
                <w:sz w:val="18"/>
                <w:szCs w:val="18"/>
                <w:color w:val="0000EE"/>
                <w:w w:val="94"/>
              </w:rPr>
            </w:pPr>
            <w:hyperlink r:id="rId13">
              <w:r>
                <w:rPr>
                  <w:rFonts w:ascii="Arial" w:cs="Arial" w:eastAsia="Arial" w:hAnsi="Arial"/>
                  <w:sz w:val="18"/>
                  <w:szCs w:val="18"/>
                  <w:color w:val="0000EE"/>
                  <w:w w:val="94"/>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3">
              <w:r>
                <w:rPr>
                  <w:rFonts w:ascii="Arial" w:cs="Arial" w:eastAsia="Arial" w:hAnsi="Arial"/>
                  <w:sz w:val="18"/>
                  <w:szCs w:val="18"/>
                  <w:color w:val="0000EE"/>
                  <w:w w:val="92"/>
                </w:rPr>
                <w:t>Microbot Medical Ltd. (incorporated by reference to the Company’s Current Report on Form 8-K filed on August 15, 2016).</w:t>
              </w:r>
            </w:hyperlink>
          </w:p>
        </w:tc>
        <w:tc>
          <w:tcPr>
            <w:tcW w:w="116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r:id="rId14">
              <w:r>
                <w:rPr>
                  <w:rFonts w:ascii="Arial" w:cs="Arial" w:eastAsia="Arial" w:hAnsi="Arial"/>
                  <w:sz w:val="18"/>
                  <w:szCs w:val="18"/>
                  <w:color w:val="0000EE"/>
                  <w:w w:val="94"/>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
              <w:r>
                <w:rPr>
                  <w:rFonts w:ascii="Arial" w:cs="Arial" w:eastAsia="Arial" w:hAnsi="Arial"/>
                  <w:sz w:val="18"/>
                  <w:szCs w:val="18"/>
                  <w:color w:val="0000EE"/>
                  <w:w w:val="90"/>
                </w:rPr>
                <w:t>fiscal year ended December 31, 2006 and filed on March 15, 2007).</w:t>
              </w:r>
            </w:hyperlink>
          </w:p>
        </w:tc>
        <w:tc>
          <w:tcPr>
            <w:tcW w:w="52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Report on Form 8-K filed on November 29, 2016).</w:t>
              </w:r>
            </w:hyperlink>
          </w:p>
        </w:tc>
        <w:tc>
          <w:tcPr>
            <w:tcW w:w="648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6"/>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8-K filed on September 4, 2018).</w:t>
              </w:r>
            </w:hyperlink>
          </w:p>
        </w:tc>
      </w:tr>
      <w:tr>
        <w:trPr>
          <w:trHeight w:val="487"/>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Borders>
              <w:top w:val="single" w:sz="8" w:color="0000EE"/>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r:id="rId17">
        <w:r>
          <w:rPr>
            <w:rFonts w:ascii="Arial" w:cs="Arial" w:eastAsia="Arial" w:hAnsi="Arial"/>
            <w:sz w:val="16"/>
            <w:szCs w:val="16"/>
            <w:u w:val="single" w:color="auto"/>
            <w:color w:val="0000EE"/>
          </w:rPr>
          <w:t>Amended and Restated By-Laws of the Company (incorporated by reference to the Company’s Current Report on Form 8-K filed on May 3,</w:t>
        </w:r>
      </w:hyperlink>
    </w:p>
    <w:p>
      <w:pPr>
        <w:spacing w:after="0" w:line="23" w:lineRule="exact"/>
        <w:rPr>
          <w:sz w:val="20"/>
          <w:szCs w:val="20"/>
          <w:color w:val="auto"/>
        </w:rPr>
      </w:pPr>
    </w:p>
    <w:p>
      <w:pPr>
        <w:ind w:left="800"/>
        <w:spacing w:after="0"/>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2016).</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3.5</w:t>
      </w:r>
      <w:r>
        <w:rPr>
          <w:sz w:val="20"/>
          <w:szCs w:val="20"/>
          <w:color w:val="auto"/>
        </w:rPr>
        <w:tab/>
      </w:r>
      <w:hyperlink r:id="rId18">
        <w:r>
          <w:rPr>
            <w:rFonts w:ascii="Arial" w:cs="Arial" w:eastAsia="Arial" w:hAnsi="Arial"/>
            <w:sz w:val="16"/>
            <w:szCs w:val="16"/>
            <w:u w:val="single" w:color="auto"/>
            <w:color w:val="0000EE"/>
          </w:rPr>
          <w:t>Certificate of Elimination (incorporated by reference to the Company’s Current Report on Form 8-K filed on December 12, 2018).</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3.6</w:t>
      </w:r>
      <w:r>
        <w:rPr>
          <w:sz w:val="20"/>
          <w:szCs w:val="20"/>
          <w:color w:val="auto"/>
        </w:rPr>
        <w:tab/>
      </w:r>
      <w:hyperlink r:id="rId19">
        <w:r>
          <w:rPr>
            <w:rFonts w:ascii="Arial" w:cs="Arial" w:eastAsia="Arial" w:hAnsi="Arial"/>
            <w:sz w:val="16"/>
            <w:szCs w:val="16"/>
            <w:u w:val="single" w:color="auto"/>
            <w:color w:val="0000EE"/>
          </w:rPr>
          <w:t>Certificate of Amendment to the Restated Certificate of Incorporation (incorporated by reference to the Company’s Current Report on Form</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8-K filed on September 11, 2019).</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0">
        <w:r>
          <w:rPr>
            <w:rFonts w:ascii="Arial" w:cs="Arial" w:eastAsia="Arial" w:hAnsi="Arial"/>
            <w:sz w:val="16"/>
            <w:szCs w:val="16"/>
            <w:u w:val="single" w:color="auto"/>
            <w:color w:val="0000EE"/>
          </w:rPr>
          <w:t>Form of Series A Warrant (incorporated by reference to the Registrant’s Current Report on Form 8-K filed on December 16, 2016).</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21">
        <w:r>
          <w:rPr>
            <w:rFonts w:ascii="Arial" w:cs="Arial" w:eastAsia="Arial" w:hAnsi="Arial"/>
            <w:sz w:val="16"/>
            <w:szCs w:val="16"/>
            <w:u w:val="single" w:color="auto"/>
            <w:color w:val="0000EE"/>
          </w:rPr>
          <w:t>Form of Series B Warrant (incorporated by reference to the Company’s Current Report on Form 8-K filed on December 16, 2016).</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2">
        <w:r>
          <w:rPr>
            <w:rFonts w:ascii="Arial" w:cs="Arial" w:eastAsia="Arial" w:hAnsi="Arial"/>
            <w:sz w:val="16"/>
            <w:szCs w:val="16"/>
            <w:u w:val="single" w:color="auto"/>
            <w:color w:val="0000EE"/>
          </w:rPr>
          <w:t>Form of Wainwright Warrant (incorporated by reference to the Registrant’s Current Report on Form 8-K filed on January 16, 2019)</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23">
        <w:r>
          <w:rPr>
            <w:rFonts w:ascii="Arial" w:cs="Arial" w:eastAsia="Arial" w:hAnsi="Arial"/>
            <w:sz w:val="16"/>
            <w:szCs w:val="16"/>
            <w:u w:val="single" w:color="auto"/>
            <w:color w:val="0000EE"/>
          </w:rPr>
          <w:t>Form of Wainwright Warrant (incorporated by reference to the Registrant’s Current Report on Form 8-K filed on January 17, 2019).</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24">
        <w:r>
          <w:rPr>
            <w:rFonts w:ascii="Arial" w:cs="Arial" w:eastAsia="Arial" w:hAnsi="Arial"/>
            <w:sz w:val="16"/>
            <w:szCs w:val="16"/>
            <w:u w:val="single" w:color="auto"/>
            <w:color w:val="0000EE"/>
          </w:rPr>
          <w:t>Form of Warrant (incorporated by reference to the Registrant’s Current Report on Form 8-K filed on January 25, 2019).</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25">
        <w:r>
          <w:rPr>
            <w:rFonts w:ascii="Arial" w:cs="Arial" w:eastAsia="Arial" w:hAnsi="Arial"/>
            <w:sz w:val="16"/>
            <w:szCs w:val="16"/>
            <w:u w:val="single" w:color="auto"/>
            <w:color w:val="0000EE"/>
          </w:rPr>
          <w:t>Form of Warrant (incorporated by reference to the Registrant’s Current Report on Form 8-K filed on December 27, 2019).</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26">
        <w:r>
          <w:rPr>
            <w:rFonts w:ascii="Arial" w:cs="Arial" w:eastAsia="Arial" w:hAnsi="Arial"/>
            <w:sz w:val="16"/>
            <w:szCs w:val="16"/>
            <w:u w:val="single" w:color="auto"/>
            <w:color w:val="0000EE"/>
          </w:rPr>
          <w:t>Form of Wainwright Warrants (incorporated by reference to the Registrant’s Current Report on Form 8-K filed on January 25, 2019).</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27">
        <w:r>
          <w:rPr>
            <w:rFonts w:ascii="Arial" w:cs="Arial" w:eastAsia="Arial" w:hAnsi="Arial"/>
            <w:sz w:val="16"/>
            <w:szCs w:val="16"/>
            <w:u w:val="single" w:color="auto"/>
            <w:color w:val="0000EE"/>
          </w:rPr>
          <w:t>Form of Warrant (incorporated by reference to the Registrant’s Current Report on Form 8-K filed on December 30, 2019).</w:t>
        </w:r>
      </w:hyperlink>
    </w:p>
    <w:p>
      <w:pPr>
        <w:spacing w:after="0" w:line="9"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r:id="rId28">
        <w:r>
          <w:rPr>
            <w:rFonts w:ascii="Arial" w:cs="Arial" w:eastAsia="Arial" w:hAnsi="Arial"/>
            <w:sz w:val="16"/>
            <w:szCs w:val="16"/>
            <w:u w:val="single" w:color="auto"/>
            <w:color w:val="0000EE"/>
          </w:rPr>
          <w:t>Form of Warrant (incorporated by reference to the Registrant’s Current Report on Form 8-K filed on December 31, 2019).</w:t>
        </w:r>
      </w:hyperlink>
    </w:p>
    <w:p>
      <w:pPr>
        <w:spacing w:after="0" w:line="9" w:lineRule="exact"/>
        <w:rPr>
          <w:sz w:val="20"/>
          <w:szCs w:val="20"/>
          <w:color w:val="auto"/>
        </w:rPr>
      </w:pPr>
    </w:p>
    <w:p>
      <w:pPr>
        <w:jc w:val="both"/>
        <w:ind w:left="800" w:hanging="764"/>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29">
        <w:r>
          <w:rPr>
            <w:rFonts w:ascii="Arial" w:cs="Arial" w:eastAsia="Arial" w:hAnsi="Arial"/>
            <w:sz w:val="18"/>
            <w:szCs w:val="18"/>
            <w:u w:val="single" w:color="auto"/>
            <w:color w:val="0000EE"/>
          </w:rPr>
          <w:t>Description of the Company’s Securities (incorporated by reference to the Registrant’s Annual Report on Form 10-K for the fiscal year</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ended December 31, 2019).</w:t>
        </w:r>
      </w:hyperlink>
    </w:p>
    <w:p>
      <w:pPr>
        <w:spacing w:after="0" w:line="1" w:lineRule="exact"/>
        <w:rPr>
          <w:sz w:val="20"/>
          <w:szCs w:val="20"/>
          <w:color w:val="auto"/>
        </w:rPr>
      </w:pPr>
    </w:p>
    <w:p>
      <w:pPr>
        <w:jc w:val="both"/>
        <w:ind w:left="800" w:right="20" w:hanging="764"/>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0">
        <w:r>
          <w:rPr>
            <w:rFonts w:ascii="Arial" w:cs="Arial" w:eastAsia="Arial" w:hAnsi="Arial"/>
            <w:sz w:val="18"/>
            <w:szCs w:val="18"/>
            <w:u w:val="single" w:color="auto"/>
            <w:color w:val="0000EE"/>
          </w:rPr>
          <w:t>Form of Indemnification Agreement, between the Company and each of its Directors and Officers (incorporated by reference to the</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Company’s Current Report on Form 8-K filed on November 29, 2016).</w:t>
        </w:r>
      </w:hyperlink>
    </w:p>
    <w:p>
      <w:pPr>
        <w:spacing w:after="0" w:line="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31">
        <w:r>
          <w:rPr>
            <w:rFonts w:ascii="Arial" w:cs="Arial" w:eastAsia="Arial" w:hAnsi="Arial"/>
            <w:sz w:val="16"/>
            <w:szCs w:val="16"/>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2016).</w:t>
        </w:r>
      </w:hyperlink>
    </w:p>
    <w:p>
      <w:pPr>
        <w:spacing w:after="0" w:line="9" w:lineRule="exact"/>
        <w:rPr>
          <w:sz w:val="20"/>
          <w:szCs w:val="20"/>
          <w:color w:val="auto"/>
        </w:rPr>
      </w:pPr>
    </w:p>
    <w:p>
      <w:pPr>
        <w:ind w:left="800" w:hanging="809"/>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32">
        <w:r>
          <w:rPr>
            <w:rFonts w:ascii="Arial" w:cs="Arial" w:eastAsia="Arial" w:hAnsi="Arial"/>
            <w:sz w:val="18"/>
            <w:szCs w:val="18"/>
            <w:u w:val="single" w:color="auto"/>
            <w:color w:val="0000EE"/>
          </w:rPr>
          <w:t>Services Agreement with DBN Finance Services Ltd. (incorporated by reference to the Company’s Current Report on Form 8-K filed on</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November 29, 2016).</w:t>
        </w:r>
      </w:hyperlink>
    </w:p>
    <w:p>
      <w:pPr>
        <w:spacing w:after="0" w:line="1" w:lineRule="exact"/>
        <w:rPr>
          <w:sz w:val="20"/>
          <w:szCs w:val="20"/>
          <w:color w:val="auto"/>
        </w:rPr>
      </w:pPr>
    </w:p>
    <w:p>
      <w:pPr>
        <w:jc w:val="both"/>
        <w:ind w:left="800" w:hanging="764"/>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33">
        <w:r>
          <w:rPr>
            <w:rFonts w:ascii="Arial" w:cs="Arial" w:eastAsia="Arial" w:hAnsi="Arial"/>
            <w:sz w:val="18"/>
            <w:szCs w:val="18"/>
            <w:u w:val="single" w:color="auto"/>
            <w:color w:val="0000EE"/>
          </w:rPr>
          <w:t>License Agreement, dated June 20, 2012, by and between Technion Research and Development Foundation, and Microbot Medical Ltd.</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(incorporated by reference to the Company’s Annual Report on Form 10-K for the fiscal year ended December 31, 2016 and filed on March</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21, 2017).</w:t>
        </w:r>
      </w:hyperlink>
    </w:p>
    <w:p>
      <w:pPr>
        <w:spacing w:after="0" w:line="1" w:lineRule="exact"/>
        <w:rPr>
          <w:rFonts w:ascii="Arial" w:cs="Arial" w:eastAsia="Arial" w:hAnsi="Arial"/>
          <w:sz w:val="18"/>
          <w:szCs w:val="18"/>
          <w:u w:val="single" w:color="auto"/>
          <w:color w:val="0000EE"/>
        </w:rPr>
      </w:pPr>
    </w:p>
    <w:p>
      <w:pPr>
        <w:ind w:left="800" w:hanging="809"/>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34">
        <w:r>
          <w:rPr>
            <w:rFonts w:ascii="Arial" w:cs="Arial" w:eastAsia="Arial" w:hAnsi="Arial"/>
            <w:sz w:val="18"/>
            <w:szCs w:val="18"/>
            <w:u w:val="single" w:color="auto"/>
            <w:color w:val="0000EE"/>
          </w:rPr>
          <w:t>Form of Stock Option Agreement under the Microbot Medical Inc. 2017 Equity Incentive Plan (incorporated by reference to the Company’s</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ind w:left="800" w:right="20" w:hanging="764"/>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35">
        <w:r>
          <w:rPr>
            <w:rFonts w:ascii="Arial" w:cs="Arial" w:eastAsia="Arial" w:hAnsi="Arial"/>
            <w:sz w:val="18"/>
            <w:szCs w:val="18"/>
            <w:u w:val="single" w:color="auto"/>
            <w:color w:val="0000EE"/>
          </w:rPr>
          <w:t>Agreement, dated January 4, 2018, by and between CardioSert Ltd. and Microbot Medical Ltd. (incorporated by reference to the Company’s</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Current Report on Form 8-K filed on January 8, 2018).</w:t>
        </w:r>
      </w:hyperlink>
    </w:p>
    <w:p>
      <w:pPr>
        <w:spacing w:after="0" w:line="1" w:lineRule="exact"/>
        <w:rPr>
          <w:sz w:val="20"/>
          <w:szCs w:val="20"/>
          <w:color w:val="auto"/>
        </w:rPr>
      </w:pPr>
    </w:p>
    <w:p>
      <w:pPr>
        <w:ind w:left="800" w:hanging="809"/>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36">
        <w:r>
          <w:rPr>
            <w:rFonts w:ascii="Arial" w:cs="Arial" w:eastAsia="Arial" w:hAnsi="Arial"/>
            <w:sz w:val="18"/>
            <w:szCs w:val="18"/>
            <w:u w:val="single" w:color="auto"/>
            <w:color w:val="0000EE"/>
          </w:rPr>
          <w:t>Employment Agreement with Dr. Eyal Morag (incorporated by reference to the Registrant’s Annual Report on Form 10-K for the fiscal year</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ended December 31, 2019 filed on April 14, 2020).</w:t>
        </w:r>
      </w:hyperlink>
    </w:p>
    <w:p>
      <w:pPr>
        <w:spacing w:after="0" w:line="1" w:lineRule="exact"/>
        <w:rPr>
          <w:sz w:val="20"/>
          <w:szCs w:val="20"/>
          <w:color w:val="auto"/>
        </w:rPr>
      </w:pPr>
    </w:p>
    <w:p>
      <w:pPr>
        <w:ind w:left="800" w:hanging="809"/>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37">
        <w:r>
          <w:rPr>
            <w:rFonts w:ascii="Arial" w:cs="Arial" w:eastAsia="Arial" w:hAnsi="Arial"/>
            <w:sz w:val="18"/>
            <w:szCs w:val="18"/>
            <w:u w:val="single" w:color="auto"/>
            <w:color w:val="0000EE"/>
          </w:rPr>
          <w:t>Microbot Medical Inc. 2017 Equity Incentive Plan (incorporated by reference to Exhibit A of the Company’s Definitive Proxy Statement on</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Schedule 14A filed on August 11, 2017).</w:t>
        </w:r>
      </w:hyperlink>
    </w:p>
    <w:p>
      <w:pPr>
        <w:spacing w:after="0" w:line="1" w:lineRule="exact"/>
        <w:rPr>
          <w:sz w:val="20"/>
          <w:szCs w:val="20"/>
          <w:color w:val="auto"/>
        </w:rPr>
      </w:pPr>
    </w:p>
    <w:p>
      <w:pPr>
        <w:ind w:left="800" w:hanging="809"/>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38">
        <w:r>
          <w:rPr>
            <w:rFonts w:ascii="Arial" w:cs="Arial" w:eastAsia="Arial" w:hAnsi="Arial"/>
            <w:sz w:val="18"/>
            <w:szCs w:val="18"/>
            <w:u w:val="single" w:color="auto"/>
            <w:color w:val="0000EE"/>
          </w:rPr>
          <w:t>Microbot Medical Inc. 2020 Omnibus Performance Award Plan (incorporated by reference to Exhibit A of the Company’s definitive Proxy</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Statement on Schedule 14A filed on July 31, 2020)</w:t>
        </w:r>
      </w:hyperlink>
    </w:p>
    <w:p>
      <w:pPr>
        <w:spacing w:after="0" w:line="1" w:lineRule="exact"/>
        <w:rPr>
          <w:sz w:val="20"/>
          <w:szCs w:val="20"/>
          <w:color w:val="auto"/>
        </w:rPr>
      </w:pPr>
    </w:p>
    <w:p>
      <w:pPr>
        <w:ind w:left="800" w:hanging="854"/>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39">
        <w:r>
          <w:rPr>
            <w:rFonts w:ascii="Arial" w:cs="Arial" w:eastAsia="Arial" w:hAnsi="Arial"/>
            <w:sz w:val="17"/>
            <w:szCs w:val="17"/>
            <w:u w:val="single" w:color="auto"/>
            <w:color w:val="0000EE"/>
          </w:rPr>
          <w:t>Form of Restricted Stock Unit Award Agreement under the Microbot Medical Inc. 2020 Omnibus Performance Award Plan (incorporated by</w:t>
        </w:r>
      </w:hyperlink>
      <w:r>
        <w:rPr>
          <w:rFonts w:ascii="Arial" w:cs="Arial" w:eastAsia="Arial" w:hAnsi="Arial"/>
          <w:sz w:val="17"/>
          <w:szCs w:val="17"/>
          <w:u w:val="single" w:color="auto"/>
          <w:color w:val="0000EE"/>
        </w:rPr>
        <w:t xml:space="preserve"> </w:t>
      </w:r>
      <w:hyperlink r:id="rId39">
        <w:r>
          <w:rPr>
            <w:rFonts w:ascii="Arial" w:cs="Arial" w:eastAsia="Arial" w:hAnsi="Arial"/>
            <w:sz w:val="17"/>
            <w:szCs w:val="17"/>
            <w:u w:val="single" w:color="auto"/>
            <w:color w:val="0000EE"/>
          </w:rPr>
          <w:t>reference to Exhibit 4.2 of the registration Statement on Form S-8 of the Company filed on November 25, 2020)</w:t>
        </w:r>
      </w:hyperlink>
    </w:p>
    <w:p>
      <w:pPr>
        <w:ind w:left="800" w:right="20" w:hanging="850"/>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40">
        <w:r>
          <w:rPr>
            <w:rFonts w:ascii="Arial" w:cs="Arial" w:eastAsia="Arial" w:hAnsi="Arial"/>
            <w:sz w:val="18"/>
            <w:szCs w:val="18"/>
            <w:u w:val="single" w:color="auto"/>
            <w:color w:val="0000EE"/>
          </w:rPr>
          <w:t>Form of NQO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800" w:hanging="854"/>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41">
        <w:r>
          <w:rPr>
            <w:rFonts w:ascii="Arial" w:cs="Arial" w:eastAsia="Arial" w:hAnsi="Arial"/>
            <w:sz w:val="17"/>
            <w:szCs w:val="17"/>
            <w:u w:val="single" w:color="auto"/>
            <w:color w:val="0000EE"/>
          </w:rPr>
          <w:t>Form of Restricted Stock Award Agreement under the Microbot Medical Ltd. 2020 Omnibus Performance Award Plan (incorporated by</w:t>
        </w:r>
      </w:hyperlink>
      <w:r>
        <w:rPr>
          <w:rFonts w:ascii="Arial" w:cs="Arial" w:eastAsia="Arial" w:hAnsi="Arial"/>
          <w:sz w:val="17"/>
          <w:szCs w:val="17"/>
          <w:u w:val="single" w:color="auto"/>
          <w:color w:val="0000EE"/>
        </w:rPr>
        <w:t xml:space="preserve"> </w:t>
      </w:r>
      <w:hyperlink r:id="rId41">
        <w:r>
          <w:rPr>
            <w:rFonts w:ascii="Arial" w:cs="Arial" w:eastAsia="Arial" w:hAnsi="Arial"/>
            <w:sz w:val="17"/>
            <w:szCs w:val="17"/>
            <w:u w:val="single" w:color="auto"/>
            <w:color w:val="0000EE"/>
          </w:rPr>
          <w:t>reference to Exhibit 4.4 of the registration Statement on Form S-8 of the Company filed on November 25, 2020)</w:t>
        </w:r>
      </w:hyperlink>
    </w:p>
    <w:p>
      <w:pPr>
        <w:ind w:left="800" w:hanging="854"/>
        <w:spacing w:after="0" w:line="26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42">
        <w:r>
          <w:rPr>
            <w:rFonts w:ascii="Arial" w:cs="Arial" w:eastAsia="Arial" w:hAnsi="Arial"/>
            <w:sz w:val="18"/>
            <w:szCs w:val="18"/>
            <w:u w:val="single" w:color="auto"/>
            <w:color w:val="0000EE"/>
          </w:rPr>
          <w:t>Form of SAR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Exhibit 4.5 of the registration Statement on Form S-8 of the Company filed on November 25,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281305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20" w:top="692" w:right="339" w:bottom="1440" w:gutter="0" w:footer="0" w:header="0"/>
        </w:sectPr>
      </w:pPr>
    </w:p>
    <w:bookmarkStart w:id="4" w:name="page5"/>
    <w:bookmarkEnd w:id="4"/>
    <w:tbl>
      <w:tblPr>
        <w:tblLayout w:type="fixed"/>
        <w:tblInd w:w="52" w:type="dxa"/>
        <w:tblCellMar>
          <w:top w:w="0" w:type="dxa"/>
          <w:left w:w="0" w:type="dxa"/>
          <w:bottom w:w="0" w:type="dxa"/>
          <w:right w:w="0" w:type="dxa"/>
        </w:tblCellMar>
      </w:tblPr>
      <w:tr>
        <w:trPr>
          <w:trHeight w:val="207"/>
        </w:trPr>
        <w:tc>
          <w:tcPr>
            <w:tcW w:w="1040" w:type="dxa"/>
            <w:vAlign w:val="bottom"/>
          </w:tcPr>
          <w:p>
            <w:pPr>
              <w:jc w:val="right"/>
              <w:ind w:right="270"/>
              <w:spacing w:after="0"/>
              <w:rPr>
                <w:sz w:val="20"/>
                <w:szCs w:val="20"/>
                <w:color w:val="auto"/>
              </w:rPr>
            </w:pPr>
            <w:r>
              <w:rPr>
                <w:rFonts w:ascii="Arial" w:cs="Arial" w:eastAsia="Arial" w:hAnsi="Arial"/>
                <w:sz w:val="18"/>
                <w:szCs w:val="18"/>
                <w:color w:val="auto"/>
              </w:rPr>
              <w:t>10.14*</w:t>
            </w:r>
          </w:p>
        </w:tc>
        <w:tc>
          <w:tcPr>
            <w:tcW w:w="10140" w:type="dxa"/>
            <w:vAlign w:val="bottom"/>
            <w:tcBorders>
              <w:bottom w:val="single" w:sz="8" w:color="0000EE"/>
            </w:tcBorders>
            <w:gridSpan w:val="8"/>
          </w:tcPr>
          <w:p>
            <w:pPr>
              <w:spacing w:after="0"/>
              <w:rPr>
                <w:rFonts w:ascii="Arial" w:cs="Arial" w:eastAsia="Arial" w:hAnsi="Arial"/>
                <w:sz w:val="18"/>
                <w:szCs w:val="18"/>
                <w:color w:val="0000EE"/>
                <w:w w:val="94"/>
              </w:rPr>
            </w:pPr>
            <w:hyperlink r:id="rId44">
              <w:r>
                <w:rPr>
                  <w:rFonts w:ascii="Arial" w:cs="Arial" w:eastAsia="Arial" w:hAnsi="Arial"/>
                  <w:sz w:val="18"/>
                  <w:szCs w:val="18"/>
                  <w:color w:val="0000EE"/>
                  <w:w w:val="94"/>
                </w:rPr>
                <w:t>Form of ISO Award Agreement under the Microbot Medical Ltd. 2020 Omnibus Performance Award Plan (incorporated by reference to</w:t>
              </w:r>
            </w:hyperlink>
          </w:p>
        </w:tc>
      </w:tr>
      <w:tr>
        <w:trPr>
          <w:trHeight w:val="196"/>
        </w:trPr>
        <w:tc>
          <w:tcPr>
            <w:tcW w:w="1040" w:type="dxa"/>
            <w:vAlign w:val="bottom"/>
          </w:tcPr>
          <w:p>
            <w:pPr>
              <w:spacing w:after="0"/>
              <w:rPr>
                <w:sz w:val="17"/>
                <w:szCs w:val="17"/>
                <w:color w:val="auto"/>
              </w:rPr>
            </w:pPr>
          </w:p>
        </w:tc>
        <w:tc>
          <w:tcPr>
            <w:tcW w:w="10140" w:type="dxa"/>
            <w:vAlign w:val="bottom"/>
            <w:gridSpan w:val="8"/>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Exhibit 4.6 of the registration Statement on Form S-8 of the Company filed on November 25, 2020)</w:t>
              </w:r>
            </w:hyperlink>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04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21.1</w:t>
            </w:r>
          </w:p>
        </w:tc>
        <w:tc>
          <w:tcPr>
            <w:tcW w:w="10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Subsidiaries of the Company (incorporated by reference to the Company’s Annual Report on Form 10-K for the fiscal year ended December</w:t>
              </w:r>
            </w:hyperlink>
          </w:p>
        </w:tc>
      </w:tr>
      <w:tr>
        <w:trPr>
          <w:trHeight w:val="196"/>
        </w:trPr>
        <w:tc>
          <w:tcPr>
            <w:tcW w:w="10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31, 2016 and filed on March 21, 2017).</w:t>
              </w:r>
            </w:hyperlink>
          </w:p>
        </w:tc>
        <w:tc>
          <w:tcPr>
            <w:tcW w:w="7300" w:type="dxa"/>
            <w:vAlign w:val="bottom"/>
            <w:gridSpan w:val="4"/>
          </w:tcPr>
          <w:p>
            <w:pPr>
              <w:spacing w:after="0"/>
              <w:rPr>
                <w:sz w:val="17"/>
                <w:szCs w:val="17"/>
                <w:color w:val="auto"/>
              </w:rPr>
            </w:pPr>
          </w:p>
        </w:tc>
      </w:tr>
      <w:tr>
        <w:trPr>
          <w:trHeight w:val="196"/>
        </w:trPr>
        <w:tc>
          <w:tcPr>
            <w:tcW w:w="104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Consent of Independent Registered Public Accounting Firm</w:t>
              </w:r>
            </w:hyperlink>
          </w:p>
        </w:tc>
        <w:tc>
          <w:tcPr>
            <w:tcW w:w="5820" w:type="dxa"/>
            <w:vAlign w:val="bottom"/>
            <w:gridSpan w:val="2"/>
          </w:tcPr>
          <w:p>
            <w:pPr>
              <w:spacing w:after="0"/>
              <w:rPr>
                <w:sz w:val="17"/>
                <w:szCs w:val="17"/>
                <w:color w:val="auto"/>
              </w:rPr>
            </w:pPr>
          </w:p>
        </w:tc>
      </w:tr>
      <w:tr>
        <w:trPr>
          <w:trHeight w:val="196"/>
        </w:trPr>
        <w:tc>
          <w:tcPr>
            <w:tcW w:w="104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31.1</w:t>
            </w:r>
          </w:p>
        </w:tc>
        <w:tc>
          <w:tcPr>
            <w:tcW w:w="10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Pursuant to Securities Exchange Act Rule 13(a)-14(a), as Adopted Pursuant to Section 302 of the Sarbanes-Oxley Act of 2002</w:t>
              </w:r>
            </w:hyperlink>
          </w:p>
        </w:tc>
      </w:tr>
      <w:tr>
        <w:trPr>
          <w:trHeight w:val="196"/>
        </w:trPr>
        <w:tc>
          <w:tcPr>
            <w:tcW w:w="1040" w:type="dxa"/>
            <w:vAlign w:val="bottom"/>
          </w:tcPr>
          <w:p>
            <w:pPr>
              <w:spacing w:after="0"/>
              <w:rPr>
                <w:sz w:val="17"/>
                <w:szCs w:val="17"/>
                <w:color w:val="auto"/>
              </w:rPr>
            </w:pPr>
          </w:p>
        </w:tc>
        <w:tc>
          <w:tcPr>
            <w:tcW w:w="10140" w:type="dxa"/>
            <w:vAlign w:val="bottom"/>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(Harel Gadot, Chief Executive Officer)</w:t>
              </w:r>
            </w:hyperlink>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104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31.2</w:t>
            </w:r>
          </w:p>
        </w:tc>
        <w:tc>
          <w:tcPr>
            <w:tcW w:w="10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Pursuant to Securities Exchange Act Rule 13(a)-14(a), as Adopted Pursuant to Section 302 of the Sarbanes-Oxley Act of 2002</w:t>
              </w:r>
            </w:hyperlink>
          </w:p>
        </w:tc>
      </w:tr>
      <w:tr>
        <w:trPr>
          <w:trHeight w:val="196"/>
        </w:trPr>
        <w:tc>
          <w:tcPr>
            <w:tcW w:w="1040" w:type="dxa"/>
            <w:vAlign w:val="bottom"/>
          </w:tcPr>
          <w:p>
            <w:pPr>
              <w:spacing w:after="0"/>
              <w:rPr>
                <w:sz w:val="17"/>
                <w:szCs w:val="17"/>
                <w:color w:val="auto"/>
              </w:rPr>
            </w:pPr>
          </w:p>
        </w:tc>
        <w:tc>
          <w:tcPr>
            <w:tcW w:w="1014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(David Ben Naim, Chief Financial Officer)</w:t>
              </w:r>
            </w:hyperlink>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r>
      <w:tr>
        <w:trPr>
          <w:trHeight w:val="196"/>
        </w:trPr>
        <w:tc>
          <w:tcPr>
            <w:tcW w:w="104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32.1</w:t>
            </w:r>
          </w:p>
        </w:tc>
        <w:tc>
          <w:tcPr>
            <w:tcW w:w="101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Pursuant to 18 U.S.C. Section 1350, As Adopted Pursuant to Section 906 of the Sarbanes-Oxley Act of 2002 (Harel Gadot,</w:t>
              </w:r>
            </w:hyperlink>
          </w:p>
        </w:tc>
      </w:tr>
      <w:tr>
        <w:trPr>
          <w:trHeight w:val="196"/>
        </w:trPr>
        <w:tc>
          <w:tcPr>
            <w:tcW w:w="1040" w:type="dxa"/>
            <w:vAlign w:val="bottom"/>
          </w:tcPr>
          <w:p>
            <w:pPr>
              <w:spacing w:after="0"/>
              <w:rPr>
                <w:sz w:val="17"/>
                <w:szCs w:val="17"/>
                <w:color w:val="auto"/>
              </w:rPr>
            </w:pPr>
          </w:p>
        </w:tc>
        <w:tc>
          <w:tcPr>
            <w:tcW w:w="1014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Chief Executive Officer)</w:t>
              </w:r>
            </w:hyperlink>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r>
      <w:tr>
        <w:trPr>
          <w:trHeight w:val="196"/>
        </w:trPr>
        <w:tc>
          <w:tcPr>
            <w:tcW w:w="104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32.2</w:t>
            </w:r>
          </w:p>
        </w:tc>
        <w:tc>
          <w:tcPr>
            <w:tcW w:w="101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Certification Pursuant to 18 U.S.C. Section 1350, As Adopted Pursuant to Section 906 of the Sarbanes-Oxley Act of 2002 (David Ben</w:t>
              </w:r>
            </w:hyperlink>
          </w:p>
        </w:tc>
      </w:tr>
      <w:tr>
        <w:trPr>
          <w:trHeight w:val="196"/>
        </w:trPr>
        <w:tc>
          <w:tcPr>
            <w:tcW w:w="1040" w:type="dxa"/>
            <w:vAlign w:val="bottom"/>
          </w:tcPr>
          <w:p>
            <w:pPr>
              <w:spacing w:after="0"/>
              <w:rPr>
                <w:sz w:val="17"/>
                <w:szCs w:val="17"/>
                <w:color w:val="auto"/>
              </w:rPr>
            </w:pPr>
          </w:p>
        </w:tc>
        <w:tc>
          <w:tcPr>
            <w:tcW w:w="1014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Naim, Chief Financial Officer)</w:t>
              </w:r>
            </w:hyperlink>
          </w:p>
        </w:tc>
      </w:tr>
      <w:tr>
        <w:trPr>
          <w:trHeight w:val="222"/>
        </w:trPr>
        <w:tc>
          <w:tcPr>
            <w:tcW w:w="1040" w:type="dxa"/>
            <w:vAlign w:val="bottom"/>
          </w:tcPr>
          <w:p>
            <w:pPr>
              <w:jc w:val="center"/>
              <w:ind w:right="90"/>
              <w:spacing w:after="0"/>
              <w:rPr>
                <w:sz w:val="20"/>
                <w:szCs w:val="20"/>
                <w:color w:val="auto"/>
              </w:rPr>
            </w:pPr>
            <w:r>
              <w:rPr>
                <w:rFonts w:ascii="Arial" w:cs="Arial" w:eastAsia="Arial" w:hAnsi="Arial"/>
                <w:sz w:val="18"/>
                <w:szCs w:val="18"/>
                <w:color w:val="auto"/>
                <w:w w:val="98"/>
              </w:rPr>
              <w:t>101.INS**</w:t>
            </w:r>
          </w:p>
        </w:tc>
        <w:tc>
          <w:tcPr>
            <w:tcW w:w="2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w:t>
            </w:r>
          </w:p>
        </w:tc>
        <w:tc>
          <w:tcPr>
            <w:tcW w:w="7920" w:type="dxa"/>
            <w:vAlign w:val="bottom"/>
            <w:gridSpan w:val="6"/>
          </w:tcPr>
          <w:p>
            <w:pPr>
              <w:spacing w:after="0"/>
              <w:rPr>
                <w:sz w:val="19"/>
                <w:szCs w:val="19"/>
                <w:color w:val="auto"/>
              </w:rPr>
            </w:pPr>
          </w:p>
        </w:tc>
      </w:tr>
      <w:tr>
        <w:trPr>
          <w:trHeight w:val="216"/>
        </w:trPr>
        <w:tc>
          <w:tcPr>
            <w:tcW w:w="1040" w:type="dxa"/>
            <w:vAlign w:val="bottom"/>
          </w:tcPr>
          <w:p>
            <w:pPr>
              <w:jc w:val="center"/>
              <w:ind w:right="70"/>
              <w:spacing w:after="0"/>
              <w:rPr>
                <w:sz w:val="20"/>
                <w:szCs w:val="20"/>
                <w:color w:val="auto"/>
              </w:rPr>
            </w:pPr>
            <w:r>
              <w:rPr>
                <w:rFonts w:ascii="Arial" w:cs="Arial" w:eastAsia="Arial" w:hAnsi="Arial"/>
                <w:sz w:val="18"/>
                <w:szCs w:val="18"/>
                <w:color w:val="auto"/>
                <w:w w:val="96"/>
              </w:rPr>
              <w:t>101.SCH**</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40" w:type="dxa"/>
            <w:vAlign w:val="bottom"/>
          </w:tcPr>
          <w:p>
            <w:pPr>
              <w:jc w:val="center"/>
              <w:ind w:right="90"/>
              <w:spacing w:after="0"/>
              <w:rPr>
                <w:sz w:val="20"/>
                <w:szCs w:val="20"/>
                <w:color w:val="auto"/>
              </w:rPr>
            </w:pPr>
            <w:r>
              <w:rPr>
                <w:rFonts w:ascii="Arial" w:cs="Arial" w:eastAsia="Arial" w:hAnsi="Arial"/>
                <w:sz w:val="18"/>
                <w:szCs w:val="18"/>
                <w:color w:val="auto"/>
              </w:rPr>
              <w:t>101.CAL**</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1040" w:type="dxa"/>
            <w:vAlign w:val="bottom"/>
          </w:tcPr>
          <w:p>
            <w:pPr>
              <w:jc w:val="center"/>
              <w:ind w:right="70"/>
              <w:spacing w:after="0"/>
              <w:rPr>
                <w:sz w:val="20"/>
                <w:szCs w:val="20"/>
                <w:color w:val="auto"/>
              </w:rPr>
            </w:pPr>
            <w:r>
              <w:rPr>
                <w:rFonts w:ascii="Arial" w:cs="Arial" w:eastAsia="Arial" w:hAnsi="Arial"/>
                <w:sz w:val="18"/>
                <w:szCs w:val="18"/>
                <w:color w:val="auto"/>
                <w:w w:val="98"/>
              </w:rPr>
              <w:t>101.DEF**</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1040" w:type="dxa"/>
            <w:vAlign w:val="bottom"/>
          </w:tcPr>
          <w:p>
            <w:pPr>
              <w:jc w:val="center"/>
              <w:ind w:right="90"/>
              <w:spacing w:after="0"/>
              <w:rPr>
                <w:sz w:val="20"/>
                <w:szCs w:val="20"/>
                <w:color w:val="auto"/>
              </w:rPr>
            </w:pPr>
            <w:r>
              <w:rPr>
                <w:rFonts w:ascii="Arial" w:cs="Arial" w:eastAsia="Arial" w:hAnsi="Arial"/>
                <w:sz w:val="18"/>
                <w:szCs w:val="18"/>
                <w:color w:val="auto"/>
              </w:rPr>
              <w:t>101.LAB**</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1040" w:type="dxa"/>
            <w:vAlign w:val="bottom"/>
          </w:tcPr>
          <w:p>
            <w:pPr>
              <w:jc w:val="center"/>
              <w:ind w:right="90"/>
              <w:spacing w:after="0"/>
              <w:rPr>
                <w:sz w:val="20"/>
                <w:szCs w:val="20"/>
                <w:color w:val="auto"/>
              </w:rPr>
            </w:pPr>
            <w:r>
              <w:rPr>
                <w:rFonts w:ascii="Arial" w:cs="Arial" w:eastAsia="Arial" w:hAnsi="Arial"/>
                <w:sz w:val="18"/>
                <w:szCs w:val="18"/>
                <w:color w:val="auto"/>
                <w:w w:val="95"/>
              </w:rPr>
              <w:t>101.PRE**</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w:t>
            </w:r>
          </w:p>
        </w:tc>
      </w:tr>
    </w:tbl>
    <w:p>
      <w:pPr>
        <w:spacing w:after="0" w:line="202" w:lineRule="exact"/>
        <w:rPr>
          <w:sz w:val="20"/>
          <w:szCs w:val="20"/>
          <w:color w:val="auto"/>
        </w:rPr>
      </w:pPr>
    </w:p>
    <w:p>
      <w:pPr>
        <w:ind w:left="-8" w:right="6100" w:firstLine="8"/>
        <w:spacing w:after="0" w:line="277" w:lineRule="auto"/>
        <w:tabs>
          <w:tab w:leader="none" w:pos="12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7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2021</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2021</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220" w:type="dxa"/>
            <w:vAlign w:val="bottom"/>
          </w:tcPr>
          <w:p>
            <w:pPr>
              <w:spacing w:after="0"/>
              <w:rPr>
                <w:sz w:val="20"/>
                <w:szCs w:val="20"/>
                <w:color w:val="auto"/>
              </w:rPr>
            </w:pPr>
          </w:p>
        </w:tc>
        <w:tc>
          <w:tcPr>
            <w:tcW w:w="518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Ben Naim</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2021</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David Ben Naim</w:t>
            </w:r>
          </w:p>
        </w:tc>
        <w:tc>
          <w:tcPr>
            <w:tcW w:w="220" w:type="dxa"/>
            <w:vAlign w:val="bottom"/>
          </w:tcPr>
          <w:p>
            <w:pPr>
              <w:spacing w:after="0"/>
              <w:rPr>
                <w:sz w:val="20"/>
                <w:szCs w:val="20"/>
                <w:color w:val="auto"/>
              </w:rPr>
            </w:pPr>
          </w:p>
        </w:tc>
        <w:tc>
          <w:tcPr>
            <w:tcW w:w="518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2021</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Prattipati Laxminarain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2021</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Prattipati Laxminarain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07"/>
        </w:trPr>
        <w:tc>
          <w:tcPr>
            <w:tcW w:w="3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14, 2021</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Aileen Stockburger</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13, 2021</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Aileen Stockburger</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Tal Wenderow</w:t>
            </w:r>
          </w:p>
        </w:tc>
        <w:tc>
          <w:tcPr>
            <w:tcW w:w="2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April 13, 2021</w:t>
            </w: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Tal Wenderow</w:t>
            </w: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gridSpan w:val="5"/>
          </w:tcPr>
          <w:p>
            <w:pPr>
              <w:jc w:val="center"/>
              <w:ind w:right="3240"/>
              <w:spacing w:after="0"/>
              <w:rPr>
                <w:sz w:val="20"/>
                <w:szCs w:val="20"/>
                <w:color w:val="auto"/>
              </w:rPr>
            </w:pPr>
            <w:r>
              <w:rPr>
                <w:rFonts w:ascii="Arial" w:cs="Arial" w:eastAsia="Arial" w:hAnsi="Arial"/>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6840" w:type="dxa"/>
            <w:vAlign w:val="bottom"/>
            <w:gridSpan w:val="6"/>
          </w:tcPr>
          <w:p>
            <w:pPr>
              <w:jc w:val="center"/>
              <w:ind w:right="2440"/>
              <w:spacing w:after="0"/>
              <w:rPr>
                <w:sz w:val="20"/>
                <w:szCs w:val="20"/>
                <w:color w:val="auto"/>
              </w:rPr>
            </w:pPr>
            <w:r>
              <w:rPr>
                <w:rFonts w:ascii="Arial" w:cs="Arial" w:eastAsia="Arial" w:hAnsi="Arial"/>
                <w:sz w:val="18"/>
                <w:szCs w:val="18"/>
                <w:b w:val="1"/>
                <w:bCs w:val="1"/>
                <w:color w:val="auto"/>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Report of Independent Registered Public Accounting Firm</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Balance Sheets as of December 31, 2020, and 2019</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Statements of Operations for the years ended December 31, 2020 and 2019</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Consolidated Statements of Comprehensive Loss for the years ended December 31, 2020 and 2019</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Consolidated Statements of Shareholders’ Equity for the years ended December 31, 2020 and 2019</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Consolidated Statements of Cash Flows for the years ended December 31, 2020 and 2019</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F-8</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Notes to the Consolidated Financial Statements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F-9 – F-26</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4"/>
          </w:tcPr>
          <w:p>
            <w:pPr>
              <w:jc w:val="center"/>
              <w:ind w:right="3720"/>
              <w:spacing w:after="0"/>
              <w:rPr>
                <w:sz w:val="20"/>
                <w:szCs w:val="20"/>
                <w:color w:val="auto"/>
              </w:rPr>
            </w:pPr>
            <w:r>
              <w:rPr>
                <w:rFonts w:ascii="Arial" w:cs="Arial" w:eastAsia="Arial" w:hAnsi="Arial"/>
                <w:sz w:val="18"/>
                <w:szCs w:val="18"/>
                <w:color w:val="auto"/>
                <w:w w:val="88"/>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143125" cy="471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4711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Microbot Medical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sheets of Microbot Medical Inc. and its subsidiary (the “Company”) as of December 31, 2020 and 2019 and the related consolidated statements of comprehensive loss, changes in shareholders’ equity and cash flows for each of the two years in the period ended December 31, 2020, and the related notes (collectively referred to as the “financial statements”).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Commitments and Contingencies: Litigation — Refer to Note 2Q and 8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involved in a litigation as the defendant resulting from the 2017 financing Litigation from third parties may result in a substantial loss. An estimated loss from a loss contingency is accrued by a charge to expenses or shareholders’ equity if it is probable that a liability has been incurred and the amount of the loss can be reasonably estimated.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concluded that the loss from the case is not probable and it cannot be reasonably estimable at this stage and no provision was recorded as of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determination of litigation contingency accruals is subject to significant management judgement in assessing the likelihood of a loss being incurred and when determining whether a reasonable estimate of the loss or range of loss can be made.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inherent uncertainty of the outcome of identified litigation, auditing the valuation assertion of litigation contingency required a high degree of auditor judgment and an increased extent of effort when performing audit procedures to evaluate management’s assessment on the likelihood and magnitude of the contingent loss and whether this litigation is reasonably estimable as of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potential loss contingency liability and disclosure of the litigation included the following, among others: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made inquiries with management to obtain an understanding of litigation matter and status that the Company is currently undergoing.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obtained legal letters from the external legal counsel.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inquired of the external and internal legal counsels to determine the status of the case and to understand the basis for management’s conclusion that the loss from the case is not probable and it cannot be reasonably estimable at this stage.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evaluated the assumptions used by management to estimate the litigation contingency likelihood and magnitude, including corroborating these assumptions with internal and external legal counsel.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evaluated the Company’s litigation contingencies disclosure for consistency with our evidence obtained on the litigation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As of</w:t>
            </w:r>
          </w:p>
        </w:tc>
        <w:tc>
          <w:tcPr>
            <w:tcW w:w="200" w:type="dxa"/>
            <w:vAlign w:val="bottom"/>
          </w:tcPr>
          <w:p>
            <w:pPr>
              <w:spacing w:after="0"/>
              <w:rPr>
                <w:sz w:val="18"/>
                <w:szCs w:val="18"/>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As of</w:t>
            </w:r>
          </w:p>
        </w:tc>
      </w:tr>
      <w:tr>
        <w:trPr>
          <w:trHeight w:val="229"/>
        </w:trPr>
        <w:tc>
          <w:tcPr>
            <w:tcW w:w="5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December 31,</w:t>
            </w:r>
          </w:p>
        </w:tc>
        <w:tc>
          <w:tcPr>
            <w:tcW w:w="200" w:type="dxa"/>
            <w:vAlign w:val="bottom"/>
          </w:tcPr>
          <w:p>
            <w:pPr>
              <w:spacing w:after="0"/>
              <w:rPr>
                <w:sz w:val="19"/>
                <w:szCs w:val="19"/>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December 31,</w:t>
            </w:r>
          </w:p>
        </w:tc>
      </w:tr>
      <w:tr>
        <w:trPr>
          <w:trHeight w:val="237"/>
        </w:trPr>
        <w:tc>
          <w:tcPr>
            <w:tcW w:w="58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Note</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ASSETS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19,650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28,771</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4,998</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4,358</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0"/>
                <w:szCs w:val="20"/>
                <w:color w:val="auto"/>
              </w:rPr>
            </w:pP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LIABILITIES AND SHAREHOLDERS’ EQUITY</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Provision for extinguishment dispute</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0"/>
                <w:szCs w:val="20"/>
                <w:color w:val="auto"/>
              </w:rPr>
            </w:pP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60,000,000 shares authorized as of</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December 31, 2020 and December 31, 2019, 7,108,133 and 7,185,628</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shares issued and outstanding as of December 31, 2020 and December 31,</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0"/>
                <w:szCs w:val="20"/>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68,516</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69,954</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shares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(44,280)</w:t>
            </w:r>
          </w:p>
        </w:tc>
        <w:tc>
          <w:tcPr>
            <w:tcW w:w="20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(35,111)</w:t>
            </w:r>
          </w:p>
        </w:tc>
      </w:tr>
      <w:tr>
        <w:trPr>
          <w:trHeight w:val="236"/>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w:t>
            </w: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right="960"/>
        <w:spacing w:after="0" w:line="308" w:lineRule="auto"/>
        <w:rPr>
          <w:sz w:val="20"/>
          <w:szCs w:val="20"/>
          <w:color w:val="auto"/>
        </w:rPr>
      </w:pPr>
      <w:r>
        <w:rPr>
          <w:rFonts w:ascii="Arial" w:cs="Arial" w:eastAsia="Arial" w:hAnsi="Arial"/>
          <w:sz w:val="16"/>
          <w:szCs w:val="16"/>
          <w:color w:val="auto"/>
        </w:rPr>
        <w:t>Research and development, net General and administrative</w:t>
      </w:r>
    </w:p>
    <w:p>
      <w:pPr>
        <w:ind w:left="360"/>
        <w:spacing w:after="0"/>
        <w:rPr>
          <w:sz w:val="20"/>
          <w:szCs w:val="20"/>
          <w:color w:val="auto"/>
        </w:rPr>
      </w:pPr>
      <w:r>
        <w:rPr>
          <w:rFonts w:ascii="Arial" w:cs="Arial" w:eastAsia="Arial" w:hAnsi="Arial"/>
          <w:sz w:val="18"/>
          <w:szCs w:val="18"/>
          <w:color w:val="auto"/>
        </w:rPr>
        <w:t>Operating loss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expenses,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Capital gains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4120"/>
        <w:spacing w:after="0"/>
        <w:rPr>
          <w:sz w:val="20"/>
          <w:szCs w:val="20"/>
          <w:color w:val="auto"/>
        </w:rPr>
      </w:pPr>
      <w:r>
        <w:rPr>
          <w:rFonts w:ascii="Arial" w:cs="Arial" w:eastAsia="Arial" w:hAnsi="Arial"/>
          <w:sz w:val="15"/>
          <w:szCs w:val="15"/>
          <w:b w:val="1"/>
          <w:bCs w:val="1"/>
          <w:u w:val="single" w:color="auto"/>
          <w:color w:val="auto"/>
        </w:rPr>
        <w:t>Consolidated Statements of Operations</w:t>
      </w:r>
    </w:p>
    <w:p>
      <w:pPr>
        <w:spacing w:after="0" w:line="44" w:lineRule="exact"/>
        <w:rPr>
          <w:sz w:val="20"/>
          <w:szCs w:val="20"/>
          <w:color w:val="auto"/>
        </w:rPr>
      </w:pPr>
    </w:p>
    <w:p>
      <w:pPr>
        <w:jc w:val="center"/>
        <w:ind w:right="412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412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40" w:type="dxa"/>
            <w:vAlign w:val="bottom"/>
            <w:gridSpan w:val="3"/>
          </w:tcPr>
          <w:p>
            <w:pPr>
              <w:jc w:val="right"/>
              <w:ind w:right="7"/>
              <w:spacing w:after="0"/>
              <w:rPr>
                <w:sz w:val="20"/>
                <w:szCs w:val="20"/>
                <w:color w:val="auto"/>
              </w:rPr>
            </w:pPr>
            <w:r>
              <w:rPr>
                <w:rFonts w:ascii="Arial" w:cs="Arial" w:eastAsia="Arial" w:hAnsi="Arial"/>
                <w:sz w:val="18"/>
                <w:szCs w:val="18"/>
                <w:color w:val="auto"/>
              </w:rPr>
              <w:t>For the Year Ended</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Note</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8"/>
                <w:szCs w:val="18"/>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3,396</w:t>
            </w:r>
          </w:p>
        </w:tc>
        <w:tc>
          <w:tcPr>
            <w:tcW w:w="320" w:type="dxa"/>
            <w:vAlign w:val="bottom"/>
          </w:tcPr>
          <w:p>
            <w:pPr>
              <w:spacing w:after="0"/>
              <w:rPr>
                <w:sz w:val="18"/>
                <w:szCs w:val="18"/>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13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5,693</w:t>
            </w:r>
          </w:p>
        </w:tc>
        <w:tc>
          <w:tcPr>
            <w:tcW w:w="6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4,192</w:t>
            </w:r>
          </w:p>
        </w:tc>
        <w:tc>
          <w:tcPr>
            <w:tcW w:w="40" w:type="dxa"/>
            <w:vAlign w:val="bottom"/>
          </w:tcPr>
          <w:p>
            <w:pPr>
              <w:spacing w:after="0"/>
              <w:rPr>
                <w:sz w:val="20"/>
                <w:szCs w:val="20"/>
                <w:color w:val="auto"/>
              </w:rPr>
            </w:pPr>
          </w:p>
        </w:tc>
      </w:tr>
      <w:tr>
        <w:trPr>
          <w:trHeight w:val="202"/>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(9,089)</w:t>
            </w:r>
          </w:p>
        </w:tc>
        <w:tc>
          <w:tcPr>
            <w:tcW w:w="3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(7,240)</w:t>
            </w:r>
          </w:p>
        </w:tc>
        <w:tc>
          <w:tcPr>
            <w:tcW w:w="4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6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r>
      <w:tr>
        <w:trPr>
          <w:trHeight w:val="257"/>
        </w:trPr>
        <w:tc>
          <w:tcPr>
            <w:tcW w:w="1360" w:type="dxa"/>
            <w:vAlign w:val="bottom"/>
          </w:tcPr>
          <w:p>
            <w:pPr>
              <w:spacing w:after="0"/>
              <w:rPr>
                <w:sz w:val="22"/>
                <w:szCs w:val="22"/>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(9,169)</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(7,247)</w:t>
            </w: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-899160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-599440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-316230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00" w:space="720"/>
            <w:col w:w="7120"/>
          </w:cols>
          <w:pgMar w:left="320" w:top="661"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1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440"/>
              <w:spacing w:after="0"/>
              <w:rPr>
                <w:sz w:val="20"/>
                <w:szCs w:val="20"/>
                <w:color w:val="auto"/>
              </w:rPr>
            </w:pPr>
            <w:r>
              <w:rPr>
                <w:rFonts w:ascii="Arial" w:cs="Arial" w:eastAsia="Arial" w:hAnsi="Arial"/>
                <w:sz w:val="18"/>
                <w:szCs w:val="18"/>
                <w:color w:val="auto"/>
              </w:rPr>
              <w:t>(1.29)   $</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197"/>
        </w:trPr>
        <w:tc>
          <w:tcPr>
            <w:tcW w:w="612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Basic and diluted weighted average common shares outstanding</w:t>
            </w: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7,117,747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4,267,209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For the Year Ended</w:t>
      </w:r>
    </w:p>
    <w:p>
      <w:pPr>
        <w:spacing w:after="0" w:line="23"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2020</w:t>
            </w:r>
          </w:p>
        </w:tc>
        <w:tc>
          <w:tcPr>
            <w:tcW w:w="5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(9,169)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Net unrealized loss on marketable securities</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12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600" w:type="dxa"/>
            <w:vAlign w:val="bottom"/>
            <w:gridSpan w:val="4"/>
            <w:vMerge w:val="restart"/>
          </w:tcPr>
          <w:p>
            <w:pPr>
              <w:jc w:val="right"/>
              <w:ind w:right="21"/>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464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Paid-In</w:t>
            </w:r>
          </w:p>
        </w:tc>
        <w:tc>
          <w:tcPr>
            <w:tcW w:w="12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Treasury</w:t>
            </w:r>
          </w:p>
        </w:tc>
        <w:tc>
          <w:tcPr>
            <w:tcW w:w="140" w:type="dxa"/>
            <w:vAlign w:val="bottom"/>
          </w:tcPr>
          <w:p>
            <w:pPr>
              <w:spacing w:after="0"/>
              <w:rPr>
                <w:sz w:val="19"/>
                <w:szCs w:val="19"/>
                <w:color w:val="auto"/>
              </w:rPr>
            </w:pPr>
          </w:p>
        </w:tc>
        <w:tc>
          <w:tcPr>
            <w:tcW w:w="1280" w:type="dxa"/>
            <w:vAlign w:val="bottom"/>
            <w:gridSpan w:val="3"/>
          </w:tcPr>
          <w:p>
            <w:pPr>
              <w:jc w:val="right"/>
              <w:ind w:right="241"/>
              <w:spacing w:after="0"/>
              <w:rPr>
                <w:sz w:val="20"/>
                <w:szCs w:val="20"/>
                <w:color w:val="auto"/>
              </w:rPr>
            </w:pPr>
            <w:r>
              <w:rPr>
                <w:rFonts w:ascii="Arial" w:cs="Arial" w:eastAsia="Arial" w:hAnsi="Arial"/>
                <w:sz w:val="18"/>
                <w:szCs w:val="18"/>
                <w:color w:val="auto"/>
                <w:w w:val="90"/>
              </w:rPr>
              <w:t>Accumulated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1"/>
              <w:spacing w:after="0"/>
              <w:rPr>
                <w:sz w:val="20"/>
                <w:szCs w:val="20"/>
                <w:color w:val="auto"/>
              </w:rPr>
            </w:pPr>
            <w:r>
              <w:rPr>
                <w:rFonts w:ascii="Arial" w:cs="Arial" w:eastAsia="Arial" w:hAnsi="Arial"/>
                <w:sz w:val="18"/>
                <w:szCs w:val="18"/>
                <w:color w:val="auto"/>
                <w:w w:val="80"/>
              </w:rPr>
              <w:t>Shares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81"/>
              <w:spacing w:after="0"/>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7,185,628</w:t>
            </w:r>
          </w:p>
        </w:tc>
        <w:tc>
          <w:tcPr>
            <w:tcW w:w="5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69,954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(3,375)</w:t>
            </w:r>
          </w:p>
        </w:tc>
        <w:tc>
          <w:tcPr>
            <w:tcW w:w="3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(35,111)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31,540</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 of treasury Shares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3,375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(9,169)</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43"/>
        </w:trPr>
        <w:tc>
          <w:tcPr>
            <w:tcW w:w="4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Balances, December 31, 2020</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7,108,133</w:t>
            </w:r>
          </w:p>
        </w:tc>
        <w:tc>
          <w:tcPr>
            <w:tcW w:w="1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3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68,516</w:t>
            </w:r>
          </w:p>
        </w:tc>
        <w:tc>
          <w:tcPr>
            <w:tcW w:w="1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(44,280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24,308</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Balances, December 31, 2018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3,012,343</w:t>
            </w:r>
          </w:p>
        </w:tc>
        <w:tc>
          <w:tcPr>
            <w:tcW w:w="5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32,538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(3,375)</w:t>
            </w:r>
          </w:p>
        </w:tc>
        <w:tc>
          <w:tcPr>
            <w:tcW w:w="3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(27,864)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Issuance of common stock and warrants net of issuance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4,061,465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36,317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36,357</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exercise of warrants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(7,247)</w:t>
            </w: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7,185,628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For the Year Ended</w:t>
      </w:r>
    </w:p>
    <w:p>
      <w:pPr>
        <w:spacing w:after="0" w:line="23"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(9,169)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gains from sales of property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Unrealized gain from convertible loan</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and accrued interest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1,937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(240)</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flows used in operating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(6,451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a convertible loan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2,521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(4,998)</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used in investing activities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and warrants, net of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Repayment of shareholders investment</w:t>
            </w: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(3,375)</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(used in) provided by financing activities</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cash, cash equivalents and restricted cash</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(13,395)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27,866</w:t>
            </w: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33,129</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ending of period</w:t>
            </w:r>
          </w:p>
        </w:tc>
        <w:tc>
          <w:tcPr>
            <w:tcW w:w="108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108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from litigation</w:t>
            </w:r>
          </w:p>
        </w:tc>
        <w:tc>
          <w:tcPr>
            <w:tcW w:w="1080" w:type="dxa"/>
            <w:vAlign w:val="bottom"/>
            <w:shd w:val="clear" w:color="auto" w:fill="CCEEFF"/>
          </w:tcPr>
          <w:p>
            <w:pPr>
              <w:jc w:val="right"/>
              <w:ind w:right="9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received from interest</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108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Financing fees included in other receivable</w:t>
            </w:r>
          </w:p>
        </w:tc>
        <w:tc>
          <w:tcPr>
            <w:tcW w:w="108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Company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5"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pursuant to which, among other things, Microbot Israel became a wholly-owned subsidiary of the Company. On the same day and in connection with the Merger, the Company changed its name from StemCells, Inc. to Microbot Medical Inc. On November 29, 2016, the Company’s common stock began trading on the Nasdaq Capital Market under the symbol “MBOT”.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where applicable, are collectively referred to as the “Company”.</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December 31, 2020, the Company had unrestricted cash and cash equivalent balance of approximately $19,650,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pre-clinical studies.</w:t>
      </w:r>
    </w:p>
    <w:p>
      <w:pPr>
        <w:spacing w:after="0" w:line="184"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expanded screenings of travelers.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 or similar health epidemics are highly uncertain and subject to changes, and the Company cannot presently predict the scope and severity of any potential business shutdowns or disruptions. However, if the Company or any of the third parties with whom the Company’s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Financial statement in U.S. dollars: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46"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subsidiary. Inter-company balances and transactions have been eliminated in consolidation.</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Cash and cash equivalents: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Restricted cash:</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Restricted cash as of December 31, 2020 included an $84 collateral account for the Company’s lease agreements and credit line from its commercial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left="320" w:hanging="320"/>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other assets and accounts payable and accrued liabilities approximate their fair value due to the short-term maturity of these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marketable securities) on a recurring basis. Marketable securities are discussed in Note 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Concentrations of credit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and cash equivalents.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6"/>
          <w:szCs w:val="16"/>
          <w:b w:val="1"/>
          <w:bCs w:val="1"/>
          <w:color w:val="auto"/>
        </w:rPr>
        <w:t>Property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at the following annual rates:</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Over the lease period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hanging="320"/>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consolidated balance sheets.</w:t>
      </w:r>
    </w:p>
    <w:p>
      <w:pPr>
        <w:spacing w:after="0" w:line="184" w:lineRule="exact"/>
        <w:rPr>
          <w:sz w:val="20"/>
          <w:szCs w:val="20"/>
          <w:color w:val="auto"/>
        </w:rPr>
      </w:pPr>
    </w:p>
    <w:p>
      <w:pPr>
        <w:ind w:left="320" w:hanging="320"/>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loss per share is computed by dividing net loss, as adjusted to include the weighted average number of shares of common stock outstanding during the year.</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Diluted net loss per share is computed by dividing net loss, as adjusted, by the weighted average number of shares of common stock outstanding during the year, plus the number of shares of common stock that would have been outstanding if all potentially dilutive shares of common stock had been issued, using the treasury stock method, in accordance with ASC 260-10 “Earnings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2020 and December 31, 2019, since all such securities have an anti-dilutive effect.</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K.</w:t>
      </w:r>
      <w:r>
        <w:rPr>
          <w:sz w:val="20"/>
          <w:szCs w:val="20"/>
          <w:color w:val="auto"/>
        </w:rPr>
        <w:tab/>
      </w:r>
      <w:r>
        <w:rPr>
          <w:rFonts w:ascii="Arial" w:cs="Arial" w:eastAsia="Arial" w:hAnsi="Arial"/>
          <w:sz w:val="15"/>
          <w:szCs w:val="15"/>
          <w:b w:val="1"/>
          <w:bCs w:val="1"/>
          <w:color w:val="auto"/>
        </w:rPr>
        <w:t>Research and development expenses,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are charged to the consolidated statements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L.</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 which is recognized based on a straight line method.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shares and warrant grants issued to non-employees using the guidance of ASU No. 2018-07 “Compensation - Stock Compensation (Topic 718): Improvements to Nonemployee Share-Based Payment Accounting.” which expand the scope of Topic 718, Compensation - Stock Compensation (which currently only includes share-based payments to employees) to include share-based payments issued to nonemployees for goods or services.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8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 Reclassification: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2020, and 2019, the Company had a full valuation allowance against deferred tax assets.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Marketable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Marketable securities are classified as available-for-sale and are carried at fair value. Unrealized gains and losses net of tax, if any, are reported as a separate component of shareholders’ equity. The cost of marketable debt securities classified as available–for-sale is adjusted for amortization of premiums and accretion of discounts to maturity. Such amortization and accretion are included in finance income. Realized gains and losses and declines in value judged to be other than temporary, if any, are also included in other income, net. Interest earned on securities classified as available-for-sale is included in interest income. The cost of securities sold is based on the specific identification method.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whether available-for-sale securities are other-than-temporarily impaired (OTTI) on a quarterly basis. Debt securities with unrealized losses are considered OTTI if the Company intends to sell the security or if it is more likely than not that the Company will be required to sell such security prior to any anticipated recovery. If management determines that a security is OTTI under these circumstances, the impairment recognized in earnings is measured as the entire difference between the amortized cost and the then-current fair value. During the years 2020 and 2019, no investment OTTI losses were realized.</w:t>
      </w:r>
    </w:p>
    <w:p>
      <w:pPr>
        <w:spacing w:after="0" w:line="184" w:lineRule="exact"/>
        <w:rPr>
          <w:sz w:val="20"/>
          <w:szCs w:val="20"/>
          <w:color w:val="auto"/>
        </w:rPr>
      </w:pPr>
    </w:p>
    <w:p>
      <w:pPr>
        <w:ind w:left="320" w:hanging="320"/>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February 2016, the Financial Accounting Standards Board (“FASB”) issued ASU 2016-02, Leases (“ASU 2016-02”). ASU 2016-02 requires entities that leased assets be recognized on the balance sheet as assets and liabilities for the rights and obligations created by leases with lease terms of more than 12 months. The Company adopted this ASU effective January 1, 2019 using the modified retrospective application, applying the new standard to leases in place as of the adoption date. Prior periods have not been adjusted.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Arrangements that are determined to be leases at inception are recognized as long-term right-of-use assets (“ROU”) and lease liabilities in the consolidated balance sheets as of the lease commencement date. Operating lease ROU assets and operating lease liabilities are recognized based on the present value of the future fixed lease payments over the lease term at the lease commencement date. As most of the Company’s leases do not provide an implicit rate, the Company applies its incremental borrowing rate based on the economic environment at the lease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7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ASU 2016-02 provided a number of optional practical expedients upon implementation. The Company elected the transition package of practical expedients available in the standard, which permitted the Company to not reassess under the new standard the Company’s prior conclusions about lease identification, lease classification, and initial direct costs and the practical expedient to not account for lease and non-lease components separately.</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adoption of ASU 2018-13 on January 1, 2020 did not have a material impact on the Company’s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5"/>
          <w:szCs w:val="15"/>
          <w:b w:val="1"/>
          <w:bCs w:val="1"/>
          <w:color w:val="auto"/>
        </w:rPr>
        <w:t>Recently issued accounting pronouncements not yet adopted: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2016, the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w:t>
      </w:r>
    </w:p>
    <w:p>
      <w:pPr>
        <w:spacing w:after="0" w:line="2" w:lineRule="exact"/>
        <w:rPr>
          <w:sz w:val="20"/>
          <w:szCs w:val="20"/>
          <w:color w:val="auto"/>
        </w:rPr>
      </w:pPr>
    </w:p>
    <w:p>
      <w:pPr>
        <w:jc w:val="both"/>
        <w:spacing w:after="0" w:line="253"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with a government that result in a step-up in the tax basis of goodwill, (3) separate financial statements of legal entities that are not subject to tax, and (4) enacted changes in tax laws in interim periods. The standard is effective for the Company on January 1, 2021 with early adoption permitted. The Company is currently evaluating the impact this guidance may have on its consolidated financial statements and related disclosures.</w:t>
      </w:r>
    </w:p>
    <w:p>
      <w:pPr>
        <w:spacing w:after="0" w:line="19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following table summarizes the Company’s financial assets subject to fair value measurement and the level of inputs used in such measurements as of December 31, 2020 and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9"/>
              </w:rPr>
              <w:t>As of December 31, 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8,585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8,585</w:t>
            </w:r>
          </w:p>
        </w:tc>
        <w:tc>
          <w:tcPr>
            <w:tcW w:w="11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4"/>
              </w:rPr>
              <w:t>8,585</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3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money market funds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ind w:left="360"/>
              <w:spacing w:after="0"/>
              <w:rPr>
                <w:sz w:val="20"/>
                <w:szCs w:val="20"/>
                <w:color w:val="auto"/>
              </w:rPr>
            </w:pPr>
            <w:r>
              <w:rPr>
                <w:rFonts w:ascii="Arial" w:cs="Arial" w:eastAsia="Arial" w:hAnsi="Arial"/>
                <w:sz w:val="18"/>
                <w:szCs w:val="18"/>
                <w:color w:val="auto"/>
              </w:rPr>
              <w:t>US Treasury Bond</w:t>
            </w:r>
          </w:p>
        </w:tc>
        <w:tc>
          <w:tcPr>
            <w:tcW w:w="260" w:type="dxa"/>
            <w:vAlign w:val="bottom"/>
          </w:tcPr>
          <w:p>
            <w:pPr>
              <w:spacing w:after="0"/>
              <w:rPr>
                <w:sz w:val="20"/>
                <w:szCs w:val="20"/>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4,998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3660" w:type="dxa"/>
            <w:vAlign w:val="bottom"/>
          </w:tcPr>
          <w:p>
            <w:pPr>
              <w:ind w:left="360"/>
              <w:spacing w:after="0"/>
              <w:rPr>
                <w:sz w:val="20"/>
                <w:szCs w:val="20"/>
                <w:color w:val="auto"/>
              </w:rPr>
            </w:pPr>
            <w:r>
              <w:rPr>
                <w:rFonts w:ascii="Arial" w:cs="Arial" w:eastAsia="Arial" w:hAnsi="Arial"/>
                <w:sz w:val="18"/>
                <w:szCs w:val="18"/>
                <w:color w:val="auto"/>
              </w:rPr>
              <w:t>Convertible loan investment (see Note 4)</w:t>
            </w:r>
          </w:p>
        </w:tc>
        <w:tc>
          <w:tcPr>
            <w:tcW w:w="260" w:type="dxa"/>
            <w:vAlign w:val="bottom"/>
          </w:tcPr>
          <w:p>
            <w:pPr>
              <w:spacing w:after="0"/>
              <w:rPr>
                <w:sz w:val="20"/>
                <w:szCs w:val="20"/>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29"/>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270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13,853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13,583</w:t>
            </w:r>
          </w:p>
        </w:tc>
        <w:tc>
          <w:tcPr>
            <w:tcW w:w="11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9"/>
              </w:rPr>
              <w:t>As of December 31, 2019</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1,052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11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36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4"/>
              </w:rPr>
              <w:t>1,052</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3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Bond</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2,521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2,521</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4"/>
              </w:rPr>
              <w:t>2,521</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36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w w:val="84"/>
              </w:rPr>
              <w:t>3,573</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contractual maturity of the marketable securities noted above are one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NOTE 4 - OTHER CURRENT ASSETS</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560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8"/>
                <w:szCs w:val="18"/>
                <w:color w:val="auto"/>
              </w:rPr>
              <w:t>As of December 31,</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5600" w:type="dxa"/>
            <w:vAlign w:val="bottom"/>
          </w:tcPr>
          <w:p>
            <w:pPr>
              <w:spacing w:after="0"/>
              <w:rPr>
                <w:sz w:val="20"/>
                <w:szCs w:val="20"/>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government institutions</w:t>
            </w:r>
          </w:p>
        </w:tc>
        <w:tc>
          <w:tcPr>
            <w:tcW w:w="1100" w:type="dxa"/>
            <w:vAlign w:val="bottom"/>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1100" w:type="dxa"/>
            <w:vAlign w:val="bottom"/>
            <w:shd w:val="clear" w:color="auto" w:fill="CCEEFF"/>
          </w:tcPr>
          <w:p>
            <w:pPr>
              <w:jc w:val="right"/>
              <w:ind w:right="941"/>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Convertible loan investment (1)</w:t>
            </w:r>
          </w:p>
        </w:tc>
        <w:tc>
          <w:tcPr>
            <w:tcW w:w="1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1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1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1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21"/>
                <w:szCs w:val="21"/>
                <w:color w:val="auto"/>
              </w:rPr>
            </w:pPr>
          </w:p>
        </w:tc>
      </w:tr>
      <w:tr>
        <w:trPr>
          <w:trHeight w:val="217"/>
        </w:trPr>
        <w:tc>
          <w:tcPr>
            <w:tcW w:w="560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31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2020, the Company granted a convertible loan in the amount of $200 bearing annual interest of 5%. The loan and accumulated interest will be converted under certain terms and conditions as detailed in the agreement. Also, the Company has the right to receive back the loan and accumulated interest in cash as detailed in the agreement. In March 2021, the Company converted this loan and received total consideration of $270.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We have lease agreements with lease and non-lease components, which we account for as a single lease component. Variable lease payments based on an index or rate are initially measured using the index or rate in effect at the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12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39"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1170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0" w:lineRule="exact"/>
        <w:rPr>
          <w:sz w:val="20"/>
          <w:szCs w:val="20"/>
          <w:color w:val="auto"/>
        </w:rPr>
      </w:pPr>
    </w:p>
    <w:p>
      <w:pPr>
        <w:ind w:left="8240"/>
        <w:spacing w:after="0"/>
        <w:tabs>
          <w:tab w:leader="none" w:pos="1004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1170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32" w:lineRule="exact"/>
        <w:rPr>
          <w:sz w:val="20"/>
          <w:szCs w:val="20"/>
          <w:color w:val="auto"/>
        </w:rPr>
      </w:pPr>
    </w:p>
    <w:p>
      <w:pPr>
        <w:ind w:left="980"/>
        <w:spacing w:after="0"/>
        <w:tabs>
          <w:tab w:leader="none" w:pos="7620" w:val="left"/>
          <w:tab w:leader="none" w:pos="8880" w:val="left"/>
          <w:tab w:leader="none" w:pos="9460" w:val="left"/>
          <w:tab w:leader="none" w:pos="1070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641223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Undiscounted maturities of operating lease payments as December 31, 2020 and December 31,2019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w w:val="89"/>
              </w:rPr>
              <w:t>As of December 31,</w:t>
            </w: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96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Leases recorded on the consolidated balance sheets consist of the following:</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66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w w:val="89"/>
              </w:rPr>
              <w:t>As of December 31,</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 -use asset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24"/>
                <w:szCs w:val="24"/>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 current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Operating lease - non-current</w:t>
            </w:r>
          </w:p>
        </w:tc>
        <w:tc>
          <w:tcPr>
            <w:tcW w:w="9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color w:val="auto"/>
              </w:rPr>
              <w:t>As of December 31,</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Operating leases weighted average discount rate</w:t>
            </w:r>
          </w:p>
        </w:tc>
        <w:tc>
          <w:tcPr>
            <w:tcW w:w="960" w:type="dxa"/>
            <w:vAlign w:val="bottom"/>
          </w:tcPr>
          <w:p>
            <w:pPr>
              <w:spacing w:after="0"/>
              <w:rPr>
                <w:sz w:val="20"/>
                <w:szCs w:val="20"/>
                <w:color w:val="auto"/>
              </w:rPr>
            </w:pP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ind w:left="4480"/>
              <w:spacing w:after="0"/>
              <w:rPr>
                <w:sz w:val="20"/>
                <w:szCs w:val="20"/>
                <w:color w:val="auto"/>
              </w:rPr>
            </w:pPr>
            <w:r>
              <w:rPr>
                <w:rFonts w:ascii="Arial" w:cs="Arial" w:eastAsia="Arial" w:hAnsi="Arial"/>
                <w:sz w:val="18"/>
                <w:szCs w:val="18"/>
                <w:color w:val="auto"/>
              </w:rPr>
              <w:t>F-16</w:t>
            </w: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ind w:left="640"/>
              <w:spacing w:after="0"/>
              <w:rPr>
                <w:sz w:val="20"/>
                <w:szCs w:val="20"/>
                <w:color w:val="auto"/>
              </w:rPr>
            </w:pPr>
            <w:r>
              <w:rPr>
                <w:rFonts w:ascii="Arial" w:cs="Arial" w:eastAsia="Arial" w:hAnsi="Arial"/>
                <w:sz w:val="18"/>
                <w:szCs w:val="18"/>
                <w:color w:val="auto"/>
              </w:rPr>
              <w:t>As of December 31,</w:t>
            </w: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Research equipment and software</w:t>
            </w:r>
          </w:p>
        </w:tc>
        <w:tc>
          <w:tcPr>
            <w:tcW w:w="1380" w:type="dxa"/>
            <w:vAlign w:val="bottom"/>
            <w:gridSpan w:val="3"/>
          </w:tcPr>
          <w:p>
            <w:pPr>
              <w:ind w:left="126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Furniture and office equipment</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Accumulated Depreciation:</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equipment and software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Leasehold improvements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Furniture and office equipment</w:t>
            </w:r>
          </w:p>
        </w:tc>
        <w:tc>
          <w:tcPr>
            <w:tcW w:w="8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340" w:type="dxa"/>
            <w:vAlign w:val="bottom"/>
            <w:tcBorders>
              <w:top w:val="single" w:sz="8" w:color="CCEEFF"/>
              <w:bottom w:val="single" w:sz="8" w:color="CCEEFF"/>
            </w:tcBorders>
          </w:tcPr>
          <w:p>
            <w:pPr>
              <w:spacing w:after="0"/>
              <w:rPr>
                <w:sz w:val="18"/>
                <w:szCs w:val="18"/>
                <w:color w:val="auto"/>
              </w:rPr>
            </w:pPr>
          </w:p>
        </w:tc>
        <w:tc>
          <w:tcPr>
            <w:tcW w:w="434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213</w:t>
            </w: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380" w:type="dxa"/>
            <w:vAlign w:val="bottom"/>
            <w:gridSpan w:val="3"/>
          </w:tcPr>
          <w:p>
            <w:pPr>
              <w:ind w:left="126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251</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ACCRUED LIABILITIES</w:t>
            </w: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9"/>
          </w:tcPr>
          <w:p>
            <w:pPr>
              <w:ind w:left="40"/>
              <w:spacing w:after="0"/>
              <w:rPr>
                <w:sz w:val="20"/>
                <w:szCs w:val="20"/>
                <w:color w:val="auto"/>
              </w:rPr>
            </w:pPr>
            <w:r>
              <w:rPr>
                <w:rFonts w:ascii="Arial" w:cs="Arial" w:eastAsia="Arial" w:hAnsi="Arial"/>
                <w:sz w:val="18"/>
                <w:szCs w:val="18"/>
                <w:color w:val="auto"/>
              </w:rPr>
              <w:t>As of December 31,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liabilities</w:t>
            </w: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619</w:t>
            </w:r>
          </w:p>
        </w:tc>
        <w:tc>
          <w:tcPr>
            <w:tcW w:w="360" w:type="dxa"/>
            <w:vAlign w:val="bottom"/>
            <w:gridSpan w:val="2"/>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Accrued expenses from the merger</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883</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795</w:t>
            </w:r>
          </w:p>
        </w:tc>
        <w:tc>
          <w:tcPr>
            <w:tcW w:w="60" w:type="dxa"/>
            <w:vAlign w:val="bottom"/>
            <w:tcBorders>
              <w:top w:val="single" w:sz="8" w:color="CCEEFF"/>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Microbot Israel has received grants from the Israeli Innovation Authority (“IIA”) for participation in research and development since 2013 through 2020, totaling approximately $1,500. In return, the Company is obligated to pay royalties amounting to 3%-3.5% of its future sales from commercialization of the funded research and development, up to the amount of the grants received.</w:t>
      </w:r>
    </w:p>
    <w:p>
      <w:pPr>
        <w:spacing w:after="0" w:line="165"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payment of royalties with respect to 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US$12.40, based on an exchange rate of NIS3.215 to the dollar) covering up to 60 consulting hours per month.</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was denied in February 2021.</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28, 2019, Alliance filed a motion for summary judgment requesting that the Court dismiss the claims against Alliance. On February 4, 2020, Mona answered the 16(b) claim the Company asserted against him by claiming various equitable defenses, and filed a counterclaim against the Company under Section 10(b) of the Securities Exchange Act of 1934 and Rule 10b-5 promulgated thereunder, claiming a net loss on trading the Company’s stock of approximately $151.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6, 2020, the Company filed a motion for judgment on the pleadings with respect to the Company’s 16(b) claim against Mona, together with a motion to dismiss Mona’s 10(b) counterclaim.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 The Company’s Section 16(b) claim against Mona remained pending following the Court’s dismissal of the Section 16(b) claim against Alliance.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18, 2020, the Magistrate Judge issued a Report &amp; Recommendation, which recommended that: (i) judgment of $484,614.30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 On January 4, 2021, Mona filed Objections to the Magistrate’s Report &amp; Recommendation, which is pending.</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As of December 31, 2020, and December 31, 2019, the Company had 7,108,133 and 7,185,628 shares of common stock issued and outstanding, respectively.</w:t>
      </w:r>
    </w:p>
    <w:p>
      <w:pPr>
        <w:spacing w:after="0" w:line="170"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before deducting placement agent fees and other offering expenses of approximately $688. The closing of the offering took place on January 15, 2019. The pre-funded warrants were exercised in full in January 2019. As part of the offering the company issued to the underwriter 22,767 warrants for 3.5 years with an exercise price of $8.125 for total value of $165.</w:t>
      </w:r>
    </w:p>
    <w:p>
      <w:pPr>
        <w:spacing w:after="0" w:line="195" w:lineRule="exact"/>
        <w:rPr>
          <w:sz w:val="20"/>
          <w:szCs w:val="20"/>
          <w:color w:val="auto"/>
        </w:rPr>
      </w:pPr>
    </w:p>
    <w:p>
      <w:pPr>
        <w:jc w:val="both"/>
        <w:ind w:left="980"/>
        <w:spacing w:after="0" w:line="296" w:lineRule="auto"/>
        <w:rPr>
          <w:sz w:val="20"/>
          <w:szCs w:val="20"/>
          <w:color w:val="auto"/>
        </w:rPr>
      </w:pPr>
      <w:r>
        <w:rPr>
          <w:rFonts w:ascii="Arial" w:cs="Arial" w:eastAsia="Arial" w:hAnsi="Arial"/>
          <w:sz w:val="16"/>
          <w:szCs w:val="16"/>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before deducting placement agent fees and other offering expenses of approximately $720. The closing of the offering took place on January 17, 2019. As part of the offering the company issued to the underwriter 29,500 warrants for 3.5 years with exercise price of $12.50 for total value of $221.</w:t>
      </w:r>
    </w:p>
    <w:p>
      <w:pPr>
        <w:spacing w:after="0" w:line="161"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investors also purchased warrants to purchase an aggregate of up to 250,000 shares of the Company’s common stock, at a purchase price per warrant of $0.125. The warrants were exercisable for 1 year and had an exercise price of $10.00 per share, for a total value of $2,019. The gross proceeds to the Company from the sale of the shares and warrants were approximately $2,500 before deducting placement agent fees and other offering expenses of approximately $370. The closing of the offering took place on January 25, 2019. As part of the offering the company issued to the underwriter 12,500 warrants for 1 year with an exercise price of $12.50 for total value of $99.</w:t>
      </w:r>
    </w:p>
    <w:p>
      <w:pPr>
        <w:spacing w:after="0" w:line="166"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On December 25, 2019 the Company entered into a Securities Purchase Agreement with accredited institutional investors providing for the issuance and sale by the Company to the purchasers of an aggregate of 912,858 shares of the Company’s common stock, at a purchase price per share of $10.50. The gross proceeds to the Company were approximately $9,585 before deducting placement agent fees and other offering expenses of approximately $1,090. The closing of the offering took place on December 27, 2019. As part of the offering the Company issued to the underwriter 45,643 warrants for 3.5 years with an exercise price of $13.125 for total value of $371.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96" w:lineRule="auto"/>
        <w:rPr>
          <w:sz w:val="20"/>
          <w:szCs w:val="20"/>
          <w:color w:val="auto"/>
        </w:rPr>
      </w:pPr>
      <w:r>
        <w:rPr>
          <w:rFonts w:ascii="Arial" w:cs="Arial" w:eastAsia="Arial" w:hAnsi="Arial"/>
          <w:sz w:val="16"/>
          <w:szCs w:val="16"/>
          <w:color w:val="auto"/>
        </w:rPr>
        <w:t>On December 27, 2019 the Company entered into a Securities Purchase Agreement with accredited institutional investors providing for the issuance and sale by the Company to the purchasers of an aggregate of 952,383 shares of the Company’s common stock, at a purchase price per share of $10.50. The gross proceeds to the Company were approximately $10,000 before deducting placement agent fees and other offering expenses of approximately $1,010. The closing of the offering took place on December 30, 2019. As part of the offering the Company issued to the underwriter 47,619 warrants for 3.5 years with an exercise price of $13.125 for total value of $366.</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30, 2019 the Company entered into a Securities Purchase Agreement with accredited institutional investors providing for the issuance and sale by the Company to the purchasers of an aggregate of 900,901 shares of the Company’s common stock, at a purchase price per share of $11.10. The gross proceeds to the Company were approximately $10,000 before deducting placement agent fees and other offering expenses of approximately $1,010. The closing of the offering took place on December 31, 2019. As part of the offering the Company issued to the underwriter 45,045 warrants for 3.5 years with an exercise price of $13.875 for total value of $343.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as of December 31, 2020 and 2019 in the total amount of $25 and $43,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2019, the board of directors approved a grant of 17,503 stock options to purchase an aggregate of up to 17,503 shares of common stock to certain of its employees, at an exercise price per share of $5.95. The stock options vest over a period of 3 years as outlined in the option agreements. As a result, the Company recognized compensation expenses as of December 31, 2020 and 2019 in the total amount of $32 and $12,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2019, the board of directors approved a grant of 19,760 stock options to purchase an aggregate of up to 19,760 shares of common stock to certain of its directors, at an exercise price per share of $5.06. The stock options vest over a period of 3 years as outlined in the option agreements. As a result, the Company recognized compensation expenses as of December 31, 2020 and 2019 in the total amount of $27 and $6, respectively, included in general and administrative expenses.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2020, the board of directors approved a grant of 166,666 stock options to purchase an aggregate of up to 166,666 shares of common stock to Mr. Harel Gadot, the Company’s Chairman of the Board, President and CEO, at an exercise price per share of $9.64. The stock options vest over a period of 1 years as outlined in the option agreements. As a result, the Company recognized compensation expenses as of December 31, 2020 in the total amount of $1,237 included in general and administrative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14, 2020, the board of directors approved grants of stock options to purchase an aggregate of up to 31,492 shares of common stock to an independent director and to an officer, each at an exercise price per share of $6.16. The stock options vest over a period of 3 years as outlined in the option agreements. As a result, the Company recognized compensation expenses as of December 31, 2020 in the total amount of $27,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14, 2020, the board of directors approved a grant of stock options to purchase up to 4,902 shares of common stock to an independent director, at an exercise price per share of $8.16. The stock options vest over a period of 3 years as outlined in the option agreements. As a result, the Company recognized compensation expenses as of December 31, 2020 in the total amount of $4,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5, 2020, the Company granted to independent directors of the Company, options to purchase an aggregate of 11,084 shares of the Company’s common stock, at an exercise price per share of $7.22. The stock options vest over a period of 3 years as outlined in the option agreements. As a result, the Company recognized compensation expenses as of December 31, 2020 in the total amount of $3 included in general and administrative expenses.</w:t>
      </w:r>
    </w:p>
    <w:p>
      <w:pPr>
        <w:spacing w:after="0" w:line="18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120" w:type="dxa"/>
            <w:vAlign w:val="bottom"/>
            <w:gridSpan w:val="6"/>
          </w:tcPr>
          <w:p>
            <w:pPr>
              <w:ind w:left="600"/>
              <w:spacing w:after="0"/>
              <w:rPr>
                <w:sz w:val="20"/>
                <w:szCs w:val="20"/>
                <w:color w:val="auto"/>
              </w:rPr>
            </w:pPr>
            <w:r>
              <w:rPr>
                <w:rFonts w:ascii="Arial" w:cs="Arial" w:eastAsia="Arial" w:hAnsi="Arial"/>
                <w:sz w:val="18"/>
                <w:szCs w:val="18"/>
                <w:color w:val="auto"/>
              </w:rPr>
              <w:t>For the Year ended December 31, 2020</w:t>
            </w:r>
          </w:p>
        </w:tc>
      </w:tr>
      <w:tr>
        <w:trPr>
          <w:trHeight w:val="202"/>
        </w:trPr>
        <w:tc>
          <w:tcPr>
            <w:tcW w:w="2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88"/>
              </w:rPr>
              <w:t>Weighted average</w:t>
            </w:r>
          </w:p>
        </w:tc>
        <w:tc>
          <w:tcPr>
            <w:tcW w:w="80" w:type="dxa"/>
            <w:vAlign w:val="bottom"/>
          </w:tcPr>
          <w:p>
            <w:pPr>
              <w:spacing w:after="0"/>
              <w:rPr>
                <w:sz w:val="17"/>
                <w:szCs w:val="17"/>
                <w:color w:val="auto"/>
              </w:rPr>
            </w:pPr>
          </w:p>
        </w:tc>
      </w:tr>
      <w:tr>
        <w:trPr>
          <w:trHeight w:val="237"/>
        </w:trPr>
        <w:tc>
          <w:tcPr>
            <w:tcW w:w="2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Number of stock 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exercise price</w:t>
            </w:r>
          </w:p>
        </w:tc>
      </w:tr>
      <w:tr>
        <w:trPr>
          <w:trHeight w:val="216"/>
        </w:trPr>
        <w:tc>
          <w:tcPr>
            <w:tcW w:w="2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371,360</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214,145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(8,818)</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r>
      <w:tr>
        <w:trPr>
          <w:trHeight w:val="257"/>
        </w:trPr>
        <w:tc>
          <w:tcPr>
            <w:tcW w:w="486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Outstanding as of December 31, 2020</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575,722</w:t>
            </w:r>
          </w:p>
        </w:tc>
        <w:tc>
          <w:tcPr>
            <w:tcW w:w="26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28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Vested at end of period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332,104</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9.13</w:t>
            </w:r>
          </w:p>
        </w:tc>
      </w:tr>
      <w:tr>
        <w:trPr>
          <w:trHeight w:val="20"/>
        </w:trPr>
        <w:tc>
          <w:tcPr>
            <w:tcW w:w="2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120" w:type="dxa"/>
            <w:vAlign w:val="bottom"/>
            <w:gridSpan w:val="6"/>
          </w:tcPr>
          <w:p>
            <w:pPr>
              <w:ind w:left="600"/>
              <w:spacing w:after="0"/>
              <w:rPr>
                <w:sz w:val="20"/>
                <w:szCs w:val="20"/>
                <w:color w:val="auto"/>
              </w:rPr>
            </w:pPr>
            <w:r>
              <w:rPr>
                <w:rFonts w:ascii="Arial" w:cs="Arial" w:eastAsia="Arial" w:hAnsi="Arial"/>
                <w:sz w:val="18"/>
                <w:szCs w:val="18"/>
                <w:color w:val="auto"/>
              </w:rPr>
              <w:t>For the Year ended December 31, 2019</w:t>
            </w:r>
          </w:p>
        </w:tc>
      </w:tr>
      <w:tr>
        <w:trPr>
          <w:trHeight w:val="202"/>
        </w:trPr>
        <w:tc>
          <w:tcPr>
            <w:tcW w:w="2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88"/>
              </w:rPr>
              <w:t>Weighted average</w:t>
            </w:r>
          </w:p>
        </w:tc>
        <w:tc>
          <w:tcPr>
            <w:tcW w:w="80" w:type="dxa"/>
            <w:vAlign w:val="bottom"/>
          </w:tcPr>
          <w:p>
            <w:pPr>
              <w:spacing w:after="0"/>
              <w:rPr>
                <w:sz w:val="17"/>
                <w:szCs w:val="17"/>
                <w:color w:val="auto"/>
              </w:rPr>
            </w:pPr>
          </w:p>
        </w:tc>
      </w:tr>
      <w:tr>
        <w:trPr>
          <w:trHeight w:val="237"/>
        </w:trPr>
        <w:tc>
          <w:tcPr>
            <w:tcW w:w="2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Number of stock 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exercise price</w:t>
            </w:r>
          </w:p>
        </w:tc>
      </w:tr>
      <w:tr>
        <w:trPr>
          <w:trHeight w:val="216"/>
        </w:trPr>
        <w:tc>
          <w:tcPr>
            <w:tcW w:w="2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398,308</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40" w:type="dxa"/>
            <w:vAlign w:val="bottom"/>
            <w:gridSpan w:val="2"/>
          </w:tcPr>
          <w:p>
            <w:pPr>
              <w:jc w:val="right"/>
              <w:ind w:right="240"/>
              <w:spacing w:after="0"/>
              <w:rPr>
                <w:sz w:val="20"/>
                <w:szCs w:val="20"/>
                <w:color w:val="auto"/>
              </w:rPr>
            </w:pPr>
            <w:r>
              <w:rPr>
                <w:rFonts w:ascii="Arial" w:cs="Arial" w:eastAsia="Arial" w:hAnsi="Arial"/>
                <w:sz w:val="18"/>
                <w:szCs w:val="18"/>
                <w:color w:val="auto"/>
              </w:rPr>
              <w:t>48,893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(47,151)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19.35</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197"/>
        </w:trPr>
        <w:tc>
          <w:tcPr>
            <w:tcW w:w="2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270,827</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04"/>
        </w:trPr>
        <w:tc>
          <w:tcPr>
            <w:tcW w:w="4860" w:type="dxa"/>
            <w:vAlign w:val="bottom"/>
            <w:gridSpan w:val="2"/>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Less than $0.01.</w:t>
            </w:r>
          </w:p>
        </w:tc>
        <w:tc>
          <w:tcPr>
            <w:tcW w:w="2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2020 and December 31, 2019,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the aggregate intrinsic value of the outstanding options is $702 and $1,305 respectively, and the aggregate intrinsic value of the exercisable options is $657 and $1,115,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there were approximately $730 of total unrecognized compensation costs, net of expected forfeitures, related to unvested share-based compensation awards granted under the Share Incentive Plan. The costs are expected to be recognized over a weighted average period of 0.75 years</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28" w:name="page29"/>
    <w:bookmarkEnd w:id="28"/>
    <w:p>
      <w:pPr>
        <w:jc w:val="center"/>
        <w:ind w:right="60"/>
        <w:spacing w:after="0"/>
        <w:rPr>
          <w:sz w:val="20"/>
          <w:szCs w:val="20"/>
          <w:color w:val="auto"/>
        </w:rPr>
      </w:pPr>
      <w:r>
        <w:rPr>
          <w:rFonts w:ascii="Arial" w:cs="Arial" w:eastAsia="Arial" w:hAnsi="Arial"/>
          <w:sz w:val="18"/>
          <w:szCs w:val="18"/>
          <w:color w:val="auto"/>
        </w:rPr>
        <w:t>The stock options outstanding as of December 31, 2020 and December 31, 2019, summarized by exercise prices, are as follows: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Weighted</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remaining</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remaining</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Stock options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Stock options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contractual life –</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contractual life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Stock options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Stock options</w:t>
            </w: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outstanding as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outstanding as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years as of</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 years as of</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exercisable as</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exercisable as</w:t>
            </w: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of December 31,</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of December 31,</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December 31,</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December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December</w:t>
            </w:r>
          </w:p>
        </w:tc>
      </w:tr>
      <w:tr>
        <w:trPr>
          <w:trHeight w:val="237"/>
        </w:trPr>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Exercise price $</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3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31, 2020</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31, 2019</w:t>
            </w:r>
          </w:p>
        </w:tc>
        <w:tc>
          <w:tcPr>
            <w:tcW w:w="100" w:type="dxa"/>
            <w:vAlign w:val="bottom"/>
          </w:tcPr>
          <w:p>
            <w:pPr>
              <w:spacing w:after="0"/>
              <w:rPr>
                <w:sz w:val="20"/>
                <w:szCs w:val="20"/>
                <w:color w:val="auto"/>
              </w:rPr>
            </w:pPr>
          </w:p>
        </w:tc>
      </w:tr>
      <w:tr>
        <w:trPr>
          <w:trHeight w:val="216"/>
        </w:trPr>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77,846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77,846</w:t>
            </w: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6.16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31,492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6,250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7.22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11,084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131,007</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133,546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118,308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90,641</w:t>
            </w: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8.60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9,304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11,630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7,208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5,515</w:t>
            </w: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w:t>
            </w: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9.64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166,666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9.2</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17,503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17,503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15,808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19,760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6,320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38,533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38,533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38,533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29,533</w:t>
            </w:r>
          </w:p>
        </w:tc>
      </w:tr>
      <w:tr>
        <w:trPr>
          <w:trHeight w:val="237"/>
        </w:trPr>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61,577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62,542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61,577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62,542</w:t>
            </w:r>
          </w:p>
        </w:tc>
      </w:tr>
      <w:tr>
        <w:trPr>
          <w:trHeight w:val="229"/>
        </w:trPr>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575,722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332,104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Less than $0.01.</w:t>
      </w:r>
    </w:p>
    <w:p>
      <w:pPr>
        <w:spacing w:after="0" w:line="22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Years ended December 31, 2020 and 2019 was $1,937 and $1,099, respectively.</w:t>
      </w:r>
    </w:p>
    <w:p>
      <w:pPr>
        <w:spacing w:after="0" w:line="17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grant date fair values of stock options granted in the years ended December 31, 2020 and 2019 were estimated using the Black-Scholes valuation model with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740" w:type="dxa"/>
            <w:vAlign w:val="bottom"/>
            <w:gridSpan w:val="4"/>
          </w:tcPr>
          <w:p>
            <w:pPr>
              <w:jc w:val="right"/>
              <w:ind w:right="1020"/>
              <w:spacing w:after="0"/>
              <w:rPr>
                <w:sz w:val="20"/>
                <w:szCs w:val="20"/>
                <w:color w:val="auto"/>
              </w:rPr>
            </w:pPr>
            <w:r>
              <w:rPr>
                <w:rFonts w:ascii="Arial" w:cs="Arial" w:eastAsia="Arial" w:hAnsi="Arial"/>
                <w:sz w:val="18"/>
                <w:szCs w:val="18"/>
                <w:color w:val="auto"/>
              </w:rPr>
              <w:t>Year ended December 31,</w:t>
            </w:r>
          </w:p>
        </w:tc>
        <w:tc>
          <w:tcPr>
            <w:tcW w:w="2400" w:type="dxa"/>
            <w:vAlign w:val="bottom"/>
          </w:tcPr>
          <w:p>
            <w:pPr>
              <w:spacing w:after="0"/>
              <w:rPr>
                <w:sz w:val="20"/>
                <w:szCs w:val="20"/>
                <w:color w:val="auto"/>
              </w:rPr>
            </w:pPr>
          </w:p>
        </w:tc>
      </w:tr>
      <w:tr>
        <w:trPr>
          <w:trHeight w:val="236"/>
        </w:trPr>
        <w:tc>
          <w:tcPr>
            <w:tcW w:w="980" w:type="dxa"/>
            <w:vAlign w:val="bottom"/>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0"/>
                <w:szCs w:val="20"/>
                <w:color w:val="auto"/>
              </w:rPr>
            </w:pPr>
          </w:p>
        </w:tc>
        <w:tc>
          <w:tcPr>
            <w:tcW w:w="240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113.86%-135.21%</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132.63%-144.4%</w:t>
            </w:r>
          </w:p>
        </w:tc>
        <w:tc>
          <w:tcPr>
            <w:tcW w:w="2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Risk-free interest</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0.33%-1.62%</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1.49%-2.62%</w:t>
            </w:r>
          </w:p>
        </w:tc>
        <w:tc>
          <w:tcPr>
            <w:tcW w:w="24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4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5.5-5.8</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400" w:type="dxa"/>
            <w:vAlign w:val="bottom"/>
          </w:tcPr>
          <w:p>
            <w:pPr>
              <w:spacing w:after="0"/>
              <w:rPr>
                <w:sz w:val="20"/>
                <w:szCs w:val="20"/>
                <w:color w:val="auto"/>
              </w:rPr>
            </w:pPr>
          </w:p>
        </w:tc>
      </w:tr>
      <w:tr>
        <w:trPr>
          <w:trHeight w:val="425"/>
        </w:trPr>
        <w:tc>
          <w:tcPr>
            <w:tcW w:w="9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1240"/>
              <w:spacing w:after="0"/>
              <w:rPr>
                <w:sz w:val="20"/>
                <w:szCs w:val="20"/>
                <w:color w:val="auto"/>
              </w:rPr>
            </w:pPr>
            <w:r>
              <w:rPr>
                <w:rFonts w:ascii="Arial" w:cs="Arial" w:eastAsia="Arial" w:hAnsi="Arial"/>
                <w:sz w:val="18"/>
                <w:szCs w:val="18"/>
                <w:color w:val="auto"/>
              </w:rPr>
              <w:t>F-23</w:t>
            </w: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12"/>
          </w:tcPr>
          <w:p>
            <w:pPr>
              <w:spacing w:after="0"/>
              <w:rPr>
                <w:sz w:val="20"/>
                <w:szCs w:val="20"/>
                <w:color w:val="auto"/>
              </w:rPr>
            </w:pPr>
            <w:r>
              <w:rPr>
                <w:rFonts w:ascii="Arial" w:cs="Arial" w:eastAsia="Arial" w:hAnsi="Arial"/>
                <w:sz w:val="18"/>
                <w:szCs w:val="18"/>
                <w:color w:val="auto"/>
                <w:w w:val="94"/>
              </w:rPr>
              <w:t>The remaining outstanding warrants and terms as of December 31, 2020 and December 31, 2019 are as follows: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as of</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as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as of</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December</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40" w:type="dxa"/>
            <w:vAlign w:val="bottom"/>
            <w:gridSpan w:val="2"/>
          </w:tcPr>
          <w:p>
            <w:pPr>
              <w:spacing w:after="0"/>
              <w:rPr>
                <w:sz w:val="20"/>
                <w:szCs w:val="20"/>
                <w:color w:val="auto"/>
              </w:rPr>
            </w:pPr>
            <w:r>
              <w:rPr>
                <w:rFonts w:ascii="Arial" w:cs="Arial" w:eastAsia="Arial" w:hAnsi="Arial"/>
                <w:sz w:val="18"/>
                <w:szCs w:val="18"/>
                <w:color w:val="auto"/>
              </w:rPr>
              <w:t>Issuance date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31, 2020</w:t>
            </w:r>
          </w:p>
        </w:tc>
        <w:tc>
          <w:tcPr>
            <w:tcW w:w="20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4"/>
              </w:rPr>
              <w:t>Exercisable Through</w:t>
            </w:r>
          </w:p>
        </w:tc>
        <w:tc>
          <w:tcPr>
            <w:tcW w:w="0" w:type="dxa"/>
            <w:vAlign w:val="bottom"/>
          </w:tcPr>
          <w:p>
            <w:pPr>
              <w:spacing w:after="0"/>
              <w:rPr>
                <w:sz w:val="1"/>
                <w:szCs w:val="1"/>
                <w:color w:val="auto"/>
              </w:rPr>
            </w:pPr>
          </w:p>
        </w:tc>
      </w:tr>
      <w:tr>
        <w:trPr>
          <w:trHeight w:val="216"/>
        </w:trPr>
        <w:tc>
          <w:tcPr>
            <w:tcW w:w="3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2,754.00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9, 2023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Series A (2015)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1,377.00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April 30,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14,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Warrant to underwriters 1.2019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8,082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22,767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8.13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8,082</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14,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1.2019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Warrant to underwriters 1.2019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January 15,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45,643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45,643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25,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Warrant to underwriters 12.2019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47,619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47,619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13.13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47,619</w:t>
            </w:r>
          </w:p>
        </w:tc>
        <w:tc>
          <w:tcPr>
            <w:tcW w:w="1600" w:type="dxa"/>
            <w:vAlign w:val="bottom"/>
          </w:tcPr>
          <w:p>
            <w:pPr>
              <w:jc w:val="right"/>
              <w:spacing w:after="0"/>
              <w:rPr>
                <w:sz w:val="20"/>
                <w:szCs w:val="20"/>
                <w:color w:val="auto"/>
              </w:rPr>
            </w:pPr>
            <w:r>
              <w:rPr>
                <w:rFonts w:ascii="Arial" w:cs="Arial" w:eastAsia="Arial" w:hAnsi="Arial"/>
                <w:sz w:val="18"/>
                <w:szCs w:val="18"/>
                <w:color w:val="auto"/>
              </w:rPr>
              <w:t>June 27,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45,045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45,045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2019, 125,000 outstanding warrants at an exercise price per share of $10.00, were exercised on a “net exercise” or “cashless” basis into 61,677 shares of common stock, and 125,000 outstanding warrants at an exercise price per share of $10.00, were exercised on a “net exercise” or “cashless” basis into 50,143 shares of common stock. All of such warrants were issued in January 2019.</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2020, 14,685 outstanding warrants at an exercise price per share of $8.13, were exercised on a “net exercise” or “cashless” basis into 4,873 shares of common stock All of such warrants were issued in January 2019.</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10 - RESEARCH AND DEVELOPMENT EXPENSES, NET</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8"/>
                <w:szCs w:val="18"/>
                <w:color w:val="auto"/>
              </w:rPr>
              <w:t>Years ended December 31,</w:t>
            </w:r>
          </w:p>
        </w:tc>
      </w:tr>
      <w:tr>
        <w:trPr>
          <w:trHeight w:val="237"/>
        </w:trPr>
        <w:tc>
          <w:tcPr>
            <w:tcW w:w="1700" w:type="dxa"/>
            <w:vAlign w:val="bottom"/>
          </w:tcPr>
          <w:p>
            <w:pPr>
              <w:spacing w:after="0"/>
              <w:rPr>
                <w:sz w:val="20"/>
                <w:szCs w:val="20"/>
                <w:color w:val="auto"/>
              </w:rPr>
            </w:pPr>
          </w:p>
        </w:tc>
        <w:tc>
          <w:tcPr>
            <w:tcW w:w="520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Materials</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545</w:t>
            </w: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Rent</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Depreciation</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r>
      <w:tr>
        <w:trPr>
          <w:trHeight w:val="216"/>
        </w:trPr>
        <w:tc>
          <w:tcPr>
            <w:tcW w:w="170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36"/>
        </w:trPr>
        <w:tc>
          <w:tcPr>
            <w:tcW w:w="17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Grants received from IIA &amp; EC</w:t>
            </w:r>
          </w:p>
        </w:tc>
        <w:tc>
          <w:tcPr>
            <w:tcW w:w="7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1700" w:type="dxa"/>
            <w:vAlign w:val="bottom"/>
          </w:tcPr>
          <w:p>
            <w:pPr>
              <w:spacing w:after="0"/>
              <w:rPr>
                <w:sz w:val="19"/>
                <w:szCs w:val="19"/>
                <w:color w:val="auto"/>
              </w:rPr>
            </w:pPr>
          </w:p>
        </w:tc>
        <w:tc>
          <w:tcPr>
            <w:tcW w:w="5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NOTE 11 - GENERAL AND ADMINISTRATIVE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5"/>
              </w:rPr>
              <w:t>Years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Government fees</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1,282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Public and investor relations</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Travel</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12 - TRANSACTIONS AND BALANCES WITH RELATED PARTIES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11"/>
          </w:tcPr>
          <w:p>
            <w:pPr>
              <w:jc w:val="center"/>
              <w:ind w:right="100"/>
              <w:spacing w:after="0"/>
              <w:rPr>
                <w:sz w:val="20"/>
                <w:szCs w:val="20"/>
                <w:color w:val="auto"/>
              </w:rPr>
            </w:pPr>
            <w:r>
              <w:rPr>
                <w:rFonts w:ascii="Arial" w:cs="Arial" w:eastAsia="Arial" w:hAnsi="Arial"/>
                <w:sz w:val="18"/>
                <w:szCs w:val="18"/>
                <w:color w:val="auto"/>
                <w:w w:val="88"/>
              </w:rPr>
              <w:t>Year ended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3"/>
          </w:tcPr>
          <w:p>
            <w:pPr>
              <w:jc w:val="right"/>
              <w:ind w:right="5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Payroll and related expenses</w:t>
            </w:r>
          </w:p>
        </w:tc>
        <w:tc>
          <w:tcPr>
            <w:tcW w:w="32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2,974</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1,094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fees and insurance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3,781</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gridSpan w:val="11"/>
          </w:tcPr>
          <w:p>
            <w:pPr>
              <w:jc w:val="center"/>
              <w:ind w:right="100"/>
              <w:spacing w:after="0"/>
              <w:rPr>
                <w:sz w:val="20"/>
                <w:szCs w:val="20"/>
                <w:color w:val="auto"/>
              </w:rPr>
            </w:pPr>
            <w:r>
              <w:rPr>
                <w:rFonts w:ascii="Arial" w:cs="Arial" w:eastAsia="Arial" w:hAnsi="Arial"/>
                <w:sz w:val="18"/>
                <w:szCs w:val="18"/>
                <w:color w:val="auto"/>
                <w:w w:val="91"/>
              </w:rPr>
              <w:t>As of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Other accounts payable</w:t>
            </w:r>
          </w:p>
        </w:tc>
        <w:tc>
          <w:tcPr>
            <w:tcW w:w="320" w:type="dxa"/>
            <w:vAlign w:val="bottom"/>
          </w:tcPr>
          <w:p>
            <w:pPr>
              <w:spacing w:after="0"/>
              <w:rPr>
                <w:sz w:val="21"/>
                <w:szCs w:val="21"/>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313</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228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40" w:type="dxa"/>
            <w:vAlign w:val="bottom"/>
            <w:vMerge w:val="restart"/>
          </w:tcPr>
          <w:p>
            <w:pPr>
              <w:ind w:left="4480"/>
              <w:spacing w:after="0"/>
              <w:rPr>
                <w:sz w:val="20"/>
                <w:szCs w:val="20"/>
                <w:color w:val="auto"/>
              </w:rPr>
            </w:pPr>
            <w:r>
              <w:rPr>
                <w:rFonts w:ascii="Arial" w:cs="Arial" w:eastAsia="Arial" w:hAnsi="Arial"/>
                <w:sz w:val="18"/>
                <w:szCs w:val="18"/>
                <w:color w:val="auto"/>
              </w:rPr>
              <w:t>F-25</w:t>
            </w: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TAXES ON INCOME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Israeli corporate tax rate of 23% for the years ended 2020 and 2019.</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a U.S. Federal tax of 21% for the years ended December 31, 2020 and 2019.</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As of December 31, 2020, the Company generated net operating losses in Israel of approximately $19,773 which may be carried forward and offset against taxable income in the future for an indefinite period.</w:t>
      </w:r>
    </w:p>
    <w:p>
      <w:pPr>
        <w:spacing w:after="0" w:line="170" w:lineRule="exact"/>
        <w:rPr>
          <w:sz w:val="20"/>
          <w:szCs w:val="20"/>
          <w:color w:val="auto"/>
        </w:rPr>
      </w:pPr>
    </w:p>
    <w:p>
      <w:pPr>
        <w:jc w:val="both"/>
        <w:ind w:left="980" w:right="20"/>
        <w:spacing w:after="0" w:line="259" w:lineRule="auto"/>
        <w:rPr>
          <w:sz w:val="20"/>
          <w:szCs w:val="20"/>
          <w:color w:val="auto"/>
        </w:rPr>
      </w:pPr>
      <w:r>
        <w:rPr>
          <w:rFonts w:ascii="Arial" w:cs="Arial" w:eastAsia="Arial" w:hAnsi="Arial"/>
          <w:sz w:val="18"/>
          <w:szCs w:val="18"/>
          <w:color w:val="auto"/>
        </w:rPr>
        <w:t>As of December 31, 2020, the Company incurred net operating losses in the U.S. of approximately $492,487.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7"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1170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0" w:lineRule="exact"/>
        <w:rPr>
          <w:sz w:val="20"/>
          <w:szCs w:val="20"/>
          <w:color w:val="auto"/>
        </w:rPr>
      </w:pPr>
    </w:p>
    <w:p>
      <w:pPr>
        <w:ind w:left="8240"/>
        <w:spacing w:after="0"/>
        <w:tabs>
          <w:tab w:leader="none" w:pos="1004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1170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32" w:lineRule="exact"/>
        <w:rPr>
          <w:sz w:val="20"/>
          <w:szCs w:val="20"/>
          <w:color w:val="auto"/>
        </w:rPr>
      </w:pPr>
    </w:p>
    <w:p>
      <w:pPr>
        <w:ind w:left="980"/>
        <w:spacing w:after="0"/>
        <w:tabs>
          <w:tab w:leader="none" w:pos="7620" w:val="left"/>
          <w:tab w:leader="none" w:pos="8560" w:val="left"/>
          <w:tab w:leader="none" w:pos="9460" w:val="left"/>
          <w:tab w:leader="none" w:pos="10380" w:val="left"/>
        </w:tabs>
        <w:rPr>
          <w:sz w:val="20"/>
          <w:szCs w:val="20"/>
          <w:color w:val="auto"/>
        </w:rPr>
      </w:pPr>
      <w:r>
        <w:rPr>
          <w:rFonts w:ascii="Arial" w:cs="Arial" w:eastAsia="Arial" w:hAnsi="Arial"/>
          <w:sz w:val="18"/>
          <w:szCs w:val="18"/>
          <w:color w:val="auto"/>
        </w:rPr>
        <w:t>Net operating loss carry-forwards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512,260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503,065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64122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Arial" w:cs="Arial" w:eastAsia="Arial" w:hAnsi="Arial"/>
          <w:sz w:val="15"/>
          <w:szCs w:val="15"/>
          <w:color w:val="auto"/>
        </w:rPr>
        <w:t>Other net deferred tax assets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Valuation allowance</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40"/>
        <w:spacing w:after="0"/>
        <w:tabs>
          <w:tab w:leader="none" w:pos="2740" w:val="left"/>
        </w:tabs>
        <w:rPr>
          <w:sz w:val="20"/>
          <w:szCs w:val="20"/>
          <w:color w:val="auto"/>
        </w:rPr>
      </w:pPr>
      <w:r>
        <w:rPr>
          <w:rFonts w:ascii="Arial" w:cs="Arial" w:eastAsia="Arial" w:hAnsi="Arial"/>
          <w:sz w:val="17"/>
          <w:szCs w:val="17"/>
          <w:color w:val="auto"/>
        </w:rPr>
        <w:t>107,574</w:t>
      </w:r>
      <w:r>
        <w:rPr>
          <w:sz w:val="20"/>
          <w:szCs w:val="20"/>
          <w:color w:val="auto"/>
        </w:rPr>
        <w:tab/>
      </w:r>
      <w:r>
        <w:rPr>
          <w:rFonts w:ascii="Arial" w:cs="Arial" w:eastAsia="Arial" w:hAnsi="Arial"/>
          <w:sz w:val="17"/>
          <w:szCs w:val="17"/>
          <w:color w:val="auto"/>
        </w:rPr>
        <w:t>115,705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-114300</wp:posOffset>
            </wp:positionV>
            <wp:extent cx="64122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5" w:lineRule="exact"/>
        <w:rPr>
          <w:sz w:val="20"/>
          <w:szCs w:val="20"/>
          <w:color w:val="auto"/>
        </w:rPr>
      </w:pPr>
    </w:p>
    <w:p>
      <w:pPr>
        <w:jc w:val="right"/>
        <w:ind w:right="200"/>
        <w:spacing w:after="0"/>
        <w:tabs>
          <w:tab w:leader="none" w:pos="680" w:val="left"/>
        </w:tabs>
        <w:rPr>
          <w:sz w:val="20"/>
          <w:szCs w:val="20"/>
          <w:color w:val="auto"/>
        </w:rPr>
      </w:pPr>
      <w:r>
        <w:rPr>
          <w:rFonts w:ascii="Arial" w:cs="Arial" w:eastAsia="Arial" w:hAnsi="Arial"/>
          <w:sz w:val="18"/>
          <w:szCs w:val="18"/>
          <w:color w:val="auto"/>
        </w:rPr>
        <w:t>(107,574)</w:t>
      </w:r>
      <w:r>
        <w:rPr>
          <w:sz w:val="20"/>
          <w:szCs w:val="20"/>
          <w:color w:val="auto"/>
        </w:rPr>
        <w:tab/>
      </w:r>
      <w:r>
        <w:rPr>
          <w:rFonts w:ascii="Arial" w:cs="Arial" w:eastAsia="Arial" w:hAnsi="Arial"/>
          <w:sz w:val="16"/>
          <w:szCs w:val="16"/>
          <w:color w:val="auto"/>
        </w:rPr>
        <w:t>(115,705)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14605</wp:posOffset>
            </wp:positionV>
            <wp:extent cx="641223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29" w:lineRule="exact"/>
        <w:rPr>
          <w:sz w:val="20"/>
          <w:szCs w:val="20"/>
          <w:color w:val="auto"/>
        </w:rPr>
      </w:pPr>
    </w:p>
    <w:p>
      <w:pPr>
        <w:spacing w:after="0"/>
        <w:tabs>
          <w:tab w:leader="none" w:pos="1460" w:val="left"/>
          <w:tab w:leader="none" w:pos="1820" w:val="left"/>
          <w:tab w:leader="none" w:pos="3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2117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600"/>
          </w:cols>
          <w:pgMar w:left="320" w:top="661" w:right="339" w:bottom="1440" w:gutter="0" w:footer="0" w:header="0"/>
          <w:type w:val="continuous"/>
        </w:sectPr>
      </w:pP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147"/>
              <w:spacing w:after="0"/>
              <w:rPr>
                <w:sz w:val="20"/>
                <w:szCs w:val="20"/>
                <w:color w:val="auto"/>
              </w:rPr>
            </w:pPr>
            <w:r>
              <w:rPr>
                <w:rFonts w:ascii="Arial" w:cs="Arial" w:eastAsia="Arial" w:hAnsi="Arial"/>
                <w:sz w:val="18"/>
                <w:szCs w:val="18"/>
                <w:color w:val="auto"/>
              </w:rPr>
              <w:t>Year ended 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 in Israel</w:t>
            </w:r>
          </w:p>
        </w:tc>
        <w:tc>
          <w:tcPr>
            <w:tcW w:w="4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4,042</w:t>
            </w:r>
          </w:p>
        </w:tc>
        <w:tc>
          <w:tcPr>
            <w:tcW w:w="108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loss in U.S.</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3,275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under statutory tax rate</w:t>
            </w:r>
          </w:p>
        </w:tc>
        <w:tc>
          <w:tcPr>
            <w:tcW w:w="3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8"/>
                <w:szCs w:val="18"/>
                <w:color w:val="auto"/>
              </w:rPr>
            </w:pPr>
          </w:p>
        </w:tc>
      </w:tr>
      <w:tr>
        <w:trPr>
          <w:trHeight w:val="250"/>
        </w:trPr>
        <w:tc>
          <w:tcPr>
            <w:tcW w:w="98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0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(2,005)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(1,601)</w:t>
            </w:r>
          </w:p>
        </w:tc>
        <w:tc>
          <w:tcPr>
            <w:tcW w:w="16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Actual provision for income taxes</w:t>
            </w:r>
          </w:p>
        </w:tc>
        <w:tc>
          <w:tcPr>
            <w:tcW w:w="306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jc w:val="right"/>
              <w:ind w:right="2650"/>
              <w:spacing w:after="0"/>
              <w:rPr>
                <w:sz w:val="20"/>
                <w:szCs w:val="20"/>
                <w:color w:val="auto"/>
              </w:rPr>
            </w:pPr>
            <w:r>
              <w:rPr>
                <w:rFonts w:ascii="Arial" w:cs="Arial" w:eastAsia="Arial" w:hAnsi="Arial"/>
                <w:sz w:val="18"/>
                <w:szCs w:val="18"/>
                <w:color w:val="auto"/>
              </w:rPr>
              <w:t>F-26</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Statements on Form S-8 (Registration No. 333-221216 and 333-250963) and the Registration Statement on Form S-3 (Registration No. 333-250966) of our report dated March 31, 2021 relating to the consolidated financial statements of Microbot Medical Inc. (the “Company”) appearing in the Annual Report on Form 10-K/A of the Company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14,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14,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10-K/A for the fiscal year ended December 31, 2020 as filed with the Securities and Exchange Commission on the date hereof (the “Report”), I, </w:t>
      </w:r>
      <w:r>
        <w:rPr>
          <w:rFonts w:ascii="Arial" w:cs="Arial" w:eastAsia="Arial" w:hAnsi="Arial"/>
          <w:sz w:val="18"/>
          <w:szCs w:val="18"/>
          <w:b w:val="1"/>
          <w:bCs w:val="1"/>
          <w:color w:val="auto"/>
        </w:rPr>
        <w:t>Harel Gadot</w:t>
      </w:r>
      <w:r>
        <w:rPr>
          <w:rFonts w:ascii="Arial" w:cs="Arial" w:eastAsia="Arial" w:hAnsi="Arial"/>
          <w:sz w:val="18"/>
          <w:szCs w:val="18"/>
          <w:color w:val="auto"/>
        </w:rPr>
        <w:t>, President and Chief Executive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10-K/A for the fiscal year ended December 31, 2020 as filed with the Securities and Exchange Commission on the date hereof (the “Report”), I, </w:t>
      </w:r>
      <w:r>
        <w:rPr>
          <w:rFonts w:ascii="Arial" w:cs="Arial" w:eastAsia="Arial" w:hAnsi="Arial"/>
          <w:sz w:val="18"/>
          <w:szCs w:val="18"/>
          <w:b w:val="1"/>
          <w:bCs w:val="1"/>
          <w:color w:val="auto"/>
        </w:rPr>
        <w:t>David Ben Naim</w:t>
      </w:r>
      <w:r>
        <w:rPr>
          <w:rFonts w:ascii="Arial" w:cs="Arial" w:eastAsia="Arial" w:hAnsi="Arial"/>
          <w:sz w:val="18"/>
          <w:szCs w:val="18"/>
          <w:color w:val="auto"/>
        </w:rPr>
        <w:t>, Chief Financial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6"/>
    </w:lvl>
  </w:abstractNum>
  <w:abstractNum w:abstractNumId="5">
    <w:nsid w:val="4DB127F8"/>
    <w:multiLevelType w:val="hybridMultilevel"/>
    <w:lvl w:ilvl="0">
      <w:lvlJc w:val="left"/>
      <w:lvlText w:val="%1."/>
      <w:numFmt w:val="upperLetter"/>
      <w:start w:val="9"/>
    </w:lvl>
  </w:abstractNum>
  <w:abstractNum w:abstractNumId="6">
    <w:nsid w:val="216231B"/>
    <w:multiLevelType w:val="hybridMultilevel"/>
    <w:lvl w:ilvl="0">
      <w:lvlJc w:val="left"/>
      <w:lvlText w:val="%1."/>
      <w:numFmt w:val="upperLetter"/>
      <w:start w:val="10"/>
    </w:lvl>
  </w:abstractNum>
  <w:abstractNum w:abstractNumId="7">
    <w:nsid w:val="1F16E9E8"/>
    <w:multiLevelType w:val="hybridMultilevel"/>
    <w:lvl w:ilvl="0">
      <w:lvlJc w:val="left"/>
      <w:lvlText w:val="%1."/>
      <w:numFmt w:val="upperLetter"/>
      <w:start w:val="16"/>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43"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48" Type="http://schemas.openxmlformats.org/officeDocument/2006/relationships/image" Target="media/image9.jpeg"/><Relationship Id="rId49" Type="http://schemas.openxmlformats.org/officeDocument/2006/relationships/image" Target="media/image10.png"/><Relationship Id="rId50" Type="http://schemas.openxmlformats.org/officeDocument/2006/relationships/image" Target="media/image11.png"/><Relationship Id="rId51" Type="http://schemas.openxmlformats.org/officeDocument/2006/relationships/image" Target="media/image12.png"/><Relationship Id="rId52" Type="http://schemas.openxmlformats.org/officeDocument/2006/relationships/image" Target="media/image13.png"/><Relationship Id="rId53" Type="http://schemas.openxmlformats.org/officeDocument/2006/relationships/image" Target="media/image14.png"/><Relationship Id="rId54" Type="http://schemas.openxmlformats.org/officeDocument/2006/relationships/image" Target="media/image15.png"/><Relationship Id="rId55" Type="http://schemas.openxmlformats.org/officeDocument/2006/relationships/image" Target="media/image16.png"/><Relationship Id="rId56" Type="http://schemas.openxmlformats.org/officeDocument/2006/relationships/image" Target="media/image17.png"/><Relationship Id="rId57" Type="http://schemas.openxmlformats.org/officeDocument/2006/relationships/image" Target="media/image18.png"/><Relationship Id="rId58" Type="http://schemas.openxmlformats.org/officeDocument/2006/relationships/image" Target="media/image19.png"/><Relationship Id="rId59" Type="http://schemas.openxmlformats.org/officeDocument/2006/relationships/image" Target="media/image20.png"/><Relationship Id="rId60" Type="http://schemas.openxmlformats.org/officeDocument/2006/relationships/image" Target="media/image21.png"/><Relationship Id="rId61" Type="http://schemas.openxmlformats.org/officeDocument/2006/relationships/image" Target="media/image22.png"/><Relationship Id="rId62" Type="http://schemas.openxmlformats.org/officeDocument/2006/relationships/image" Target="media/image23.png"/><Relationship Id="rId63" Type="http://schemas.openxmlformats.org/officeDocument/2006/relationships/image" Target="media/image24.png"/><Relationship Id="rId64" Type="http://schemas.openxmlformats.org/officeDocument/2006/relationships/image" Target="media/image25.png"/><Relationship Id="rId65"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png"/><Relationship Id="rId89" Type="http://schemas.openxmlformats.org/officeDocument/2006/relationships/image" Target="media/image50.png"/><Relationship Id="rId90" Type="http://schemas.openxmlformats.org/officeDocument/2006/relationships/image" Target="media/image51.png"/><Relationship Id="rId91" Type="http://schemas.openxmlformats.org/officeDocument/2006/relationships/image" Target="media/image52.png"/><Relationship Id="rId13" Type="http://schemas.openxmlformats.org/officeDocument/2006/relationships/hyperlink" Target="http://www.sec.gov/Archives/edgar/data/883975/000119312516682077/d161430dex21.htm" TargetMode="External"/><Relationship Id="rId14" Type="http://schemas.openxmlformats.org/officeDocument/2006/relationships/hyperlink" Target="http://www.sec.gov/Archives/edgar/data/883975/000095013407005808/f27726exv3w1.htm" TargetMode="External"/><Relationship Id="rId15" Type="http://schemas.openxmlformats.org/officeDocument/2006/relationships/hyperlink" Target="http://www.sec.gov/Archives/edgar/data/883975/000119312516779729/d296933dex31.htm" TargetMode="External"/><Relationship Id="rId16" Type="http://schemas.openxmlformats.org/officeDocument/2006/relationships/hyperlink" Target="http://www.sec.gov/Archives/edgar/data/883975/000149315218012872/ex3-1.htm" TargetMode="External"/><Relationship Id="rId17" Type="http://schemas.openxmlformats.org/officeDocument/2006/relationships/hyperlink" Target="http://www.sec.gov/Archives/edgar/data/883975/000129993316002374/exhibit1.htm" TargetMode="External"/><Relationship Id="rId18" Type="http://schemas.openxmlformats.org/officeDocument/2006/relationships/hyperlink" Target="http://www.sec.gov/Archives/edgar/data/883975/000149315218017395/ex3-1.htm" TargetMode="External"/><Relationship Id="rId19" Type="http://schemas.openxmlformats.org/officeDocument/2006/relationships/hyperlink" Target="http://www.sec.gov/Archives/edgar/data/883975/000149315219013998/ex3-1.htm" TargetMode="External"/><Relationship Id="rId20" Type="http://schemas.openxmlformats.org/officeDocument/2006/relationships/hyperlink" Target="http://www.sec.gov/Archives/edgar/data/883975/000119312516501361/d68391dex41.htm" TargetMode="External"/><Relationship Id="rId21" Type="http://schemas.openxmlformats.org/officeDocument/2006/relationships/hyperlink" Target="http://www.sec.gov/Archives/edgar/data/883975/000119312516501361/d68391dex42.htm" TargetMode="External"/><Relationship Id="rId22" Type="http://schemas.openxmlformats.org/officeDocument/2006/relationships/hyperlink" Target="http://www.sec.gov/Archives/edgar/data/883975/000149315219000672/ex4-2.htm" TargetMode="External"/><Relationship Id="rId23" Type="http://schemas.openxmlformats.org/officeDocument/2006/relationships/hyperlink" Target="http://www.sec.gov/Archives/edgar/data/883975/000149315219000744/ex4-1.htm" TargetMode="External"/><Relationship Id="rId24" Type="http://schemas.openxmlformats.org/officeDocument/2006/relationships/hyperlink" Target="http://www.sec.gov/Archives/edgar/data/883975/000149315219000969/ex4-1.htm" TargetMode="External"/><Relationship Id="rId25" Type="http://schemas.openxmlformats.org/officeDocument/2006/relationships/hyperlink" Target="http://www.sec.gov/Archives/edgar/data/883975/000149315219019746/ex4-1.htm" TargetMode="External"/><Relationship Id="rId26" Type="http://schemas.openxmlformats.org/officeDocument/2006/relationships/hyperlink" Target="http://www.sec.gov/Archives/edgar/data/883975/000149315219000969/ex4-2.htm" TargetMode="External"/><Relationship Id="rId27" Type="http://schemas.openxmlformats.org/officeDocument/2006/relationships/hyperlink" Target="http://www.sec.gov/Archives/edgar/data/883975/000149315219019824/ex4-1.htm" TargetMode="External"/><Relationship Id="rId28" Type="http://schemas.openxmlformats.org/officeDocument/2006/relationships/hyperlink" Target="http://www.sec.gov/Archives/edgar/data/883975/000149315219019906/ex4-1.htm" TargetMode="External"/><Relationship Id="rId29" Type="http://schemas.openxmlformats.org/officeDocument/2006/relationships/hyperlink" Target="https://www.sec.gov/Archives/edgar/data/883975/000149315220006338/form10-k.htm" TargetMode="External"/><Relationship Id="rId30" Type="http://schemas.openxmlformats.org/officeDocument/2006/relationships/hyperlink" Target="http://www.sec.gov/Archives/edgar/data/883975/000119312516779729/d296933dex104.htm" TargetMode="External"/><Relationship Id="rId31" Type="http://schemas.openxmlformats.org/officeDocument/2006/relationships/hyperlink" Target="http://www.sec.gov/Archives/edgar/data/883975/000119312516779729/d296933dex105.htm" TargetMode="External"/><Relationship Id="rId32" Type="http://schemas.openxmlformats.org/officeDocument/2006/relationships/hyperlink" Target="http://www.sec.gov/Archives/edgar/data/883975/000119312516779729/d296933dex106.htm" TargetMode="External"/><Relationship Id="rId33" Type="http://schemas.openxmlformats.org/officeDocument/2006/relationships/hyperlink" Target="http://www.sec.gov/Archives/edgar/data/883975/000149315217002678/ex10-14.htm" TargetMode="External"/><Relationship Id="rId34" Type="http://schemas.openxmlformats.org/officeDocument/2006/relationships/hyperlink" Target="http://www.sec.gov/Archives/edgar/data/883975/000149315217013222/ex10-1.htm" TargetMode="External"/><Relationship Id="rId35" Type="http://schemas.openxmlformats.org/officeDocument/2006/relationships/hyperlink" Target="http://www.sec.gov/Archives/edgar/data/883975/000149315218000286/ex10-1.htm" TargetMode="External"/><Relationship Id="rId36" Type="http://schemas.openxmlformats.org/officeDocument/2006/relationships/hyperlink" Target="https://www.sec.gov/Archives/edgar/data/883975/000149315220006338/ex10-9.htm" TargetMode="External"/><Relationship Id="rId37" Type="http://schemas.openxmlformats.org/officeDocument/2006/relationships/hyperlink" Target="http://www.sec.gov/Archives/edgar/data/883975/000149315217008987/def14a.htm" TargetMode="External"/><Relationship Id="rId38" Type="http://schemas.openxmlformats.org/officeDocument/2006/relationships/hyperlink" Target="http://www.sec.gov/Archives/edgar/data/883975/000149315220014354/def14a.htm" TargetMode="External"/><Relationship Id="rId39" Type="http://schemas.openxmlformats.org/officeDocument/2006/relationships/hyperlink" Target="https://www.sec.gov/Archives/edgar/data/883975/000149315220022543/ex4-2.htm" TargetMode="External"/><Relationship Id="rId40" Type="http://schemas.openxmlformats.org/officeDocument/2006/relationships/hyperlink" Target="https://www.sec.gov/Archives/edgar/data/883975/000149315220022543/ex4-3.htm" TargetMode="External"/><Relationship Id="rId41" Type="http://schemas.openxmlformats.org/officeDocument/2006/relationships/hyperlink" Target="https://www.sec.gov/Archives/edgar/data/883975/000149315220022543/ex4-4.htm" TargetMode="External"/><Relationship Id="rId42" Type="http://schemas.openxmlformats.org/officeDocument/2006/relationships/hyperlink" Target="https://www.sec.gov/Archives/edgar/data/883975/000149315220022543/ex4-5.htm" TargetMode="External"/><Relationship Id="rId44" Type="http://schemas.openxmlformats.org/officeDocument/2006/relationships/hyperlink" Target="https://www.sec.gov/Archives/edgar/data/883975/000149315220022543/ex4-6.htm" TargetMode="External"/><Relationship Id="rId45" Type="http://schemas.openxmlformats.org/officeDocument/2006/relationships/hyperlink" Target="https://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2021-04-14T16:32:57Z</dcterms:created>
  <dcterms:modified xsi:type="dcterms:W3CDTF">2021-04-14T16:32:57Z</dcterms:modified>
</cp:coreProperties>
</file>