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5,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On November 5, 2009, StemCells, Inc. reported financial results for the third quarter ended September 30, 2009.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StemCells, Inc. dated November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5,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Press Release of StemCells, Inc. dated November 5,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36"/>
          <w:szCs w:val="36"/>
          <w:color w:val="auto"/>
        </w:rPr>
        <w:t>NEWS RELEASE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Megan Meloni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198" w:lineRule="exact"/>
        <w:rPr>
          <w:sz w:val="20"/>
          <w:szCs w:val="20"/>
          <w:color w:val="auto"/>
        </w:rPr>
      </w:pPr>
    </w:p>
    <w:p>
      <w:pPr>
        <w:sectPr>
          <w:pgSz w:w="11900" w:h="16838" w:orient="portrait"/>
          <w:cols w:equalWidth="0" w:num="2">
            <w:col w:w="3040" w:space="720"/>
            <w:col w:w="7660"/>
          </w:cols>
          <w:pgMar w:left="240" w:top="111" w:right="239" w:bottom="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STEMCELLS, INC. REPORTS THIRD QUARTER FINANCIAL RESULTS</w:t>
      </w:r>
    </w:p>
    <w:p>
      <w:pPr>
        <w:sectPr>
          <w:pgSz w:w="11900" w:h="16838" w:orient="portrait"/>
          <w:cols w:equalWidth="0" w:num="1">
            <w:col w:w="11420"/>
          </w:cols>
          <w:pgMar w:left="240" w:top="111" w:right="239" w:bottom="0" w:gutter="0" w:footer="0" w:header="0"/>
          <w:type w:val="continuous"/>
        </w:sectPr>
      </w:pPr>
    </w:p>
    <w:p>
      <w:pPr>
        <w:spacing w:after="0" w:line="205" w:lineRule="exact"/>
        <w:rPr>
          <w:sz w:val="20"/>
          <w:szCs w:val="20"/>
          <w:color w:val="auto"/>
        </w:rPr>
      </w:pPr>
    </w:p>
    <w:p>
      <w:pPr>
        <w:ind w:right="960" w:firstLine="456"/>
        <w:spacing w:after="0" w:line="282" w:lineRule="auto"/>
        <w:rPr>
          <w:sz w:val="20"/>
          <w:szCs w:val="20"/>
          <w:color w:val="auto"/>
        </w:rPr>
      </w:pPr>
      <w:r>
        <w:rPr>
          <w:rFonts w:ascii="Arial" w:cs="Arial" w:eastAsia="Arial" w:hAnsi="Arial"/>
          <w:sz w:val="18"/>
          <w:szCs w:val="18"/>
          <w:b w:val="1"/>
          <w:bCs w:val="1"/>
          <w:color w:val="auto"/>
        </w:rPr>
        <w:t xml:space="preserve">PALO ALTO, Calif., November 5, 2009 </w:t>
      </w:r>
      <w:r>
        <w:rPr>
          <w:rFonts w:ascii="Arial" w:cs="Arial" w:eastAsia="Arial" w:hAnsi="Arial"/>
          <w:sz w:val="18"/>
          <w:szCs w:val="18"/>
          <w:color w:val="auto"/>
        </w:rPr>
        <w:t>– StemCells, Inc. (NASDAQ: STEM) today reported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2009.</w:t>
      </w:r>
    </w:p>
    <w:p>
      <w:pPr>
        <w:spacing w:after="0" w:line="15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Net loss for the third quarter of 2009 was $5,145,000, or $0.05 per share, compared with a net loss of $5,744,000, or $0.07 per share, in the third quarter of 2008.</w:t>
      </w:r>
    </w:p>
    <w:p>
      <w:pPr>
        <w:spacing w:after="0" w:line="13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Total revenue for the third quarter of 2009 was $253,000, compared to $12,000 for the third quarter of 2008. This revenue growth was primarily driven by the consolidation of the Stem Cell Sciences (SCS) operations, which were acquired in April 2009.</w:t>
      </w:r>
    </w:p>
    <w:p>
      <w:pPr>
        <w:spacing w:after="0" w:line="14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Total operating expenses for the third quarter of 2009 were $7,095,000, compared to $5,857,000 for the third quarter of 2008. Approximately $749,000, or 61%, of this increase was due to the consolidation of the SCS operations. Excluding costs associated with the SCS operations, total operating expenses were 8% higher than the same period in 2008, reflecting expanded operations to support manufacturing, research and clinical development.</w:t>
      </w:r>
    </w:p>
    <w:p>
      <w:pPr>
        <w:spacing w:after="0" w:line="10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Other income in the third quarter of 2009 was $1,838,000, compared to $101,000 in the third quarter of 2008, and included a $1,830,000 decrease in the Company’s warrant liability.</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For the first nine months of 2009, cash used in operations totaled $18,491,000. This total, which includes the consolidation of the acquired SCS operations since April 1, 2009, was 8% higher than the same period in 2008. Cash, cash equivalents and marketable debt securities totaled $33,206,000 at September 30, 2009. In the third quarter of 2009, the Company raised $2,800,000 in gross proceeds through the sale of 1,555,000 shares of common stock. On November 2, 2009, the Company raised $12,500,000 in gross proceeds through the sale of 10,000,000 shares of common stock and warrants to purchase four million shares of common stock at an exercise price of $1.50 per share.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the sale of these shares and warrants, and net of placement agency fees and offering expenses, the Company’s cash, cash equivalents and marketable debt securities at September 30, 2009 would be $45,106,000.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Significant recent events include:</w:t>
      </w:r>
    </w:p>
    <w:p>
      <w:pPr>
        <w:spacing w:after="0" w:line="229" w:lineRule="exact"/>
        <w:rPr>
          <w:sz w:val="20"/>
          <w:szCs w:val="20"/>
          <w:color w:val="auto"/>
        </w:rPr>
      </w:pPr>
    </w:p>
    <w:p>
      <w:pPr>
        <w:ind w:left="220" w:right="100" w:hanging="167"/>
        <w:spacing w:after="0" w:line="212" w:lineRule="auto"/>
        <w:tabs>
          <w:tab w:leader="none" w:pos="22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In September 2009, StemCells announced the publication of preclinical data demonstrating the therapeutic potential of its HuCNS-SC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candidate (purified human neural stem cells) in neuronal ceroid lipofuscinosis (NCL), often referred to as Batten disease, a fatal neurodegenerative disorder in children. The Company’s neural stem cells, when transplanted in a mouse model of infantile NCL, were shown to engraft, migrate throughout the brain and continuously secrete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85"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color w:val="auto"/>
        </w:rPr>
        <w:t xml:space="preserve">missing lysosomal enzyme characteristic of NCL. Moreover, mice that received the transplanted cells showed statistically significant reduction in cellular waste build-up, protection of critical host neurons and delayed loss of motor function compared with the control (non-transplanted) group. This data was published in the peer-reviewed journal </w:t>
      </w:r>
      <w:r>
        <w:rPr>
          <w:rFonts w:ascii="Arial" w:cs="Arial" w:eastAsia="Arial" w:hAnsi="Arial"/>
          <w:sz w:val="18"/>
          <w:szCs w:val="18"/>
          <w:i w:val="1"/>
          <w:iCs w:val="1"/>
          <w:color w:val="auto"/>
        </w:rPr>
        <w:t>Cell Stem Cell.</w:t>
      </w:r>
      <w:r>
        <w:rPr>
          <w:rFonts w:ascii="Arial" w:cs="Arial" w:eastAsia="Arial" w:hAnsi="Arial"/>
          <w:sz w:val="18"/>
          <w:szCs w:val="18"/>
          <w:color w:val="auto"/>
        </w:rPr>
        <w:t xml:space="preserve"> The Company completed a Phase I clinical trial in NCL in January 2009, which demonstrated a favorable safety profile of the HuCNS-SC cells and the transplantation procedure.</w:t>
      </w:r>
    </w:p>
    <w:p>
      <w:pPr>
        <w:spacing w:after="0" w:line="187" w:lineRule="exact"/>
        <w:rPr>
          <w:sz w:val="20"/>
          <w:szCs w:val="20"/>
          <w:color w:val="auto"/>
        </w:rPr>
      </w:pPr>
    </w:p>
    <w:p>
      <w:pPr>
        <w:ind w:left="220" w:hanging="167"/>
        <w:spacing w:after="0" w:line="25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2009, StemCells announced plans to initiate a Phase I trial of its HuCNS-SC cells in patients with Pelizaeus-Merzbacher Disease (PMD), a fatal myelination disorder that primarily affects infants and young children. This trial will be the first ever clinical trial of neural stem cells in a myelination disorder, and will be the Company’s second clinical trial of its HuCNS-SC cells. The trial will be conducted at the University of California, San Francisco (UCSF) Children’s Hospital.</w:t>
      </w:r>
    </w:p>
    <w:p>
      <w:pPr>
        <w:spacing w:after="0" w:line="186" w:lineRule="exact"/>
        <w:rPr>
          <w:rFonts w:ascii="Arial" w:cs="Arial" w:eastAsia="Arial" w:hAnsi="Arial"/>
          <w:sz w:val="18"/>
          <w:szCs w:val="18"/>
          <w:color w:val="auto"/>
        </w:rPr>
      </w:pPr>
    </w:p>
    <w:p>
      <w:pPr>
        <w:ind w:left="220" w:right="40" w:hanging="167"/>
        <w:spacing w:after="0" w:line="25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2009, StemCells announced organizational initiatives focused on growing its SC Proven cell culture products business and advancing the development and commercialization of its cell-based assay platforms for use in drug screening and drug development. These initiatives included new personnel appointments and a realignment of activities within the Company’s Cambridge, UK and Palo Alto, California locations to more effectively leverage the Company’s cell-based technology platforms and expertise. StemCells also announced that it had completed the wind-down of its operations in Melbourne, Australia.</w:t>
      </w:r>
    </w:p>
    <w:p>
      <w:pPr>
        <w:spacing w:after="0" w:line="188" w:lineRule="exact"/>
        <w:rPr>
          <w:rFonts w:ascii="Arial" w:cs="Arial" w:eastAsia="Arial" w:hAnsi="Arial"/>
          <w:sz w:val="18"/>
          <w:szCs w:val="18"/>
          <w:color w:val="auto"/>
        </w:rPr>
      </w:pPr>
    </w:p>
    <w:p>
      <w:pPr>
        <w:ind w:left="220" w:hanging="167"/>
        <w:spacing w:after="0" w:line="302"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October 2009, StemCells announced new preclinical data showing that its human neural stem cells protect cone photoreceptors (cones) from progressive degeneration and preserve visual function long term. Cones are light sensing cells that are highly concentrated within the macula of the human eye, and the ability to protect these cells suggests a promising approach to treating age-related macular degeneration (AMD), the leading cause of vision loss and blindness in people over the age of 55. These important findings were presented at the Society for Neuroscience </w:t>
      </w:r>
      <w:r>
        <w:rPr>
          <w:rFonts w:ascii="Arial" w:cs="Arial" w:eastAsia="Arial" w:hAnsi="Arial"/>
          <w:sz w:val="16"/>
          <w:szCs w:val="16"/>
          <w:i w:val="1"/>
          <w:iCs w:val="1"/>
          <w:color w:val="auto"/>
        </w:rPr>
        <w:t>2009 Annual Meeting.</w:t>
      </w:r>
    </w:p>
    <w:p>
      <w:pPr>
        <w:spacing w:after="0" w:line="15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is our second quarter consolidating the SCS operations, and some of the benefits of the combination are beginning to materialize,” said Martin McGlynn, president and CEO of StemCells, Inc. “Product sales from our SC Proven cell culture business are growing rapidly and we anticipate our first post-acquisition new cell culture media product launch early next year. We have also realigned resources to accelerate the development of cell-based drug discovery and drug development tools for the pharmaceutical industry, and reaffirmed our participation in NEUROscreen, a European Union-funded research consortium that seeks to advance the use of cell-based technologies to screen potential drug candidates for neurological disorders.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continue to make progress in our therapeutic product development programs. We anticipate initiating our PMD trial at UCSF by year-end, and are excited about our HuCNS-SC product entering the clinic in a second indication. Additionally, we will meet with the FDA this month to discuss the results of our Phase I NCL trial and the potential pathway for this indication, and, based on the promising results reported this past quarter, we are pushing ahead with preclinical development for AMD and other retinal disorders.”</w:t>
      </w:r>
    </w:p>
    <w:p>
      <w:pPr>
        <w:sectPr>
          <w:pgSz w:w="11900" w:h="16838" w:orient="portrait"/>
          <w:cols w:equalWidth="0" w:num="1">
            <w:col w:w="11420"/>
          </w:cols>
          <w:pgMar w:left="240" w:top="111" w:right="239" w:bottom="0" w:gutter="0" w:footer="0" w:header="0"/>
          <w:type w:val="continuous"/>
        </w:sectPr>
      </w:pPr>
    </w:p>
    <w:bookmarkStart w:id="5" w:name="page6"/>
    <w:bookmarkEnd w:id="5"/>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320" w:firstLine="456"/>
        <w:spacing w:after="0" w:line="252" w:lineRule="auto"/>
        <w:rPr>
          <w:sz w:val="20"/>
          <w:szCs w:val="20"/>
          <w:color w:val="auto"/>
        </w:rPr>
      </w:pPr>
      <w:r>
        <w:rPr>
          <w:rFonts w:ascii="Arial" w:cs="Arial" w:eastAsia="Arial" w:hAnsi="Arial"/>
          <w:sz w:val="16"/>
          <w:szCs w:val="16"/>
          <w:color w:val="auto"/>
        </w:rPr>
        <w:t>StemCells, Inc. is focused on the development and commercialization of cell-based technologies. In its cellular medicine programs, StemCells is targeting diseases of the central nervous system and liver. StemCells’ lead product candidate, HuCNS-SC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cells (purified human neural stem cells), is in clinical development for the treatment of two fatal neurodegenerative disorders that primarily affect young children. StemCells also markets specialty cell</w:t>
      </w:r>
    </w:p>
    <w:p>
      <w:pPr>
        <w:spacing w:after="0" w:line="3" w:lineRule="exact"/>
        <w:rPr>
          <w:sz w:val="20"/>
          <w:szCs w:val="20"/>
          <w:color w:val="auto"/>
        </w:rPr>
      </w:pPr>
    </w:p>
    <w:p>
      <w:pPr>
        <w:jc w:val="both"/>
        <w:ind w:right="500"/>
        <w:spacing w:after="0" w:line="217" w:lineRule="auto"/>
        <w:rPr>
          <w:sz w:val="20"/>
          <w:szCs w:val="20"/>
          <w:color w:val="auto"/>
        </w:rPr>
      </w:pPr>
      <w:r>
        <w:rPr>
          <w:rFonts w:ascii="Arial" w:cs="Arial" w:eastAsia="Arial" w:hAnsi="Arial"/>
          <w:sz w:val="18"/>
          <w:szCs w:val="18"/>
          <w:color w:val="auto"/>
        </w:rPr>
        <w:t>culture media products under the brand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is developing its cell-based technologies for use in drug screening and drug development. The Company has exclusive rights to approximately 55 issued or allowed U.S. patents and approximately 200 granted or allowed non-U.S. patents.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8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the prospect and timing associated with launching a new SC Proven product; the Company’s ability to accelerate its development of drug discovery and drug development tools; the prospect and timing associated with initiating the Company’s PMD trial; the prospect for continued clinical development of its HuCNS-SC cells in NCL; the Company’s plans to continue preclinical studies of its HuCNS-SC cells in retinal disorders; and the prospect and timing associated with the Company’s pursuit of an Investigational New Drug application with the FDA in retinal disorders.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uncertainties regarding the potential for the Company to grow its SC Proven business and to advance the development and commercialization of drug screening and drug development tools; uncertainties with respect to the fact that additional trials will be required to confirm the safety and demonstrate the efficacy of the Company’s HuCNS-SC cells for the treatment of NCL or any other disease; risks whether the FDA or other applicable regulatory agencies will permit the Company to continue clinical testing in NCL, PMD or in future clinical trials of proposed therapies for other diseases or conditions despite the novel and unproven nature of the Company’s technologies; uncertainties about the design of future clinical trials and whether the Company will receive the necessary support of a clinical trial site and its institutional review board to pursue future clinical trials in NCL, PMD or in proposed therapies for other diseases or conditions;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cells and any products that may be generated in the future in the Company’s cell-based programs will prove safe and clinically effective and not cause tumors or other adverse side effects; uncertainties regarding whether results in preclinical research in animals will be indicative of future clinical results in humans; uncertainties regarding the Company’s manufacturing capabilities given its increasing preclinical and clinical commitments; and other factors that are described under the heading “Risk Factors” disclosed in Part I, Item 1A in the Company’s Annual Report on Form 10-K for the year ended December 31, 2008 and Part II, Item 1A of the Company’s Quarterly Report on Form 10-Q for the quarter ended March 31, 2009.</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11"/>
          </w:tcPr>
          <w:p>
            <w:pPr>
              <w:jc w:val="right"/>
              <w:ind w:right="10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6"/>
                <w:szCs w:val="16"/>
                <w:b w:val="1"/>
                <w:bCs w:val="1"/>
                <w:color w:val="auto"/>
                <w:w w:val="91"/>
              </w:rPr>
              <w:t>September 30,</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2009</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2008</w:t>
            </w: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2009</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2008</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w w:val="93"/>
              </w:rPr>
              <w:t>Revenue from licensing agreements and</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40" w:type="dxa"/>
            <w:vAlign w:val="bottom"/>
          </w:tcPr>
          <w:p>
            <w:pPr>
              <w:ind w:left="240"/>
              <w:spacing w:after="0"/>
              <w:rPr>
                <w:sz w:val="20"/>
                <w:szCs w:val="20"/>
                <w:color w:val="auto"/>
              </w:rPr>
            </w:pPr>
            <w:r>
              <w:rPr>
                <w:rFonts w:ascii="Arial" w:cs="Arial" w:eastAsia="Arial" w:hAnsi="Arial"/>
                <w:sz w:val="16"/>
                <w:szCs w:val="16"/>
                <w:color w:val="auto"/>
              </w:rPr>
              <w:t>grants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7"/>
                <w:szCs w:val="17"/>
                <w:color w:val="auto"/>
              </w:rPr>
            </w:pPr>
          </w:p>
        </w:tc>
        <w:tc>
          <w:tcPr>
            <w:tcW w:w="12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7"/>
                <w:szCs w:val="17"/>
                <w:color w:val="auto"/>
              </w:rPr>
            </w:pPr>
          </w:p>
        </w:tc>
        <w:tc>
          <w:tcPr>
            <w:tcW w:w="1000" w:type="dxa"/>
            <w:vAlign w:val="bottom"/>
            <w:gridSpan w:val="6"/>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122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Revenue from product sales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6"/>
                <w:szCs w:val="16"/>
                <w:color w:val="auto"/>
              </w:rPr>
              <w:t>Cost of product sales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8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4,172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14,279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13,087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6,232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ind w:left="240"/>
              <w:spacing w:after="0"/>
              <w:rPr>
                <w:sz w:val="20"/>
                <w:szCs w:val="20"/>
                <w:color w:val="auto"/>
              </w:rPr>
            </w:pPr>
            <w:r>
              <w:rPr>
                <w:rFonts w:ascii="Arial" w:cs="Arial" w:eastAsia="Arial" w:hAnsi="Arial"/>
                <w:sz w:val="16"/>
                <w:szCs w:val="16"/>
                <w:color w:val="auto"/>
              </w:rPr>
              <w:t>Wind-down expenses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86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6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(6,983)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(5,845)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(21,297)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(19,640)</w:t>
            </w:r>
          </w:p>
        </w:tc>
        <w:tc>
          <w:tcPr>
            <w:tcW w:w="0" w:type="dxa"/>
            <w:vAlign w:val="bottom"/>
          </w:tcPr>
          <w:p>
            <w:pPr>
              <w:spacing w:after="0"/>
              <w:rPr>
                <w:sz w:val="1"/>
                <w:szCs w:val="1"/>
                <w:color w:val="auto"/>
              </w:rPr>
            </w:pPr>
          </w:p>
        </w:tc>
      </w:tr>
      <w:tr>
        <w:trPr>
          <w:trHeight w:val="204"/>
        </w:trPr>
        <w:tc>
          <w:tcPr>
            <w:tcW w:w="2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86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Realized gain on sale of marketable</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240"/>
              <w:spacing w:after="0"/>
              <w:rPr>
                <w:sz w:val="20"/>
                <w:szCs w:val="20"/>
                <w:color w:val="auto"/>
              </w:rPr>
            </w:pPr>
            <w:r>
              <w:rPr>
                <w:rFonts w:ascii="Arial" w:cs="Arial" w:eastAsia="Arial" w:hAnsi="Arial"/>
                <w:sz w:val="16"/>
                <w:szCs w:val="16"/>
                <w:color w:val="auto"/>
              </w:rPr>
              <w:t>securities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w w:val="99"/>
              </w:rPr>
              <w:t>Change in fair value of warrant liability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6"/>
                <w:szCs w:val="16"/>
                <w:color w:val="auto"/>
              </w:rPr>
              <w:t>Total other income (expense), net</w:t>
            </w: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(5,145)</w:t>
            </w:r>
          </w:p>
        </w:tc>
        <w:tc>
          <w:tcPr>
            <w:tcW w:w="540" w:type="dxa"/>
            <w:vAlign w:val="bottom"/>
            <w:gridSpan w:val="3"/>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gridSpan w:val="3"/>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5,744)</w:t>
            </w:r>
          </w:p>
        </w:tc>
        <w:tc>
          <w:tcPr>
            <w:tcW w:w="26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gridSpan w:val="3"/>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(21,792)</w:t>
            </w:r>
          </w:p>
        </w:tc>
        <w:tc>
          <w:tcPr>
            <w:tcW w:w="560" w:type="dxa"/>
            <w:vAlign w:val="bottom"/>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gridSpan w:val="3"/>
          </w:tcPr>
          <w:p>
            <w:pPr>
              <w:spacing w:after="0"/>
              <w:rPr>
                <w:sz w:val="18"/>
                <w:szCs w:val="18"/>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(19,004)</w:t>
            </w:r>
          </w:p>
        </w:tc>
        <w:tc>
          <w:tcPr>
            <w:tcW w:w="0" w:type="dxa"/>
            <w:vAlign w:val="bottom"/>
          </w:tcPr>
          <w:p>
            <w:pPr>
              <w:spacing w:after="0"/>
              <w:rPr>
                <w:sz w:val="1"/>
                <w:szCs w:val="1"/>
                <w:color w:val="auto"/>
              </w:rPr>
            </w:pPr>
          </w:p>
        </w:tc>
      </w:tr>
      <w:tr>
        <w:trPr>
          <w:trHeight w:val="207"/>
        </w:trPr>
        <w:tc>
          <w:tcPr>
            <w:tcW w:w="286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continue"/>
          </w:tcPr>
          <w:p>
            <w:pPr>
              <w:spacing w:after="0"/>
              <w:rPr>
                <w:sz w:val="17"/>
                <w:szCs w:val="17"/>
                <w:color w:val="auto"/>
              </w:rPr>
            </w:pPr>
          </w:p>
        </w:tc>
        <w:tc>
          <w:tcPr>
            <w:tcW w:w="1000" w:type="dxa"/>
            <w:vAlign w:val="bottom"/>
            <w:gridSpan w:val="6"/>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continue"/>
          </w:tcPr>
          <w:p>
            <w:pPr>
              <w:spacing w:after="0"/>
              <w:rPr>
                <w:sz w:val="17"/>
                <w:szCs w:val="17"/>
                <w:color w:val="auto"/>
              </w:rPr>
            </w:pPr>
          </w:p>
        </w:tc>
        <w:tc>
          <w:tcPr>
            <w:tcW w:w="122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60" w:type="dxa"/>
            <w:vAlign w:val="bottom"/>
            <w:gridSpan w:val="2"/>
            <w:vMerge w:val="restart"/>
          </w:tcPr>
          <w:p>
            <w:pPr>
              <w:spacing w:after="0"/>
              <w:rPr>
                <w:sz w:val="20"/>
                <w:szCs w:val="20"/>
                <w:color w:val="auto"/>
              </w:rPr>
            </w:pPr>
            <w:r>
              <w:rPr>
                <w:rFonts w:ascii="Arial" w:cs="Arial" w:eastAsia="Arial" w:hAnsi="Arial"/>
                <w:sz w:val="16"/>
                <w:szCs w:val="16"/>
                <w:color w:val="auto"/>
              </w:rPr>
              <w:t>Basic and diluted net loss per share</w:t>
            </w: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(0.05)</w:t>
            </w:r>
          </w:p>
        </w:tc>
        <w:tc>
          <w:tcPr>
            <w:tcW w:w="540" w:type="dxa"/>
            <w:vAlign w:val="bottom"/>
            <w:gridSpan w:val="3"/>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gridSpan w:val="3"/>
          </w:tcPr>
          <w:p>
            <w:pPr>
              <w:spacing w:after="0"/>
              <w:rPr>
                <w:sz w:val="17"/>
                <w:szCs w:val="17"/>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(0.07)</w:t>
            </w:r>
          </w:p>
        </w:tc>
        <w:tc>
          <w:tcPr>
            <w:tcW w:w="26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gridSpan w:val="3"/>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(0.21)</w:t>
            </w:r>
          </w:p>
        </w:tc>
        <w:tc>
          <w:tcPr>
            <w:tcW w:w="560" w:type="dxa"/>
            <w:vAlign w:val="bottom"/>
            <w:gridSpan w:val="3"/>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gridSpan w:val="3"/>
          </w:tcPr>
          <w:p>
            <w:pPr>
              <w:spacing w:after="0"/>
              <w:rPr>
                <w:sz w:val="17"/>
                <w:szCs w:val="17"/>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4"/>
        </w:trPr>
        <w:tc>
          <w:tcPr>
            <w:tcW w:w="286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continue"/>
          </w:tcPr>
          <w:p>
            <w:pPr>
              <w:spacing w:after="0"/>
              <w:rPr>
                <w:sz w:val="17"/>
                <w:szCs w:val="17"/>
                <w:color w:val="auto"/>
              </w:rPr>
            </w:pPr>
          </w:p>
        </w:tc>
        <w:tc>
          <w:tcPr>
            <w:tcW w:w="1000" w:type="dxa"/>
            <w:vAlign w:val="bottom"/>
            <w:gridSpan w:val="6"/>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continue"/>
          </w:tcPr>
          <w:p>
            <w:pPr>
              <w:spacing w:after="0"/>
              <w:rPr>
                <w:sz w:val="17"/>
                <w:szCs w:val="17"/>
                <w:color w:val="auto"/>
              </w:rPr>
            </w:pPr>
          </w:p>
        </w:tc>
        <w:tc>
          <w:tcPr>
            <w:tcW w:w="1220" w:type="dxa"/>
            <w:vAlign w:val="bottom"/>
            <w:gridSpan w:val="7"/>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6"/>
                <w:szCs w:val="16"/>
                <w:color w:val="auto"/>
                <w:w w:val="95"/>
              </w:rPr>
              <w:t>Shares used to compute basic and diluted</w:t>
            </w: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loss per share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108,257,345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80,961,150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103,071,957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80,827,141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1" w:right="239" w:bottom="0" w:gutter="0" w:footer="0" w:header="0"/>
        </w:sectPr>
      </w:pPr>
    </w:p>
    <w:bookmarkStart w:id="6" w:name="page7"/>
    <w:bookmarkEnd w:id="6"/>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2506980</wp:posOffset>
            </wp:positionH>
            <wp:positionV relativeFrom="page">
              <wp:posOffset>88900</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88900</wp:posOffset>
            </wp:positionV>
            <wp:extent cx="462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88900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page">
              <wp:posOffset>6520815</wp:posOffset>
            </wp:positionH>
            <wp:positionV relativeFrom="page">
              <wp:posOffset>88900</wp:posOffset>
            </wp:positionV>
            <wp:extent cx="462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2915" cy="8890"/>
                    </a:xfrm>
                    <a:prstGeom prst="rect">
                      <a:avLst/>
                    </a:prstGeom>
                    <a:noFill/>
                  </pic:spPr>
                </pic:pic>
              </a:graphicData>
            </a:graphic>
          </wp:anchor>
        </w:drawing>
        <w:t>— more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4520" w:type="dxa"/>
            <w:vAlign w:val="bottom"/>
          </w:tcPr>
          <w:p>
            <w:pPr>
              <w:spacing w:after="0"/>
              <w:rPr>
                <w:sz w:val="19"/>
                <w:szCs w:val="19"/>
                <w:color w:val="auto"/>
              </w:rPr>
            </w:pPr>
          </w:p>
        </w:tc>
        <w:tc>
          <w:tcPr>
            <w:tcW w:w="3260" w:type="dxa"/>
            <w:vAlign w:val="bottom"/>
            <w:gridSpan w:val="4"/>
          </w:tcPr>
          <w:p>
            <w:pPr>
              <w:ind w:left="940"/>
              <w:spacing w:after="0"/>
              <w:rPr>
                <w:sz w:val="20"/>
                <w:szCs w:val="20"/>
                <w:color w:val="auto"/>
              </w:rPr>
            </w:pPr>
            <w:r>
              <w:rPr>
                <w:rFonts w:ascii="Arial" w:cs="Arial" w:eastAsia="Arial" w:hAnsi="Arial"/>
                <w:sz w:val="16"/>
                <w:szCs w:val="16"/>
                <w:b w:val="1"/>
                <w:bCs w:val="1"/>
                <w:color w:val="auto"/>
              </w:rPr>
              <w:t>September 30, 2009</w:t>
            </w:r>
          </w:p>
        </w:tc>
        <w:tc>
          <w:tcPr>
            <w:tcW w:w="2500" w:type="dxa"/>
            <w:vAlign w:val="bottom"/>
            <w:gridSpan w:val="3"/>
          </w:tcPr>
          <w:p>
            <w:pPr>
              <w:ind w:left="960"/>
              <w:spacing w:after="0"/>
              <w:rPr>
                <w:sz w:val="20"/>
                <w:szCs w:val="20"/>
                <w:color w:val="auto"/>
              </w:rPr>
            </w:pPr>
            <w:r>
              <w:rPr>
                <w:rFonts w:ascii="Arial" w:cs="Arial" w:eastAsia="Arial" w:hAnsi="Arial"/>
                <w:sz w:val="16"/>
                <w:szCs w:val="16"/>
                <w:b w:val="1"/>
                <w:bCs w:val="1"/>
                <w:color w:val="auto"/>
                <w:w w:val="90"/>
              </w:rPr>
              <w:t>December 31, 2008 (a)</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vMerge w:val="restart"/>
          </w:tcPr>
          <w:p>
            <w:pPr>
              <w:spacing w:after="0"/>
              <w:rPr>
                <w:sz w:val="2"/>
                <w:szCs w:val="2"/>
                <w:color w:val="auto"/>
              </w:rPr>
            </w:pPr>
          </w:p>
        </w:tc>
        <w:tc>
          <w:tcPr>
            <w:tcW w:w="146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w w:val="73"/>
              </w:rPr>
              <w:t>(unaudited)</w:t>
            </w:r>
          </w:p>
        </w:tc>
        <w:tc>
          <w:tcPr>
            <w:tcW w:w="14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98"/>
        </w:trPr>
        <w:tc>
          <w:tcPr>
            <w:tcW w:w="45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Current Assets:</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Cash &amp; cash equivalents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$28,226</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$30,043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Marketable securities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5,176</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4,182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20" w:type="dxa"/>
            <w:vAlign w:val="bottom"/>
            <w:gridSpan w:val="2"/>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6"/>
                <w:szCs w:val="16"/>
                <w:color w:val="auto"/>
              </w:rPr>
              <w:t>Total current assets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34,169</w:t>
            </w:r>
          </w:p>
        </w:tc>
        <w:tc>
          <w:tcPr>
            <w:tcW w:w="14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35,332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5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3,013</w:t>
            </w:r>
          </w:p>
        </w:tc>
        <w:tc>
          <w:tcPr>
            <w:tcW w:w="142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3,173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Goodwill and other intangible assets, net</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5,385</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646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420" w:type="dxa"/>
            <w:vAlign w:val="bottom"/>
            <w:gridSpan w:val="2"/>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2,358</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6"/>
                <w:szCs w:val="16"/>
                <w:color w:val="auto"/>
              </w:rPr>
              <w:t>Total assets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$44,925</w:t>
            </w:r>
          </w:p>
        </w:tc>
        <w:tc>
          <w:tcPr>
            <w:tcW w:w="14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$41,230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5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Current liabilities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5,661</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5,318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Fair value of warrant liability</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9,262</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8,440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4,782</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5,663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Stockholders’ equity</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25,220</w:t>
            </w:r>
          </w:p>
        </w:tc>
        <w:tc>
          <w:tcPr>
            <w:tcW w:w="14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21,809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$44,925</w:t>
            </w:r>
          </w:p>
        </w:tc>
        <w:tc>
          <w:tcPr>
            <w:tcW w:w="14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$41,230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00" w:hanging="283"/>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Derived from audited financial statements included in StemCells’ annual report on form 10-K filed with the SEC.</w:t>
      </w:r>
    </w:p>
    <w:p>
      <w:pPr>
        <w:spacing w:after="0" w:line="230" w:lineRule="exact"/>
        <w:rPr>
          <w:rFonts w:ascii="Arial" w:cs="Arial" w:eastAsia="Arial" w:hAnsi="Arial"/>
          <w:sz w:val="16"/>
          <w:szCs w:val="16"/>
          <w:color w:val="auto"/>
        </w:rPr>
      </w:pPr>
    </w:p>
    <w:p>
      <w:pPr>
        <w:ind w:left="5600" w:hanging="134"/>
        <w:spacing w:after="0"/>
        <w:tabs>
          <w:tab w:leader="none" w:pos="5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 #</w:t>
      </w:r>
    </w:p>
    <w:sectPr>
      <w:pgSz w:w="11900" w:h="16838" w:orient="portrait"/>
      <w:cols w:equalWidth="0" w:num="1">
        <w:col w:w="10580"/>
      </w:cols>
      <w:pgMar w:left="240" w:top="314"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2019-12-10T10:23:32Z</dcterms:created>
  <dcterms:modified xsi:type="dcterms:W3CDTF">2019-12-10T10:23:32Z</dcterms:modified>
</cp:coreProperties>
</file>