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22,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On August 22, 2024, Microbot Medical Inc. (the “Company”) issued a press release announcing that it has entered into a Phase 2 collaboration agreement with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that will continue their collaboration to advance remote telesurgery for endovascular procedures.</w:t>
      </w:r>
    </w:p>
    <w:p>
      <w:pPr>
        <w:spacing w:after="0" w:line="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ind w:firstLine="648"/>
        <w:spacing w:after="0" w:line="190" w:lineRule="auto"/>
        <w:rPr>
          <w:sz w:val="20"/>
          <w:szCs w:val="20"/>
          <w:color w:val="auto"/>
        </w:rPr>
      </w:pPr>
      <w:r>
        <w:rPr>
          <w:rFonts w:ascii="Times New Roman" w:cs="Times New Roman" w:eastAsia="Times New Roman" w:hAnsi="Times New Roman"/>
          <w:sz w:val="18"/>
          <w:szCs w:val="18"/>
          <w:color w:val="auto"/>
        </w:rPr>
        <w:t>The Company entered into a Phase 2 collaboration agreement with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that will continue their collaboration to advance remote telesurgery for endovascular procedures. During Phase 2, the Company and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will work together to develop the capabilities to perform</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simulated cardiovascular interventional procedures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across two sites within the Corewell Health system which are five miles apart.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156845</wp:posOffset>
            </wp:positionV>
            <wp:extent cx="188595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Signs Phase 2 Collaboration Agreement with Corewell Health to Advance Remote Telesurgery Using the LIBERTY® Endovascular Robotic System</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agreement follows the successful completion of Phase 1 which evaluated the viability of LIBERTY as a remote telesurgery platform</w:t>
      </w:r>
    </w:p>
    <w:p>
      <w:pPr>
        <w:spacing w:after="0" w:line="225" w:lineRule="exact"/>
        <w:rPr>
          <w:sz w:val="20"/>
          <w:szCs w:val="20"/>
          <w:color w:val="auto"/>
        </w:rPr>
      </w:pPr>
    </w:p>
    <w:p>
      <w:pPr>
        <w:jc w:val="center"/>
        <w:ind w:left="340"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objective of Phase 2 is to develop and demonstrate new telesurgery capabilities by performing simulated interventional procedures between two facilities within the Corewell Health system</w:t>
      </w:r>
    </w:p>
    <w:p>
      <w:pPr>
        <w:spacing w:after="0" w:line="16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b w:val="1"/>
          <w:bCs w:val="1"/>
          <w:color w:val="auto"/>
        </w:rPr>
        <w:t xml:space="preserve">BRAINTREE, Mass., August 22,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announces that it entered into a Phase 2 collaboration agreement with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that will continue their collaboration to advance remote telesurgery for endovascular procedures. The Company had previously announced positive results from the first phase, which demonstrated LIBERTY’s technical capabilities and outlined potential future applications in a range of endovascular interventions, including the feasibility of LIBERTY to support the remote telesurgery project.</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Phase 2, the Company and Corewell Health will work together to develop the capabilities to perform simulated cardiovascular interventional procedures with LIBERTY across two sites within the Corewell Health system which are 5 miles apart.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project is led by Ryan Madder, M.D., Section Chief of Interventional Cardiology and Director of the Cardiac Cath Lab at Corewell Health in West Michigan. Following the completion of Phase 1, Dr. Madder and colleagues published a manuscript in the Journal of the American College of Cardiology: </w:t>
      </w:r>
      <w:r>
        <w:rPr>
          <w:rFonts w:ascii="Times New Roman" w:cs="Times New Roman" w:eastAsia="Times New Roman" w:hAnsi="Times New Roman"/>
          <w:sz w:val="18"/>
          <w:szCs w:val="18"/>
          <w:i w:val="1"/>
          <w:iCs w:val="1"/>
          <w:color w:val="auto"/>
        </w:rPr>
        <w:t>Cardiovascular Interventions, highlighting the Technical Success of Coronary Guidewire and Stent Delivery Using a Novel Miniaturized Robotic System in a Pre-Clinical Study.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“Incorporating telesurgery capabilities is an important part of our long-term strategy for LIBERTY,” said Harel Gadot, CEO, President and Chairman of Microbot Medical. “We believe that physicians in the U.S. and around the globe want to increase access to care for patients in remote locations, and we are excited to continue our collaboration with Corewell Health and Dr. Madder on this next phase of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Madder’s manuscript is available at: https://doi.org/10.1016/j.jscai.2024.102148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2024-08-22T07:34:40Z</dcterms:created>
  <dcterms:modified xsi:type="dcterms:W3CDTF">2024-08-22T07:34:40Z</dcterms:modified>
</cp:coreProperties>
</file>