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333-217076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142875</wp:posOffset>
            </wp:positionV>
            <wp:extent cx="3430270"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MICROBOT MEDICAL INC.</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590,000 Shares of Common Stock</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590,000 shares of our common stock, par value $0.01 per share, to certain institutional and accredited investors at an offering price of $10.00 per share.</w:t>
      </w:r>
    </w:p>
    <w:p>
      <w:pPr>
        <w:spacing w:after="0" w:line="162"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“MBOT.” On January 15, 2019, the last reported sales price per share of our common stock on The Nasdaq Capital Market was $9.08. As of January 15, 2019, the aggregate market value of our outstanding common stock held by non-affiliates, computed by reference to the price at which our common stock was last sold on January 14, 2019, was approximately $ 27.8 million, based on 3,342,343 shares of our outstanding common stock as of the date of this prospectus supplement, of which 2,866,802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prospectus supplement (excluding this offering), we have sold approximately $3.36 million worth of securities pursuant to General Instruction I.B.6 of Form S-3.</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(1)</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5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413,000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w:t>
            </w:r>
          </w:p>
        </w:tc>
        <w:tc>
          <w:tcPr>
            <w:tcW w:w="54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5,487,000</w:t>
            </w:r>
          </w:p>
        </w:tc>
      </w:tr>
    </w:tbl>
    <w:p>
      <w:pPr>
        <w:spacing w:after="0" w:line="198" w:lineRule="exact"/>
        <w:rPr>
          <w:sz w:val="24"/>
          <w:szCs w:val="24"/>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to reimburse the placement agent for certain offering-related expenses and have agreed to issue to the placement agent warrants to purchase shares of our common stock as described under the “Plan of Distribution” on page S-18 of this prospectus supplement.</w:t>
      </w: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give effect to the exercise, if any, of the warrants being issued to the placement agent.</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retained H.C. Wainwright &amp; Co., LLC to act as our exclusive placement agent in connection with this offering. The placement agent is not purchasing the securities offered by us in this offering, and is not required to sell any specific number or dollar amount of securities, but will assist us in this offering on a reasonable best efforts basis. In addition, we have agreed to reimburse the placement agent for certain offering-related expenses and have agreed to issue to the placement agent warrants to purchase shares of our common stock as described under the “Plan of Distribution” on page S-18 of this prospectus supplement.</w:t>
      </w:r>
    </w:p>
    <w:p>
      <w:pPr>
        <w:spacing w:after="0" w:line="180"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S-10 of this prospectus supplement and the risk factors incorporated by reference into this prospectus supplement and the accompanying base prospectus.</w:t>
      </w:r>
    </w:p>
    <w:p>
      <w:pPr>
        <w:spacing w:after="0" w:line="181"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applied to list the shares offered hereby on The Nasdaq Capital Market.</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be made on or about January 17, 2019.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January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760" w:type="dxa"/>
            <w:vAlign w:val="bottom"/>
            <w:gridSpan w:val="26"/>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9">
              <w:r>
                <w:rPr>
                  <w:rFonts w:ascii="Times New Roman" w:cs="Times New Roman" w:eastAsia="Times New Roman" w:hAnsi="Times New Roman"/>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b w:val="1"/>
                <w:bCs w:val="1"/>
                <w:color w:val="0000EE"/>
                <w:w w:val="99"/>
              </w:rPr>
            </w:pPr>
            <w:hyperlink w:anchor="page10">
              <w:r>
                <w:rPr>
                  <w:rFonts w:ascii="Times New Roman" w:cs="Times New Roman" w:eastAsia="Times New Roman" w:hAnsi="Times New Roman"/>
                  <w:sz w:val="18"/>
                  <w:szCs w:val="18"/>
                  <w:b w:val="1"/>
                  <w:bCs w:val="1"/>
                  <w:color w:val="0000EE"/>
                  <w:w w:val="99"/>
                </w:rPr>
                <w:t>RISK FACTORS</w:t>
              </w:r>
            </w:hyperlink>
          </w:p>
        </w:tc>
        <w:tc>
          <w:tcPr>
            <w:tcW w:w="9400" w:type="dxa"/>
            <w:vAlign w:val="bottom"/>
            <w:tcBorders>
              <w:top w:val="single" w:sz="8" w:color="CCEEFF"/>
            </w:tcBorders>
            <w:gridSpan w:val="2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b w:val="1"/>
                <w:bCs w:val="1"/>
                <w:color w:val="0000EE"/>
              </w:rPr>
            </w:pPr>
            <w:hyperlink w:anchor="page16">
              <w:r>
                <w:rPr>
                  <w:rFonts w:ascii="Times New Roman" w:cs="Times New Roman" w:eastAsia="Times New Roman" w:hAnsi="Times New Roman"/>
                  <w:sz w:val="18"/>
                  <w:szCs w:val="18"/>
                  <w:b w:val="1"/>
                  <w:bCs w:val="1"/>
                  <w:color w:val="0000EE"/>
                </w:rPr>
                <w:t>USE OF PROCEEDS</w:t>
              </w:r>
            </w:hyperlink>
          </w:p>
        </w:tc>
        <w:tc>
          <w:tcPr>
            <w:tcW w:w="75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17">
              <w:r>
                <w:rPr>
                  <w:rFonts w:ascii="Times New Roman" w:cs="Times New Roman" w:eastAsia="Times New Roman" w:hAnsi="Times New Roman"/>
                  <w:sz w:val="18"/>
                  <w:szCs w:val="18"/>
                  <w:b w:val="1"/>
                  <w:bCs w:val="1"/>
                  <w:color w:val="0000EE"/>
                  <w:w w:val="96"/>
                </w:rPr>
                <w:t>DILUTION</w:t>
              </w:r>
            </w:hyperlink>
          </w:p>
        </w:tc>
        <w:tc>
          <w:tcPr>
            <w:tcW w:w="986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PLAN OF DISTRIBUTION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b w:val="1"/>
                <w:bCs w:val="1"/>
                <w:color w:val="0000EE"/>
                <w:w w:val="97"/>
              </w:rPr>
            </w:pPr>
            <w:hyperlink w:anchor="page20">
              <w:r>
                <w:rPr>
                  <w:rFonts w:ascii="Times New Roman" w:cs="Times New Roman" w:eastAsia="Times New Roman" w:hAnsi="Times New Roman"/>
                  <w:sz w:val="18"/>
                  <w:szCs w:val="18"/>
                  <w:b w:val="1"/>
                  <w:bCs w:val="1"/>
                  <w:color w:val="0000EE"/>
                  <w:w w:val="97"/>
                </w:rPr>
                <w:t>LEGAL MATTERS</w:t>
              </w:r>
            </w:hyperlink>
          </w:p>
        </w:tc>
        <w:tc>
          <w:tcPr>
            <w:tcW w:w="922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20">
              <w:r>
                <w:rPr>
                  <w:rFonts w:ascii="Times New Roman" w:cs="Times New Roman" w:eastAsia="Times New Roman" w:hAnsi="Times New Roman"/>
                  <w:sz w:val="18"/>
                  <w:szCs w:val="18"/>
                  <w:b w:val="1"/>
                  <w:bCs w:val="1"/>
                  <w:color w:val="0000EE"/>
                  <w:w w:val="98"/>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INCORPORATION OF CERTAIN DOCUMENTS BY REFERENCE</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24">
              <w:r>
                <w:rPr>
                  <w:rFonts w:ascii="Times New Roman" w:cs="Times New Roman" w:eastAsia="Times New Roman" w:hAnsi="Times New Roman"/>
                  <w:sz w:val="18"/>
                  <w:szCs w:val="18"/>
                  <w:b w:val="1"/>
                  <w:bCs w:val="1"/>
                  <w:color w:val="0000EE"/>
                  <w:w w:val="98"/>
                </w:rPr>
                <w:t>PROSPECTUS SUMMARY</w:t>
              </w:r>
            </w:hyperlink>
          </w:p>
        </w:tc>
        <w:tc>
          <w:tcPr>
            <w:tcW w:w="85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3"/>
          </w:tcPr>
          <w:p>
            <w:pPr>
              <w:spacing w:after="0" w:line="17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DESCRIPTION OF RIGHTS</w:t>
              </w:r>
            </w:hyperlink>
          </w:p>
        </w:tc>
        <w:tc>
          <w:tcPr>
            <w:tcW w:w="848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LEGAL MATTERS</w:t>
              </w:r>
            </w:hyperlink>
          </w:p>
        </w:tc>
        <w:tc>
          <w:tcPr>
            <w:tcW w:w="86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b w:val="1"/>
                <w:bCs w:val="1"/>
                <w:color w:val="0000EE"/>
                <w:w w:val="96"/>
              </w:rPr>
            </w:pPr>
            <w:hyperlink w:anchor="page45">
              <w:r>
                <w:rPr>
                  <w:rFonts w:ascii="Times New Roman" w:cs="Times New Roman" w:eastAsia="Times New Roman" w:hAnsi="Times New Roman"/>
                  <w:sz w:val="18"/>
                  <w:szCs w:val="18"/>
                  <w:b w:val="1"/>
                  <w:bCs w:val="1"/>
                  <w:color w:val="0000EE"/>
                  <w:w w:val="96"/>
                </w:rPr>
                <w:t>EXPERTS</w:t>
              </w:r>
            </w:hyperlink>
          </w:p>
        </w:tc>
        <w:tc>
          <w:tcPr>
            <w:tcW w:w="994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6"/>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0" w:lineRule="exact"/>
        <w:rPr>
          <w:sz w:val="20"/>
          <w:szCs w:val="20"/>
          <w:color w:val="auto"/>
        </w:rPr>
      </w:pPr>
    </w:p>
    <w:p>
      <w:pPr>
        <w:jc w:val="both"/>
        <w:ind w:firstLine="324"/>
        <w:spacing w:after="0" w:line="208"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proprietary innovative technologies. Using the ViRob platform, Microbot is 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Microbot has a patent portfolio of 30 issued/allowed patents and 18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CardioSert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CSF Management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Minimally Invasive Endovascular Neurosurgery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6" w:right="239" w:bottom="1440" w:gutter="0" w:footer="0" w:header="0"/>
        </w:sectPr>
      </w:pPr>
    </w:p>
    <w:bookmarkStart w:id="6" w:name="page7"/>
    <w:bookmarkEnd w:id="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Self-Cleaning Shunt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(lab) and </w:t>
      </w:r>
      <w:r>
        <w:rPr>
          <w:rFonts w:ascii="Times New Roman" w:cs="Times New Roman" w:eastAsia="Times New Roman" w:hAnsi="Times New Roman"/>
          <w:sz w:val="18"/>
          <w:szCs w:val="18"/>
          <w:i w:val="1"/>
          <w:iCs w:val="1"/>
          <w:color w:val="auto"/>
        </w:rPr>
        <w:t>in-vivo</w:t>
      </w:r>
      <w:r>
        <w:rPr>
          <w:rFonts w:ascii="Times New Roman" w:cs="Times New Roman" w:eastAsia="Times New Roman" w:hAnsi="Times New Roman"/>
          <w:sz w:val="18"/>
          <w:szCs w:val="18"/>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conjunction with initiating this follow-up study, Microbot also contracted with Envigo CRS Israel, a leading provider of non-clinical contract research services, to conduct an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252"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 and this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significant additional capital to support our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significant losses for the foreseeable future, and our future profitability is uncertain.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our securities in this offering, you will incur immediate and substantial dilution.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93"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 Recreation Park Drive, Unit 108, Hingham, MA 02043. The telephone number at our principal executive office is (781) 875-3605. Our website address is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590,000 shares.</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to be outstanding immediately</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3,932,343 shares. Upon the exercise of the 125,323 shares of common stock underlying the outstanding pre-</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this offering (1)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funded warrants to purchase shares of common stock at an exercise price of $0.01 (the “Pre-Funded</w:t>
            </w:r>
          </w:p>
        </w:tc>
      </w:tr>
      <w:tr>
        <w:trPr>
          <w:trHeight w:val="234"/>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 the number of shares of Common Stock outstanding would be 4,057,666.</w:t>
            </w: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$10.00 per share.</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currently expect to use the net proceeds from this offering for the continuous development of our SCS</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device for the treatment of hydrocephalus and NPH; to expand and develop additional applications deriving</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our existing IP portfolio, including the potential addition of complementary assets to the CardioSert</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portfolio either through internal development, in-license or acquisition; and working capital and other</w:t>
            </w:r>
          </w:p>
        </w:tc>
      </w:tr>
      <w:tr>
        <w:trPr>
          <w:trHeight w:val="234"/>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tc>
      </w:tr>
      <w:tr>
        <w:trPr>
          <w:trHeight w:val="41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investment in our company involves a high degree of risk. Please refer to the sections titled “Risk</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Factors,” “Special Note Regarding Forward-Looking Statements” and other information included or</w:t>
            </w:r>
          </w:p>
        </w:tc>
      </w:tr>
      <w:tr>
        <w:trPr>
          <w:trHeight w:val="216"/>
        </w:trPr>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for a discussion</w:t>
            </w:r>
          </w:p>
        </w:tc>
      </w:tr>
      <w:tr>
        <w:trPr>
          <w:trHeight w:val="234"/>
        </w:trPr>
        <w:tc>
          <w:tcPr>
            <w:tcW w:w="2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factors you should carefully consider before investing our securities.</w:t>
            </w: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“MBOT”</w:t>
            </w:r>
          </w:p>
        </w:tc>
      </w:tr>
      <w:tr>
        <w:trPr>
          <w:trHeight w:val="223"/>
        </w:trPr>
        <w:tc>
          <w:tcPr>
            <w:tcW w:w="28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980" w:type="dxa"/>
            <w:vAlign w:val="bottom"/>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to be outstanding after this offering is based on 3,342,343 shares of common stock outstanding as of January 15, 2019, and excludes, as of January 15, 2019:</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211,239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other outstanding warrants, with exercise prices ranging from approximately $40.00 to $2,885 per share and having a weighted-average exercise price of $1,697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22,767 shares of common stock issuable upon exercise of the warrants issued to the placement agent in connection with the registered direct offering consummated on January 15, 2019 with an exercise price of $8.125;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common stock issuable upon exercise of the warrants to be issued to the placement agent in connection with this offering with an exercise price of $12.50 per share.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8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of SCS,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SCS,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shunt and endoscope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SCS following clearance or approval.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common stock you purchase.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outstanding prior to this offering, you will suffer substantial dilution in the net tangible book value of the common stock you purchase in this offering. Based on an offering price of $10.00 per share of common stock, if you purchase shares of common stock in this offering, you will suffer immediate and substantial dilution of approximately $6.5141 per share in the net tangible book value of the common stock. See the section titled “Dilution” in this prospectus supplement for a more detailed discussion of the dilution you will incur if you purchase common stock in this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lawsuit that could adversely affect our business and our use of proceeds from this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 On January 8, 2019, the plaintiffs filed a motion seeking to amend the complaint to also pursue rescission on a material misrepresentation theory.</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We estimate that we will receive net proceeds of approximately $5,178,000 from the sale of the securities offered by us in this offering, after deducting the placement agent fees and estimated offering expenses payable by us and excluding any proceeds we may receive upon exercise of the warrants issued to the placement agent. We cannot provide assurances that our plans will not change or that changed circumstances will not result in the depletion of our capital resources more rapidly than we currently anticipate.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8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capital requirements and needs for additional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and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otherwise secure the manufacture of, sufficient amounts of our product candidates for our preclinical studies and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develop applications for our technologies for other neurosurgical conditions besides hydrocephalus;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and other research and development plans and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regulatory pathways for our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and other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experience of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keep management and other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capacities and performance of our suppliers, manufacturers and other third parties over whom we have limited control;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4" w:name="page15"/>
    <w:bookmarkEnd w:id="14"/>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success of competing products that are or may become available;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future growth and investments in our infrastructure, and our ability to effectively manage any such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potential growth of the markets for any of our product candidates, and our ability to capture share in or impact the size of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in which we or any of our officers or directors may be involved, including with respect to the Matter;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regulation and regulatory developments, and our ability and the ability of the third parties with whom we engage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revenues, capital requirements and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planned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effective internal control over financial reporting in accordance with Section 404 of the Sarbanes-Oxley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intellectual property protection of any of our products and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the net proceeds from this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9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will be approximately $5,178,000, after deducting the placement agent fees and estimated offering expenses payable by us and excluding any proceeds we may receive upon exercise of the warrants issued to the placement agent.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continuous development of our SCS device for the treatment of hydrocephalus and NPH; to expand and develop additional applications deriving from our existing IP portfolio, including the potential addition of complementary assets to the CardioSert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adjusted net tangible book value per share of our common stock immediately after the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2018 was approximately $6,566,000, or $2.2066 per share, based on 2,975,676 shares of our common stock outstanding at September 30, 2018.</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as adjusted net tangible book value as of September 30, 2018, was approximately $8,838,832, or approximately $2.5762 per share, on an adjusted basis to give effect to the registered direct offering of 455,323 shares of common stock (or common stock equivalent) at the offering price of $6.50 per share that closed on January 15, 2019, after deducting the estimated placement agent’s fees and estimated offering expenses payable by us and assuming the exercise of the 125,323 Pre-Funded Warrants sold in such offering.</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590,000 shares of common stock at the offering price of $10.00 per share, after deducting the estimated placement agent’s fees and estimated offering expenses payable by us, our pro forma as adjusted net tangible book value on September 30, 2018, would have been approximately $14,016,832, or $3.4859 per share. This represents an immediate increase in the as adjusted net tangible book value of $0.9097 per share attributable to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new investors:</w:t>
            </w: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September 30, 2018</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on September 30, 2018</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September 30, 2018, after giving effect to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investor in this offering</w:t>
            </w:r>
          </w:p>
        </w:tc>
        <w:tc>
          <w:tcPr>
            <w:tcW w:w="1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2,975,676, 3,430,999 and 4,020,999 actual, as adjusted and pro forma as adjusted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respectively, and exclude, as of that date:</w:t>
      </w:r>
    </w:p>
    <w:p>
      <w:pPr>
        <w:spacing w:after="0" w:line="207"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211,239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7,531 shares of our common stock issuable upon the exercise of outstanding warrants, with exercise prices ranging from approximately $40.00 to $2,885 per share and having a weighted-average exercise price of $1,967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36,667 shares of our common stock issuable upon the conversion of 550 shares of our Series A Convertible Preferred Stock, all of which were converted subsequent to September 30, 2018;</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22,767 shares of common stock issuable upon exercise of the warrants issued to the placement agent in connection with the registered direct offering consummated on January 15, 2019 with an exercise price of $8.125;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common stock issuable upon exercise of the warrants to be issued to the placement agent in connection with this offering with an exercise price of $12.50 per share.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no exercise of options or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engaged H.C. Wainwright &amp; Co., LLC, or Wainwright or the placement agent, to act as our exclusive placement agent to solicit offers to purchase the shares of our common stock offered by this prospectus supplement and the accompanying base prospectus. Wainwright is not purchasing or selling any such securities, nor is it required to arrange for the purchase and sale of any specific number or dollar amount of such securities, other than to use its “reasonable best efforts” to arrange for the sale of such securities by us. Therefore, we may not sell all of the shares of our common stock being offered. The terms of this offering were subject to market conditions and negotiations between us, Wainwright and prospective investors. Wainwright will have no authority to bind us by virtue of the engagement letter. We have entered into a securities purchase agreement directly with certain institutional and accredited investors who have agreed to purchase shares of our common stock in this offering.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offered hereby is expected to take place on or about January 17, 2019, subject to satisfaction of certain conditions.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7.0% of the aggregate gross proceeds of this offering, and we have also agreed to pay the placement agent a management fee equal to 1.0% of the aggregate gross proceeds of this offering; a non-accountable expense allowance of $20,000 in this offering; up to $50,000 for fees and expenses of legal counsel and other out-of-pocket expenses actually incurred in connection with this offering; up to $10,000 for the clearing expenses of the placement agent in connection with this offering and certain other reimbursement amounts payable. In addition, we have agreed to issue to the placement agent, at the closing of this offering, warrants to purchase 5.00% of the number of shares of our common stock sold in this offering (warrants to purchase up to 29,500 shares of our common stock). Such warrants will have a term of 3.5 years, are not exercisable for a period of six month following their issuance, and have an exercise price equal to 125% of the offering price ($12.50 per share).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as amended, entered into between us and the placement agent, which has a four-month term.</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total expenses of this offering paid or payable by us, will be approximately $722,000. After deducting the fees due to the placement agent and our estimated expenses in connection with this offering, we expect the net proceeds from this offering will be approximately $5,178,000.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of 1933, as amended, or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placement agent acted as our placement agent in connection with our registered direct offering that was consummated on January 15, 2019, for which it received compensation, including a cash fee equal to 7.0% of the gross proceeds received by the Company from the sale of securities in such offering, a management fee equal to 1.0% of such gross proceeds, a non-accountable expense allowance of $25,000 for such offering, $75,000 for fees and expenses of legal counsel for such offering and warrants to purchase up to 22,767 shares of our common stock with an exercise price of $8.125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Lowenstein Sandler, LLP, New York, New York is acting as counsel for the placement agent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2017,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2017 filed with the SEC on April 2, 2018;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2018, June 30, 2018 and September 30, 2018, filed with the SEC on May 15, 2018, August 14, 2018, and November 14, 2018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with the SEC on July 27, 2018;</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and any amendments thereto on Form 8-K/A, filed with the SEC on January 8, 2018, January 31, 2018, March 28, 2018, April 5, 2018, April 16, 2018, September 4, 2018, October 1, 2018, November 19, 2018, November 30, 2018, December 12, 2018, January 14, 2019 and January 15, 2019 (in each case, except for information contained therein which is furnished rather than filed);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157480</wp:posOffset>
            </wp:positionV>
            <wp:extent cx="2658745" cy="1329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4"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84"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77" w:lineRule="exact"/>
        <w:rPr>
          <w:sz w:val="20"/>
          <w:szCs w:val="20"/>
          <w:color w:val="auto"/>
        </w:rPr>
      </w:pPr>
    </w:p>
    <w:p>
      <w:pPr>
        <w:jc w:val="both"/>
        <w:ind w:right="20" w:firstLine="495"/>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84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Borders>
              <w:bottom w:val="single" w:sz="8" w:color="0000EE"/>
            </w:tcBorders>
            <w:gridSpan w:val="7"/>
            <w:shd w:val="clear" w:color="auto" w:fill="CCEEFF"/>
          </w:tcPr>
          <w:p>
            <w:pPr>
              <w:spacing w:after="0" w:line="136" w:lineRule="exact"/>
              <w:rPr>
                <w:rFonts w:ascii="Times New Roman" w:cs="Times New Roman" w:eastAsia="Times New Roman" w:hAnsi="Times New Roman"/>
                <w:sz w:val="15"/>
                <w:szCs w:val="15"/>
                <w:b w:val="1"/>
                <w:bCs w:val="1"/>
                <w:color w:val="0000EE"/>
              </w:rPr>
            </w:pPr>
            <w:hyperlink w:anchor="page24">
              <w:r>
                <w:rPr>
                  <w:rFonts w:ascii="Times New Roman" w:cs="Times New Roman" w:eastAsia="Times New Roman" w:hAnsi="Times New Roman"/>
                  <w:sz w:val="15"/>
                  <w:szCs w:val="15"/>
                  <w:b w:val="1"/>
                  <w:bCs w:val="1"/>
                  <w:color w:val="0000EE"/>
                </w:rPr>
                <w:t>PROSPECTUS SUMMARY</w:t>
              </w:r>
            </w:hyperlink>
          </w:p>
        </w:tc>
        <w:tc>
          <w:tcPr>
            <w:tcW w:w="8580" w:type="dxa"/>
            <w:vAlign w:val="bottom"/>
            <w:tcBorders>
              <w:bottom w:val="single" w:sz="8" w:color="CCEEFF"/>
            </w:tcBorders>
            <w:gridSpan w:val="1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USE OF PROCEEDS</w:t>
              </w:r>
            </w:hyperlink>
          </w:p>
        </w:tc>
        <w:tc>
          <w:tcPr>
            <w:tcW w:w="5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DESCRIPTION OF WARRANTS</w:t>
              </w:r>
            </w:hyperlink>
          </w:p>
        </w:tc>
        <w:tc>
          <w:tcPr>
            <w:tcW w:w="74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DESCRIPTION OF RIGHTS</w:t>
              </w:r>
            </w:hyperlink>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DESCRIPTION OF PURCHASE CONTRACTS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DESCRIPTION OF UNITS</w:t>
              </w:r>
            </w:hyperlink>
          </w:p>
        </w:tc>
        <w:tc>
          <w:tcPr>
            <w:tcW w:w="70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b w:val="1"/>
                <w:bCs w:val="1"/>
                <w:color w:val="0000EE"/>
                <w:w w:val="97"/>
              </w:rPr>
            </w:pPr>
            <w:hyperlink w:anchor="page45">
              <w:r>
                <w:rPr>
                  <w:rFonts w:ascii="Times New Roman" w:cs="Times New Roman" w:eastAsia="Times New Roman" w:hAnsi="Times New Roman"/>
                  <w:sz w:val="18"/>
                  <w:szCs w:val="18"/>
                  <w:b w:val="1"/>
                  <w:bCs w:val="1"/>
                  <w:color w:val="0000EE"/>
                  <w:w w:val="97"/>
                </w:rPr>
                <w:t>LEGAL MATTERS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b w:val="1"/>
                <w:bCs w:val="1"/>
                <w:color w:val="0000EE"/>
                <w:w w:val="98"/>
              </w:rPr>
            </w:pPr>
            <w:hyperlink w:anchor="page45">
              <w:r>
                <w:rPr>
                  <w:rFonts w:ascii="Times New Roman" w:cs="Times New Roman" w:eastAsia="Times New Roman" w:hAnsi="Times New Roman"/>
                  <w:sz w:val="18"/>
                  <w:szCs w:val="18"/>
                  <w:b w:val="1"/>
                  <w:bCs w:val="1"/>
                  <w:color w:val="0000EE"/>
                  <w:w w:val="98"/>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INCORPORATION OF DOCUMENTS BY REFERENCE</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Moreoever, such representations, warranties or covenants were accurate only as of the date when made. Accordingly, such representations, warranties and covenants should not be relied on as accurately representing the current state of our affairs.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Our principal executive offices are located at 25 Recreation Park Drive, Unit 108, Hingham, Massachusetts 02043. Microbot also has a principal executive office at 5 Hamada Street,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agents;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and the proceeds to us and any discounts, commissions or concessions allowed or reallowed or paid to dealers;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the underwriters, dealers or agents named in the prospectus supplement are underwriters, dealers or agents in connection with the securities being offered.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8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2017 we had 9,736 shares of Series A Convertible Preferred Stock issued and outstanding and no shares of series A preferred stock are available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9,279 shares of our common stock at an exercise price of $2.70 per share, which are exercisable through March 14, 2018;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41,116 shares of our common stock at an exercise price of $2.70 per share, which are exercisable through March 14,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10,139 shares of our common stock at an exercise price of $91.80 per share, which are exercisable through April 30, 2020;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57,814 shares of our common stock at an exercise price of $194.40 per share, which are exercisable through October 7, 2018;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2,718 shares of our common stock at an exercise price of $183.60 per share, which are exercisable through April 9,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927"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purchase contracts in respect of which this prospectus is being delivered, including, to the extent applicable,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Delaware Law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31F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Mintz, Levin, Cohn, Ferris, Glovsky and Popeo, P.C., Boston, Massachusetts.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2016 filed with the SEC on March 21, 2017;</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2070100</wp:posOffset>
            </wp:positionH>
            <wp:positionV relativeFrom="page">
              <wp:posOffset>431800</wp:posOffset>
            </wp:positionV>
            <wp:extent cx="3430270" cy="127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343027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MICROBOT MEDICAL INC.</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590,000 Shares of Common Stock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294640</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594360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2019-12-05T00:26:19Z</dcterms:created>
  <dcterms:modified xsi:type="dcterms:W3CDTF">2019-12-05T00:26:19Z</dcterms:modified>
</cp:coreProperties>
</file>