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333-280113</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NO. 2</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July 3,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3,211,671 Shares of Common Stock</w:t>
      </w:r>
    </w:p>
    <w:p>
      <w:pPr>
        <w:spacing w:after="0" w:line="229"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(this “Prospectus Supplement”) is being filed to update and supplement our prospectus dated July 3, 2024, as supplemented (the “Prospectus”), relating to the resale or other disposition of up to 3,211,671 shares of our common stock, $0.01 par value per share, by the selling stockholders named in the Prospectus, including their transferees, pledgees, donees or successors, that may be issued upon the exercise of outstanding preferred investment options held by the selling stockholders.</w:t>
      </w:r>
    </w:p>
    <w:p>
      <w:pPr>
        <w:spacing w:after="0" w:line="180"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Specifically, this Prospectus Supplement is being filed to update and supplement the information included in the Prospectus with certain information reported by us with the Securities and Exchange Commission. Accordingly, we have included such information in this Prospectus Supplement below. Any statement contained in the Prospectus shall be deemed to be modified or superseded to the extent that information in this Prospectus Supplement modifies or supersedes such statement.</w:t>
      </w:r>
    </w:p>
    <w:p>
      <w:pPr>
        <w:spacing w:after="0" w:line="18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supplements and amendments thereto.</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July 17, 2024, the closing price of our common stock was $1.07.</w:t>
      </w:r>
    </w:p>
    <w:p>
      <w:pPr>
        <w:spacing w:after="0" w:line="158"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You should read the section entitled “Risk Factors” beginning on page 11 of the Prospectus for a discussion of certain risk factors that you should consider before investing in our common stock.</w:t>
      </w:r>
    </w:p>
    <w:p>
      <w:pPr>
        <w:spacing w:after="0" w:line="15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or other regulatory body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July 18,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line="261" w:lineRule="auto"/>
        <w:rPr>
          <w:sz w:val="20"/>
          <w:szCs w:val="20"/>
          <w:color w:val="auto"/>
        </w:rPr>
      </w:pPr>
      <w:r>
        <w:rPr>
          <w:rFonts w:ascii="Times New Roman" w:cs="Times New Roman" w:eastAsia="Times New Roman" w:hAnsi="Times New Roman"/>
          <w:sz w:val="18"/>
          <w:szCs w:val="18"/>
          <w:color w:val="auto"/>
        </w:rPr>
        <w:t>The Company completed the enrollment of clinical sites in its pivotal human clinical trial with the addition of Memorial Sloan Kettering Cancer Center, New York. Memorial Sloan Kettering Cancer Center will conduct the clinical trial as part of the Investigational Device Exemption for the Company’s</w:t>
      </w:r>
    </w:p>
    <w:p>
      <w:pPr>
        <w:spacing w:after="0" w:line="209"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the Company expects its results will support the future marketing submission to the Food and Drug Administration and subsequent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2024-07-19T06:45:37Z</dcterms:created>
  <dcterms:modified xsi:type="dcterms:W3CDTF">2024-07-19T06:45:37Z</dcterms:modified>
</cp:coreProperties>
</file>