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09"/>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68"/>
        </w:trPr>
        <w:tc>
          <w:tcPr>
            <w:tcW w:w="20" w:type="dxa"/>
            <w:vAlign w:val="bottom"/>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5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340" w:type="dxa"/>
            <w:vAlign w:val="bottom"/>
            <w:shd w:val="clear" w:color="auto" w:fill="000000"/>
          </w:tcPr>
          <w:p>
            <w:pPr>
              <w:spacing w:after="0"/>
              <w:rPr>
                <w:sz w:val="5"/>
                <w:szCs w:val="5"/>
                <w:color w:val="auto"/>
              </w:rPr>
            </w:pPr>
          </w:p>
        </w:tc>
      </w:tr>
      <w:tr>
        <w:trPr>
          <w:trHeight w:val="43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10, 2019, as approved by the stockholders of Microbot Medical Inc. (the “Company”) at the annual meeting of the Company’s stockholders held on September 10, 2019 (the “Annual Meeting”), the Company filed a Certificate of Amendment to its Restated Certificate of Incorporation with the Secretary of State of the State of Delaware to effect a reduction in the authorized number of shares of capital stock the Company is authorized to issue from 221,000,000 to 61,000,000, including a reduction in the number of authorized shares of common stock of the Company from 220,000,000 to 60,000,000 (the “Certificate of Amendment”).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Certificate of Amendment is not complete and is subject to, and qualified in its entirety by, the full text of the Certificate of Amendment, which is attached to this Current Report on Form 8-K as Exhibit 3.1, the terms of which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Annual Meeting, the stockholders voted on the following three proposals and cast their votes as described below. The proposals are described in more detail in the Company’s Definitive Proxy Statement on Schedule 14A filed with the U.S. Securities and Exchange Commission on August 9, 2019 (the “Proxy Statement”).</w:t>
      </w:r>
    </w:p>
    <w:p>
      <w:pPr>
        <w:spacing w:after="0" w:line="181" w:lineRule="exact"/>
        <w:rPr>
          <w:sz w:val="20"/>
          <w:szCs w:val="20"/>
          <w:color w:val="auto"/>
        </w:rPr>
      </w:pPr>
    </w:p>
    <w:p>
      <w:pPr>
        <w:jc w:val="both"/>
        <w:ind w:left="980" w:right="20" w:hanging="971"/>
        <w:spacing w:after="0" w:line="277" w:lineRule="auto"/>
        <w:tabs>
          <w:tab w:leader="none" w:pos="960" w:val="left"/>
        </w:tabs>
        <w:rPr>
          <w:sz w:val="20"/>
          <w:szCs w:val="20"/>
          <w:color w:val="auto"/>
        </w:rPr>
      </w:pPr>
      <w:r>
        <w:rPr>
          <w:rFonts w:ascii="Arial" w:cs="Arial" w:eastAsia="Arial" w:hAnsi="Arial"/>
          <w:sz w:val="18"/>
          <w:szCs w:val="18"/>
          <w:color w:val="auto"/>
        </w:rPr>
        <w:t>Proposal 1:</w:t>
        <w:tab/>
        <w:t>Election of the three nominees listed below to serve as Class I Directors on the Board of Directors of the Company until the 2022 Annual Meeting of Shareholders and until their respective successors have been duly elected and qualified:</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Number of Votes</w:t>
            </w: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Number of Votes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 of Votes</w:t>
            </w:r>
          </w:p>
        </w:tc>
      </w:tr>
      <w:tr>
        <w:trPr>
          <w:trHeight w:val="237"/>
        </w:trPr>
        <w:tc>
          <w:tcPr>
            <w:tcW w:w="20" w:type="dxa"/>
            <w:vAlign w:val="bottom"/>
          </w:tcPr>
          <w:p>
            <w:pPr>
              <w:spacing w:after="0"/>
              <w:rPr>
                <w:sz w:val="20"/>
                <w:szCs w:val="20"/>
                <w:color w:val="auto"/>
              </w:rPr>
            </w:pPr>
          </w:p>
        </w:tc>
        <w:tc>
          <w:tcPr>
            <w:tcW w:w="3500" w:type="dxa"/>
            <w:vAlign w:val="bottom"/>
            <w:gridSpan w:val="2"/>
          </w:tcPr>
          <w:p>
            <w:pPr>
              <w:ind w:left="1420"/>
              <w:spacing w:after="0"/>
              <w:rPr>
                <w:sz w:val="20"/>
                <w:szCs w:val="20"/>
                <w:color w:val="auto"/>
              </w:rPr>
            </w:pPr>
            <w:r>
              <w:rPr>
                <w:rFonts w:ascii="Arial" w:cs="Arial" w:eastAsia="Arial" w:hAnsi="Arial"/>
                <w:sz w:val="18"/>
                <w:szCs w:val="18"/>
                <w:color w:val="auto"/>
              </w:rPr>
              <w:t>Name</w:t>
            </w: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Cast in Favor</w:t>
            </w: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Cast Against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Abstained</w:t>
            </w: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Harel Gadot</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1,039,328</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26,495</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5,023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Yoav Waizer</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836,833</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228,823</w:t>
            </w:r>
          </w:p>
        </w:tc>
        <w:tc>
          <w:tcPr>
            <w:tcW w:w="280" w:type="dxa"/>
            <w:vAlign w:val="bottom"/>
          </w:tcPr>
          <w:p>
            <w:pPr>
              <w:spacing w:after="0"/>
              <w:rPr>
                <w:sz w:val="18"/>
                <w:szCs w:val="18"/>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5,190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8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1,043,954</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21,738</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980" w:right="20" w:hanging="971"/>
        <w:spacing w:after="0" w:line="277" w:lineRule="auto"/>
        <w:tabs>
          <w:tab w:leader="none" w:pos="960" w:val="left"/>
        </w:tabs>
        <w:rPr>
          <w:sz w:val="20"/>
          <w:szCs w:val="20"/>
          <w:color w:val="auto"/>
        </w:rPr>
      </w:pPr>
      <w:r>
        <w:rPr>
          <w:rFonts w:ascii="Arial" w:cs="Arial" w:eastAsia="Arial" w:hAnsi="Arial"/>
          <w:sz w:val="18"/>
          <w:szCs w:val="18"/>
          <w:color w:val="auto"/>
        </w:rPr>
        <w:t>Proposal 2:</w:t>
        <w:tab/>
        <w:t>The ratification of Brightman Almagor Zohar &amp; Co., a Member of Deloitte Touche Tohmatsu Limited, or its U.S. affiliate, as the Company’s independent registered public accounting firm for the year ending December 31, 2019:</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3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Number of Votes</w:t>
            </w:r>
          </w:p>
        </w:tc>
        <w:tc>
          <w:tcPr>
            <w:tcW w:w="3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Number of Votes</w:t>
            </w:r>
          </w:p>
        </w:tc>
        <w:tc>
          <w:tcPr>
            <w:tcW w:w="3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 of Votes</w:t>
            </w:r>
          </w:p>
        </w:tc>
      </w:tr>
      <w:tr>
        <w:trPr>
          <w:trHeight w:val="237"/>
        </w:trPr>
        <w:tc>
          <w:tcPr>
            <w:tcW w:w="33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Cast in Favor</w:t>
            </w:r>
          </w:p>
        </w:tc>
        <w:tc>
          <w:tcPr>
            <w:tcW w:w="32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Cast Against</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Abstained</w:t>
            </w:r>
          </w:p>
        </w:tc>
      </w:tr>
      <w:tr>
        <w:trPr>
          <w:trHeight w:val="216"/>
        </w:trPr>
        <w:tc>
          <w:tcPr>
            <w:tcW w:w="302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2,690,528</w:t>
            </w:r>
          </w:p>
        </w:tc>
        <w:tc>
          <w:tcPr>
            <w:tcW w:w="30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91,242</w:t>
            </w:r>
          </w:p>
        </w:tc>
        <w:tc>
          <w:tcPr>
            <w:tcW w:w="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21,529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color w:val="auto"/>
        </w:rPr>
        <w:t>Proposal 3.</w:t>
        <w:tab/>
        <w:t>The approval of an amendment to the Company’s certificate of incorporation to effect a reduction in the authorized number of shares of capital stock the Company is authorized to issue from 221,000,000 to 61,000,000, including a reduction in the number of authorized shares of common stock of Microbot from 220,000,000 to 60,000,000: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Number of Votes</w:t>
            </w:r>
          </w:p>
        </w:tc>
        <w:tc>
          <w:tcPr>
            <w:tcW w:w="32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Number of Votes</w:t>
            </w:r>
          </w:p>
        </w:tc>
        <w:tc>
          <w:tcPr>
            <w:tcW w:w="3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 of Votes</w:t>
            </w:r>
          </w:p>
        </w:tc>
        <w:tc>
          <w:tcPr>
            <w:tcW w:w="86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Cast in Favor</w:t>
            </w:r>
          </w:p>
        </w:tc>
        <w:tc>
          <w:tcPr>
            <w:tcW w:w="32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Cast Against</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Abstained</w:t>
            </w:r>
          </w:p>
        </w:tc>
        <w:tc>
          <w:tcPr>
            <w:tcW w:w="8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20" w:type="dxa"/>
            <w:vAlign w:val="bottom"/>
            <w:tcBorders>
              <w:top w:val="single" w:sz="8" w:color="auto"/>
            </w:tcBorders>
            <w:gridSpan w:val="3"/>
            <w:shd w:val="clear" w:color="auto" w:fill="CCEEFF"/>
          </w:tcPr>
          <w:p>
            <w:pPr>
              <w:jc w:val="right"/>
              <w:ind w:right="1010"/>
              <w:spacing w:after="0"/>
              <w:rPr>
                <w:sz w:val="20"/>
                <w:szCs w:val="20"/>
                <w:color w:val="auto"/>
              </w:rPr>
            </w:pPr>
            <w:r>
              <w:rPr>
                <w:rFonts w:ascii="Arial" w:cs="Arial" w:eastAsia="Arial" w:hAnsi="Arial"/>
                <w:sz w:val="18"/>
                <w:szCs w:val="18"/>
                <w:color w:val="auto"/>
              </w:rPr>
              <w:t>2,584,796</w:t>
            </w:r>
          </w:p>
        </w:tc>
        <w:tc>
          <w:tcPr>
            <w:tcW w:w="3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202,309</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16,194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432"/>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320" w:type="dxa"/>
            <w:vAlign w:val="bottom"/>
            <w:tcBorders>
              <w:top w:val="single" w:sz="8" w:color="auto"/>
            </w:tcBorders>
            <w:gridSpan w:val="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Certificate of Amendment to the Restated Certificate of Incorporation</w:t>
              </w:r>
            </w:hyperlink>
          </w:p>
        </w:tc>
        <w:tc>
          <w:tcPr>
            <w:tcW w:w="3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Microbot Medical Inc. (the “Corporation”), a corporation duly organized and existing under the General Corporation Law of the State of Delaware (the “DGCL”), hereby certifies that:</w:t>
      </w:r>
    </w:p>
    <w:p>
      <w:pPr>
        <w:spacing w:after="0" w:line="170" w:lineRule="exact"/>
        <w:rPr>
          <w:sz w:val="20"/>
          <w:szCs w:val="20"/>
          <w:color w:val="auto"/>
        </w:rPr>
      </w:pPr>
    </w:p>
    <w:p>
      <w:pPr>
        <w:jc w:val="both"/>
        <w:ind w:firstLine="332"/>
        <w:spacing w:after="0" w:line="272" w:lineRule="auto"/>
        <w:tabs>
          <w:tab w:leader="none" w:pos="503"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name of the Corporation is Microbot Medical Inc. and the Corporation was originally incorporated pursuant to the DGCL under the name Cellular Transplants, Inc. and the original certificate of incorporation of the Corporation was filed with the Secretary of State of the State of Delaware on August 2, 1988. The original certificate of incorporation was then restated on December 5, 1991 to change the name of the corporation to Cytotheraputics, Inc. The certificate of incorporation as restated was further amended on May 24, 2000 to change the name of the corporation to StemCells, Inc. The certificate of incorporation was restated on August 25, 2006. The certificate of incorporation as restated was further amended on November 28, 2016 to change the name of the corporation to Microbot Medical Inc. The certificate of incorporation as restated was further amended on September 4, 2018 to effect a reverse stock split of the Corporation’s common stock (as amended and restated, the “Certificate of Incorporation”).</w:t>
      </w:r>
    </w:p>
    <w:p>
      <w:pPr>
        <w:spacing w:after="0" w:line="177" w:lineRule="exact"/>
        <w:rPr>
          <w:rFonts w:ascii="Arial" w:cs="Arial" w:eastAsia="Arial" w:hAnsi="Arial"/>
          <w:sz w:val="17"/>
          <w:szCs w:val="17"/>
          <w:color w:val="auto"/>
        </w:rPr>
      </w:pPr>
    </w:p>
    <w:p>
      <w:pPr>
        <w:ind w:right="20" w:firstLine="332"/>
        <w:spacing w:after="0" w:line="277" w:lineRule="auto"/>
        <w:tabs>
          <w:tab w:leader="none" w:pos="535"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filing of this Certificate of Amendment to the Certificate of Incorporation, the first paragraph of Paragraph THREE of the Certificate of Incorporation shall be amended to read in its entirety as set forth below:</w:t>
      </w:r>
    </w:p>
    <w:p>
      <w:pPr>
        <w:spacing w:after="0" w:line="170" w:lineRule="exact"/>
        <w:rPr>
          <w:sz w:val="20"/>
          <w:szCs w:val="20"/>
          <w:color w:val="auto"/>
        </w:rPr>
      </w:pPr>
    </w:p>
    <w:p>
      <w:pPr>
        <w:jc w:val="both"/>
        <w:ind w:left="1300" w:right="1300"/>
        <w:spacing w:after="0" w:line="286" w:lineRule="auto"/>
        <w:rPr>
          <w:sz w:val="20"/>
          <w:szCs w:val="20"/>
          <w:color w:val="auto"/>
        </w:rPr>
      </w:pPr>
      <w:r>
        <w:rPr>
          <w:rFonts w:ascii="Arial" w:cs="Arial" w:eastAsia="Arial" w:hAnsi="Arial"/>
          <w:sz w:val="17"/>
          <w:szCs w:val="17"/>
          <w:color w:val="auto"/>
        </w:rPr>
        <w:t>The total number of shares of stock that this Corporation shall have authority to issue is 61,000,000, consisting of 60,000,000 share of Common Stock, with a par value of $0.01 per share (the “Common Stock”), and 1,000,000 shares of Undesignated Preferred Stock with a par value of $0.01 per share (the “Undesignated Preferred Stock”).</w:t>
      </w:r>
    </w:p>
    <w:p>
      <w:pPr>
        <w:spacing w:after="0" w:line="166" w:lineRule="exact"/>
        <w:rPr>
          <w:sz w:val="20"/>
          <w:szCs w:val="20"/>
          <w:color w:val="auto"/>
        </w:rPr>
      </w:pPr>
    </w:p>
    <w:p>
      <w:pPr>
        <w:jc w:val="both"/>
        <w:ind w:firstLine="332"/>
        <w:spacing w:after="0" w:line="279" w:lineRule="auto"/>
        <w:tabs>
          <w:tab w:leader="none" w:pos="51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Amendment was duly adopted in accordance with Section 242 of the DGCL. The Board of Directors duly adopted resolutions setting forth and declaring advisable this Amendment and directed that the proposed Amendment be considered by the stockholders of the Corporation. A meeting of stockholders was duly called upon notice in accordance with Section 222 of the DGCL and held on September 10, 2019, at which meeting the necessary number of shares were voted in favor of the proposed Amendment. The stockholders of the Corporation duly adopted this Amendment.</w:t>
      </w:r>
    </w:p>
    <w:p>
      <w:pPr>
        <w:spacing w:after="0" w:line="171" w:lineRule="exact"/>
        <w:rPr>
          <w:rFonts w:ascii="Arial" w:cs="Arial" w:eastAsia="Arial" w:hAnsi="Arial"/>
          <w:sz w:val="17"/>
          <w:szCs w:val="17"/>
          <w:color w:val="auto"/>
        </w:rPr>
      </w:pPr>
    </w:p>
    <w:p>
      <w:pPr>
        <w:ind w:firstLine="332"/>
        <w:spacing w:after="0" w:line="277" w:lineRule="auto"/>
        <w:tabs>
          <w:tab w:leader="none" w:pos="51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remaining provisions of the Certificate of Incorporation are not affected by the aforementioned amendment and remain in full force and are not affected by this Amendment.</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foregoing Amendment shall be effective as of September 11,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 signed this 11th day of September,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2019-12-28T06:27:36Z</dcterms:created>
  <dcterms:modified xsi:type="dcterms:W3CDTF">2019-12-28T06:27:36Z</dcterms:modified>
</cp:coreProperties>
</file>