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MCGLYNN MARTIN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 STE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NEWARK</w:t>
            </w:r>
          </w:p>
        </w:tc>
        <w:tc>
          <w:tcPr>
            <w:tcW w:w="1100" w:type="dxa"/>
            <w:vAlign w:val="bottom"/>
          </w:tcPr>
          <w:p>
            <w:pPr>
              <w:ind w:left="2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94560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05/15/2013</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2,205</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1.84</w:t>
            </w:r>
          </w:p>
        </w:tc>
        <w:tc>
          <w:tcPr>
            <w:tcW w:w="1260" w:type="dxa"/>
            <w:vAlign w:val="bottom"/>
            <w:tcBorders>
              <w:bottom w:val="single" w:sz="8" w:color="2C2C2C"/>
            </w:tcBorders>
            <w:gridSpan w:val="2"/>
          </w:tcPr>
          <w:p>
            <w:pPr>
              <w:jc w:val="center"/>
              <w:ind w:right="217"/>
              <w:spacing w:after="0"/>
              <w:rPr>
                <w:sz w:val="20"/>
                <w:szCs w:val="20"/>
                <w:color w:val="auto"/>
              </w:rPr>
            </w:pPr>
            <w:r>
              <w:rPr>
                <w:rFonts w:ascii="Arial" w:cs="Arial" w:eastAsia="Arial" w:hAnsi="Arial"/>
                <w:sz w:val="18"/>
                <w:szCs w:val="18"/>
                <w:color w:val="0000FF"/>
              </w:rPr>
              <w:t>484,664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57"/>
              <w:spacing w:after="0"/>
              <w:rPr>
                <w:sz w:val="20"/>
                <w:szCs w:val="20"/>
                <w:color w:val="auto"/>
              </w:rPr>
            </w:pPr>
            <w:r>
              <w:rPr>
                <w:rFonts w:ascii="Arial" w:cs="Arial" w:eastAsia="Arial" w:hAnsi="Arial"/>
                <w:sz w:val="18"/>
                <w:szCs w:val="18"/>
                <w:color w:val="0000FF"/>
                <w:w w:val="83"/>
              </w:rPr>
              <w:t>17,009</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is recorded as a Code F disposition because the shares were used by the reporting person to pay a tax liability incurred by him from the delivery of shares incident to the vesting of restricted stock units.</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 270,666 restricted stock units, with 135,333 of this grant vesting on each of January 27, 2014 and January 27, 2015, and (2) 40,000 restricted stock units vesting on June 25, 2013.</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05/17/2013</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2019-12-18T04:05:34Z</dcterms:created>
  <dcterms:modified xsi:type="dcterms:W3CDTF">2019-12-18T04:05:34Z</dcterms:modified>
</cp:coreProperties>
</file>