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9</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certain information reported by us with the Securities and Exchange Commission or otherwise publicly disclosed. Accordingly, we have included such information in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January 3, 2025, the closing price of our common stock was $2.14.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by the Company, on June 10, 2021, the Company entered into an At-the-Market Offering Agreement, as amended on July 1, 2024 (the “ATM Agreement”) with H.C. Wainwright &amp; Co. LLC (“Wainwright”), as sales agent, in connection with an “at the market offering” under which the Company may offer and sell, from time to time in its sole discretion, shares of its common stock having an aggregate offering price of up to $4,819,905 at market prices or as otherwise agreed with Wainwright. The compensation to Wainwright for sales of the shares is a placement fee of 3.0% of the gross sales price of the shares of common stock sold pursuant to this ATM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$4,819,905 of the Company’s shares of common stock pursuant to the ATM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January 3, 2025, the Company issued and sold an aggregate of 4,276,486 shares of the Company’s common stock pursuant to the ATM Agreement, for total gross proceeds of $4,819,278 before deducting aggregate placement fees of $144,578 and other offering expenses. Accordingly, the Company is no longer selling any further shares of its common stock under the ATM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January 3, 2025, after taking into account the issuance of all of the shares sold under the ATM Agreement, the Company had 20,242,119 shares of its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Update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holds an intellectual property portfolio of 16 patents issued/allowed and 59 patent applications pending worldwide. The Company also holds 11 design patents issued/allowed and 3 design patents pending worldwide. It also has registered trademarks in Israel, Europe, UK and</w:t>
      </w:r>
    </w:p>
    <w:p>
      <w:pPr>
        <w:jc w:val="both"/>
        <w:spacing w:after="0" w:line="221" w:lineRule="auto"/>
        <w:rPr>
          <w:sz w:val="20"/>
          <w:szCs w:val="20"/>
          <w:color w:val="auto"/>
        </w:rPr>
      </w:pPr>
      <w:r>
        <w:rPr>
          <w:rFonts w:ascii="Times New Roman" w:cs="Times New Roman" w:eastAsia="Times New Roman" w:hAnsi="Times New Roman"/>
          <w:sz w:val="18"/>
          <w:szCs w:val="18"/>
          <w:color w:val="auto"/>
        </w:rPr>
        <w:t>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The Company also has a registered trademark in the U.S. for the NovaCross trademark.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Million Registered Direct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6, 2025, the Company announced that it has entered into definitive agreements for the purchase and sale of 4,000,002 shares of the Company’s common stock at a purchase price of $1.75 per share of common stock in a registered direct offering priced at-the-market under Nasdaq rules. In addition, in a concurrent private placement, the Company will issue unregistered short-term series G preferred investment options. The short-term series G preferred investment options to purchase up to 8,000,004 shares of common stock have an exercise price of $1.75 per share and are immediately exercisable following issuance for a period of two years thereafter. The closing of the registered direct offering and the concurrent private placement is expected to occur on or about January 7, 2025, subject to the satisfaction of customary closing conditions.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$7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2025-01-06T16:38:12Z</dcterms:created>
  <dcterms:modified xsi:type="dcterms:W3CDTF">2025-01-06T16:38:12Z</dcterms:modified>
</cp:coreProperties>
</file>