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OMB APPROVAL</w:t>
            </w:r>
          </w:p>
        </w:tc>
        <w:tc>
          <w:tcPr>
            <w:tcW w:w="84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October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31, 1994</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BURDEN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14.90</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23292310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statement.[X]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12 Pages</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NO. 23292310</w:t>
            </w:r>
          </w:p>
        </w:tc>
        <w:tc>
          <w:tcPr>
            <w:tcW w:w="1260" w:type="dxa"/>
            <w:vAlign w:val="bottom"/>
          </w:tcPr>
          <w:p>
            <w:pPr>
              <w:ind w:left="9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78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1,911,500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1,911,500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1,911,500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w:t>
      </w:r>
    </w:p>
    <w:p>
      <w:pPr>
        <w:spacing w:after="0" w:line="207" w:lineRule="exact"/>
        <w:rPr>
          <w:sz w:val="20"/>
          <w:szCs w:val="20"/>
          <w:color w:val="auto"/>
        </w:rPr>
      </w:pPr>
    </w:p>
    <w:p>
      <w:pPr>
        <w:ind w:right="7159" w:firstLine="8"/>
        <w:spacing w:after="0" w:line="470"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Page 3 of 12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23292310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1,911,500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1,911,500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1,911,500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w:t>
      </w:r>
    </w:p>
    <w:p>
      <w:pPr>
        <w:spacing w:after="0" w:line="207" w:lineRule="exact"/>
        <w:rPr>
          <w:sz w:val="20"/>
          <w:szCs w:val="20"/>
          <w:color w:val="auto"/>
        </w:rPr>
      </w:pPr>
    </w:p>
    <w:p>
      <w:pPr>
        <w:ind w:right="7159" w:firstLine="8"/>
        <w:spacing w:after="0" w:line="470"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Page 4 of 12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23292310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1,911,500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1,911,500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1,911,500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w:t>
      </w:r>
    </w:p>
    <w:p>
      <w:pPr>
        <w:spacing w:after="0" w:line="207" w:lineRule="exact"/>
        <w:rPr>
          <w:sz w:val="20"/>
          <w:szCs w:val="20"/>
          <w:color w:val="auto"/>
        </w:rPr>
      </w:pPr>
    </w:p>
    <w:p>
      <w:pPr>
        <w:ind w:right="7159" w:firstLine="8"/>
        <w:spacing w:after="0" w:line="470"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Page 5 of 12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23292310</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1,738,000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1,738,000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1,738,000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13.6%</w:t>
      </w:r>
    </w:p>
    <w:p>
      <w:pPr>
        <w:spacing w:after="0" w:line="207" w:lineRule="exact"/>
        <w:rPr>
          <w:sz w:val="20"/>
          <w:szCs w:val="20"/>
          <w:color w:val="auto"/>
        </w:rPr>
      </w:pPr>
    </w:p>
    <w:p>
      <w:pPr>
        <w:ind w:right="7159" w:firstLine="8"/>
        <w:spacing w:after="0" w:line="470"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PN</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Page 6 of 12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23292310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1,738,000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1,738,000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1,738,000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13.6%</w:t>
      </w:r>
    </w:p>
    <w:p>
      <w:pPr>
        <w:spacing w:after="0" w:line="201" w:lineRule="exact"/>
        <w:rPr>
          <w:sz w:val="20"/>
          <w:szCs w:val="20"/>
          <w:color w:val="auto"/>
        </w:rPr>
      </w:pPr>
    </w:p>
    <w:p>
      <w:pPr>
        <w:ind w:left="420" w:hanging="412"/>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Two Richmond Square</w:t>
      </w:r>
    </w:p>
    <w:p>
      <w:pPr>
        <w:ind w:left="1280"/>
        <w:spacing w:after="0" w:line="238" w:lineRule="auto"/>
        <w:rPr>
          <w:sz w:val="20"/>
          <w:szCs w:val="20"/>
          <w:color w:val="auto"/>
        </w:rPr>
      </w:pPr>
      <w:r>
        <w:rPr>
          <w:rFonts w:ascii="Courier New" w:cs="Courier New" w:eastAsia="Courier New" w:hAnsi="Courier New"/>
          <w:sz w:val="18"/>
          <w:szCs w:val="18"/>
          <w:color w:val="auto"/>
        </w:rPr>
        <w:t>Providence, RI 02906</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Merrill Lynch &amp; Co., Inc.</w:t>
      </w:r>
    </w:p>
    <w:p>
      <w:pPr>
        <w:ind w:left="1280"/>
        <w:spacing w:after="0" w:line="238" w:lineRule="auto"/>
        <w:rPr>
          <w:sz w:val="20"/>
          <w:szCs w:val="20"/>
          <w:color w:val="auto"/>
        </w:rPr>
      </w:pPr>
      <w:r>
        <w:rPr>
          <w:rFonts w:ascii="Courier New" w:cs="Courier New" w:eastAsia="Courier New" w:hAnsi="Courier New"/>
          <w:sz w:val="18"/>
          <w:szCs w:val="18"/>
          <w:color w:val="auto"/>
        </w:rPr>
        <w:t>Merrill Lynch Group, Inc..</w:t>
      </w:r>
    </w:p>
    <w:p>
      <w:pPr>
        <w:ind w:left="1280"/>
        <w:spacing w:after="0"/>
        <w:rPr>
          <w:sz w:val="20"/>
          <w:szCs w:val="20"/>
          <w:color w:val="auto"/>
        </w:rPr>
      </w:pPr>
      <w:r>
        <w:rPr>
          <w:rFonts w:ascii="Courier New" w:cs="Courier New" w:eastAsia="Courier New" w:hAnsi="Courier New"/>
          <w:sz w:val="18"/>
          <w:szCs w:val="18"/>
          <w:color w:val="auto"/>
        </w:rPr>
        <w:t>Princeton Services, Inc.</w:t>
      </w:r>
    </w:p>
    <w:p>
      <w:pPr>
        <w:ind w:left="1280"/>
        <w:spacing w:after="0" w:line="237" w:lineRule="auto"/>
        <w:rPr>
          <w:sz w:val="20"/>
          <w:szCs w:val="20"/>
          <w:color w:val="auto"/>
        </w:rPr>
      </w:pPr>
      <w:r>
        <w:rPr>
          <w:rFonts w:ascii="Courier New" w:cs="Courier New" w:eastAsia="Courier New" w:hAnsi="Courier New"/>
          <w:sz w:val="18"/>
          <w:szCs w:val="18"/>
          <w:color w:val="auto"/>
        </w:rPr>
        <w:t>Merrill Lynch Asset Management, L.P.</w:t>
      </w:r>
    </w:p>
    <w:p>
      <w:pPr>
        <w:ind w:left="1280"/>
        <w:spacing w:after="0" w:line="238" w:lineRule="auto"/>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World Financial Center, North Tower</w:t>
      </w:r>
    </w:p>
    <w:p>
      <w:pPr>
        <w:spacing w:after="0"/>
        <w:rPr>
          <w:sz w:val="20"/>
          <w:szCs w:val="20"/>
          <w:color w:val="auto"/>
        </w:rPr>
      </w:pPr>
      <w:r>
        <w:rPr>
          <w:rFonts w:ascii="Courier New" w:cs="Courier New" w:eastAsia="Courier New" w:hAnsi="Courier New"/>
          <w:sz w:val="18"/>
          <w:szCs w:val="18"/>
          <w:color w:val="auto"/>
        </w:rPr>
        <w:t>250 Vesey Street</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38" w:lineRule="auto"/>
        <w:rPr>
          <w:sz w:val="20"/>
          <w:szCs w:val="20"/>
          <w:color w:val="auto"/>
        </w:rPr>
      </w:pPr>
      <w:r>
        <w:rPr>
          <w:rFonts w:ascii="Courier New" w:cs="Courier New" w:eastAsia="Courier New" w:hAnsi="Courier New"/>
          <w:sz w:val="18"/>
          <w:szCs w:val="18"/>
          <w:color w:val="auto"/>
        </w:rPr>
        <w:t>World Financial Center, North Tower</w:t>
      </w:r>
    </w:p>
    <w:p>
      <w:pPr>
        <w:spacing w:after="0"/>
        <w:rPr>
          <w:sz w:val="20"/>
          <w:szCs w:val="20"/>
          <w:color w:val="auto"/>
        </w:rPr>
      </w:pPr>
      <w:r>
        <w:rPr>
          <w:rFonts w:ascii="Courier New" w:cs="Courier New" w:eastAsia="Courier New" w:hAnsi="Courier New"/>
          <w:sz w:val="18"/>
          <w:szCs w:val="18"/>
          <w:color w:val="auto"/>
        </w:rPr>
        <w:t>250 Vesey Street</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Page 8 of 12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(c)</w:t>
      </w:r>
      <w:r>
        <w:rPr>
          <w:sz w:val="20"/>
          <w:szCs w:val="20"/>
          <w:color w:val="auto"/>
        </w:rPr>
        <w:tab/>
      </w:r>
      <w:r>
        <w:rPr>
          <w:rFonts w:ascii="Courier New" w:cs="Courier New" w:eastAsia="Courier New" w:hAnsi="Courier New"/>
          <w:sz w:val="16"/>
          <w:szCs w:val="16"/>
          <w:color w:val="auto"/>
        </w:rPr>
        <w:t>Citizenship:</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23292310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Merrill Lynch &amp; Co., Inc. ("ML&amp;Co."), Merrill Lynch Group, Inc. ("ML Group") and Princeton Services, Inc. ("PSI") are parent holding companies, in accordance with (S) 240.13d-1(b) (ii) (G). Merrill Lynch Asset Management, L.P. (d/b/a) Merrill Lynch Asset Management ("MLAM") is an investment adviser registered (S) 203 of the Investment Advisers Act of 1940. Merrill Lynch Growth Fund for Investment &amp; Retirement (the "Fund") is an investment company registered under Section 8 of the Investment Company Act of 1940.</w:t>
      </w:r>
    </w:p>
    <w:p>
      <w:pPr>
        <w:spacing w:after="0" w:line="20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See Item 9 of Cover Pages. Pursuant to (S) 240.13d-4, ML&amp;Co., ML Group, PSI, MLAM and the Fund (the "Reporting Persons") disclaim beneficial ownership of the securities of Cytotherapeutics, Inc. (the "Company") referred to herein, and the filing of this Schedule 13G shall not be construed as an admission that the Reporting Persons are, for the purposes of Section 13(d) or 13(g) of the Securities Exchange Act of 1934, the beneficial owner of any securities of the Company covered by this statement.</w:t>
      </w:r>
    </w:p>
    <w:p>
      <w:pPr>
        <w:spacing w:after="0" w:line="205"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060" w:right="4839" w:hanging="525"/>
        <w:spacing w:after="0" w:line="470"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1060" w:right="4619" w:hanging="631"/>
        <w:spacing w:after="0" w:line="470"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the Cover Pages</w:t>
      </w:r>
    </w:p>
    <w:p>
      <w:pPr>
        <w:spacing w:after="0" w:line="11" w:lineRule="exact"/>
        <w:rPr>
          <w:rFonts w:ascii="Courier New" w:cs="Courier New" w:eastAsia="Courier New" w:hAnsi="Courier New"/>
          <w:sz w:val="18"/>
          <w:szCs w:val="18"/>
          <w:color w:val="auto"/>
        </w:rPr>
      </w:pPr>
    </w:p>
    <w:p>
      <w:pPr>
        <w:ind w:left="1060" w:right="3159" w:hanging="736"/>
        <w:spacing w:after="0" w:line="470"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to direct the disposition of: See Item 7 of Cover Pages</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Page 9 of 12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3359" w:hanging="631"/>
        <w:spacing w:after="0" w:line="470" w:lineRule="auto"/>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power to dispose of or direct the disposition of: See Item 8 of Cover Pages</w:t>
      </w:r>
    </w:p>
    <w:p>
      <w:pPr>
        <w:spacing w:after="0" w:line="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MLAM is an investment adviser registered under Section 203 of the Investment Advisers Act of 1940 and acts as an investment adviser to investment companies registered under Section 8 of the Investment Company Act of 1940. With respect to securities held by those investment companies, several persons have the right to receive, or the power to direct the receipt of dividends from, or the proceeds from the sale of, such securities. Merrill Lynch Growth Fund for Investment &amp; Retirement, a reporting person on this Schedule 13G for which MLAM serves as investment adviser, has an interest that reltates to more than 5% of the class of securities reported herein. No other person has an interest that relates to more than 5% of the class of securities reported herein.</w:t>
      </w:r>
    </w:p>
    <w:p>
      <w:pPr>
        <w:spacing w:after="0" w:line="3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Acquired the Security Being Reported on by the Parent Holding Company.</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Page 10 of 12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After reasonable inquiry and to the best of my knowledge and belief, 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undersigned certifies that the information set forth in this statement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true, complete and correct.</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10, 1995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L. Dick</w:t>
      </w:r>
    </w:p>
    <w:p>
      <w:pPr>
        <w:ind w:left="220" w:hanging="212"/>
        <w:spacing w:after="0" w:line="238" w:lineRule="auto"/>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David L. Dick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L. Dick</w:t>
      </w:r>
    </w:p>
    <w:p>
      <w:pPr>
        <w:ind w:left="220" w:hanging="212"/>
        <w:spacing w:after="0" w:line="238"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David L. Dick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L. Dick</w:t>
      </w:r>
    </w:p>
    <w:p>
      <w:pPr>
        <w:ind w:left="220" w:hanging="212"/>
        <w:spacing w:after="0" w:line="238" w:lineRule="auto"/>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David L. Dick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firstLine="8"/>
        <w:spacing w:after="0" w:line="237" w:lineRule="auto"/>
        <w:tabs>
          <w:tab w:leader="none" w:pos="21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February 10, 1994, included as an Exhibit to Schedule 13G filed with the Securities and Exchange Commission by Merrill Lynch Group, Inc. et. al. on February 14, 1994 with respect to Dial REIT Inc.</w:t>
      </w:r>
    </w:p>
    <w:p>
      <w:pPr>
        <w:sectPr>
          <w:pgSz w:w="11900" w:h="16838" w:orient="portrait"/>
          <w:cols w:equalWidth="0" w:num="1">
            <w:col w:w="10219"/>
          </w:cols>
          <w:pgMar w:left="240" w:top="717"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Page 11</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of 12</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Pages</w:t>
            </w: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Merrill</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Lynch</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Asset Management, L.P.</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By: Princeton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Services, Inc. (General Partner)</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L. Dick</w:t>
      </w:r>
    </w:p>
    <w:p>
      <w:pPr>
        <w:ind w:left="220" w:hanging="212"/>
        <w:spacing w:after="0" w:line="238"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David L. Dick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L. Dick</w:t>
      </w:r>
    </w:p>
    <w:p>
      <w:pPr>
        <w:ind w:left="220" w:hanging="212"/>
        <w:spacing w:after="0" w:line="238" w:lineRule="auto"/>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David L. Dick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Signed pursuant to a power of attorney, dated February 10, 1994, included</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 an Exhibit to Schedule 13G filed with the Securities and Exchange Commission by Merrill Lynch &amp; Co, Inc. et. al. on February 14, 1994 with respect to Dial REIT Inc.</w:t>
      </w:r>
    </w:p>
    <w:p>
      <w:pPr>
        <w:spacing w:after="0" w:line="200" w:lineRule="exact"/>
        <w:rPr>
          <w:sz w:val="20"/>
          <w:szCs w:val="20"/>
          <w:color w:val="auto"/>
        </w:rPr>
      </w:pPr>
    </w:p>
    <w:p>
      <w:pPr>
        <w:spacing w:after="0" w:line="211" w:lineRule="exact"/>
        <w:rPr>
          <w:sz w:val="20"/>
          <w:szCs w:val="20"/>
          <w:color w:val="auto"/>
        </w:rPr>
      </w:pPr>
    </w:p>
    <w:p>
      <w:pPr>
        <w:ind w:right="1879" w:firstLine="8"/>
        <w:spacing w:after="0" w:line="268" w:lineRule="auto"/>
        <w:tabs>
          <w:tab w:leader="none" w:pos="316"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Signed pursuant to a power of attorney, dated February 10, 1994, included as an Exhibit to Schedule 13G filed with the Securities and Exchange Commission by Merrill Lynch &amp; Co., Inc. et. al. on February 14, 1994 with respect to</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Cirrus Logic Inc.</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Page 12 of 12 Pages</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EXHIBIT A TO SCHEDULE 13G</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ITEM 7 DISCLOSURE RESPECTING SUBSIDIARIES</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Three of the persons filing this report, Merrill Lynch &amp; Co., Inc., a Delaware corporation with its principal place of business at World Financial Center, North Tower, 250 Vesey Street, New York, New York ("ML&amp;Co."), Merrill Lynch Group, Inc., a Delaware corporation with its principal place of business at World Financial Center, North Tower, 250 Vesey Street, New York, New York ("ML Group"), and Princeton Services, Inc. a Delaware corporation with its principal place of business at 800 Scudders Mill Road, Plainsboro, New Jersey, ("PSI") are parent holding companies pursuant to (S)240 13d-1(b) (1) (ii) (G). Pursuant to the instructions in Item 7 of Schedule 13G, the relevant subsidiaries of Merrill Lynch &amp; Co. are ML Group and PSI, which is the general partner of Merrill Lynch Asset Management, L.P. (d/b/a) Merrill Lynch Asset Management ("MLAM") and Fund Asset Management, L.P. (d/b/a)</w:t>
      </w:r>
    </w:p>
    <w:p>
      <w:pPr>
        <w:spacing w:after="0" w:line="188"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Fund Asset Management ("FAM"). The relevant subsidiary of Merrill Lynch Group is PSI.</w:t>
      </w:r>
    </w:p>
    <w:p>
      <w:pPr>
        <w:spacing w:after="0" w:line="208" w:lineRule="exact"/>
        <w:rPr>
          <w:sz w:val="20"/>
          <w:szCs w:val="20"/>
          <w:color w:val="auto"/>
        </w:rPr>
      </w:pPr>
    </w:p>
    <w:p>
      <w:pPr>
        <w:ind w:right="2099" w:firstLine="421"/>
        <w:spacing w:after="0" w:line="279" w:lineRule="auto"/>
        <w:rPr>
          <w:sz w:val="20"/>
          <w:szCs w:val="20"/>
          <w:color w:val="auto"/>
        </w:rPr>
      </w:pPr>
      <w:r>
        <w:rPr>
          <w:rFonts w:ascii="Courier New" w:cs="Courier New" w:eastAsia="Courier New" w:hAnsi="Courier New"/>
          <w:sz w:val="16"/>
          <w:szCs w:val="16"/>
          <w:color w:val="auto"/>
        </w:rPr>
        <w:t>ML Group, a wholly-owned direct subsidiary of ML&amp;Co., may be deemed to be the beneficial owner of 15.0% of the common stock of Cytotherapeutics, Inc. (the "Company") by virtue of its control of its wholly-owned subsidiary, PSI.</w:t>
      </w:r>
    </w:p>
    <w:p>
      <w:pPr>
        <w:spacing w:after="0" w:line="178"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PSI, a wholly-owned direct subsidiary of ML Group, may be deemed to be the beneficial owner of 15.0% of the common stock of the Company by virtue of its being the general partner of MLAM and FAM.</w:t>
      </w:r>
    </w:p>
    <w:p>
      <w:pPr>
        <w:spacing w:after="0" w:line="209" w:lineRule="exact"/>
        <w:rPr>
          <w:sz w:val="20"/>
          <w:szCs w:val="20"/>
          <w:color w:val="auto"/>
        </w:rPr>
      </w:pPr>
    </w:p>
    <w:p>
      <w:pPr>
        <w:ind w:right="1999" w:firstLine="421"/>
        <w:spacing w:after="0" w:line="272" w:lineRule="auto"/>
        <w:rPr>
          <w:sz w:val="20"/>
          <w:szCs w:val="20"/>
          <w:color w:val="auto"/>
        </w:rPr>
      </w:pPr>
      <w:r>
        <w:rPr>
          <w:rFonts w:ascii="Courier New" w:cs="Courier New" w:eastAsia="Courier New" w:hAnsi="Courier New"/>
          <w:sz w:val="16"/>
          <w:szCs w:val="16"/>
          <w:color w:val="auto"/>
        </w:rPr>
        <w:t>MLAM, a Delaware limited partnership with its principal place of business at 800 Scudders Mill Road, Plainsboro, New Jersey, is an investment adviser registered under Section 203 of the Investment Advisers Act of 1940. MLAM may be deemed to be the beneficial owner of 13.6% of the common stock of the Company by virtue of its acting as investment adviser to several investment companies registered under Section 8 of the Investment Company Act of 1940.</w:t>
      </w:r>
    </w:p>
    <w:p>
      <w:pPr>
        <w:spacing w:after="0" w:line="186"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One registered investment company advised by MLAM, Merrill Lynch Growth Fund for Investment &amp; Retirement (the "Fund"), is the beneficial owner of 13.6% of the common stock of the Company.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FAM, a Delaware limited partnership with its principal place of business</w:t>
      </w:r>
    </w:p>
    <w:p>
      <w:pPr>
        <w:spacing w:after="0" w:line="238" w:lineRule="auto"/>
        <w:rPr>
          <w:sz w:val="20"/>
          <w:szCs w:val="20"/>
          <w:color w:val="auto"/>
        </w:rPr>
      </w:pPr>
      <w:r>
        <w:rPr>
          <w:rFonts w:ascii="Courier New" w:cs="Courier New" w:eastAsia="Courier New" w:hAnsi="Courier New"/>
          <w:sz w:val="18"/>
          <w:szCs w:val="18"/>
          <w:color w:val="auto"/>
        </w:rPr>
        <w:t>at 800 Scudders Mill Road, Plainsboro, New Jersey, is an investment adviser</w:t>
      </w:r>
    </w:p>
    <w:p>
      <w:pPr>
        <w:spacing w:after="0"/>
        <w:tabs>
          <w:tab w:leader="none" w:pos="7360" w:val="left"/>
        </w:tabs>
        <w:rPr>
          <w:sz w:val="20"/>
          <w:szCs w:val="20"/>
          <w:color w:val="auto"/>
        </w:rPr>
      </w:pPr>
      <w:r>
        <w:rPr>
          <w:rFonts w:ascii="Courier New" w:cs="Courier New" w:eastAsia="Courier New" w:hAnsi="Courier New"/>
          <w:sz w:val="18"/>
          <w:szCs w:val="18"/>
          <w:color w:val="auto"/>
        </w:rPr>
        <w:t>registered under Section 203 of the Investment Advisers Act of 1940.</w:t>
      </w:r>
      <w:r>
        <w:rPr>
          <w:sz w:val="20"/>
          <w:szCs w:val="20"/>
          <w:color w:val="auto"/>
        </w:rPr>
        <w:tab/>
      </w:r>
      <w:r>
        <w:rPr>
          <w:rFonts w:ascii="Courier New" w:cs="Courier New" w:eastAsia="Courier New" w:hAnsi="Courier New"/>
          <w:sz w:val="16"/>
          <w:szCs w:val="16"/>
          <w:color w:val="auto"/>
        </w:rPr>
        <w:t>FAM may</w:t>
      </w:r>
    </w:p>
    <w:p>
      <w:pPr>
        <w:spacing w:after="0" w:line="237" w:lineRule="auto"/>
        <w:rPr>
          <w:sz w:val="20"/>
          <w:szCs w:val="20"/>
          <w:color w:val="auto"/>
        </w:rPr>
      </w:pPr>
      <w:r>
        <w:rPr>
          <w:rFonts w:ascii="Courier New" w:cs="Courier New" w:eastAsia="Courier New" w:hAnsi="Courier New"/>
          <w:sz w:val="18"/>
          <w:szCs w:val="18"/>
          <w:color w:val="auto"/>
        </w:rPr>
        <w:t>be deemed to be the beneficial owner of less than 5% of the common stock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by virtue of its acting as investment adviser to several investment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companies registered under Section 8 of the Investment Company Act of 1940.</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Pursuant to (S)240.13d-4, ML &amp; Co., ML Group, PSI, MLAM, FAM and the Fund disclaim beneficial ownership of the securities of the Company, and the filing of this Schedule 13G shall not be construed as an admission that any such entity is, for the purposes of Section 13(d) or 13(g) of the Securities Exchange Act of 1934, the beneficial owner of any securities of the Company.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1."/>
      <w:numFmt w:val="decimal"/>
      <w:start w:val="3"/>
    </w:lvl>
  </w:abstractNum>
  <w:abstractNum w:abstractNumId="6">
    <w:nsid w:val="2D1D5AE9"/>
    <w:multiLevelType w:val="hybridMultilevel"/>
    <w:lvl w:ilvl="0">
      <w:lvlJc w:val="left"/>
      <w:lvlText w:val="%1."/>
      <w:numFmt w:val="decimal"/>
      <w:start w:val="6"/>
    </w:lvl>
  </w:abstractNum>
  <w:abstractNum w:abstractNumId="7">
    <w:nsid w:val="6763845E"/>
    <w:multiLevelType w:val="hybridMultilevel"/>
    <w:lvl w:ilvl="0">
      <w:lvlJc w:val="left"/>
      <w:lvlText w:val="%1."/>
      <w:numFmt w:val="decimal"/>
      <w:start w:val="12"/>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decimal"/>
      <w:start w:val="3"/>
    </w:lvl>
  </w:abstractNum>
  <w:abstractNum w:abstractNumId="11">
    <w:nsid w:val="4353D0CD"/>
    <w:multiLevelType w:val="hybridMultilevel"/>
    <w:lvl w:ilvl="0">
      <w:lvlJc w:val="left"/>
      <w:lvlText w:val="%1."/>
      <w:numFmt w:val="decimal"/>
      <w:start w:val="6"/>
    </w:lvl>
  </w:abstractNum>
  <w:abstractNum w:abstractNumId="12">
    <w:nsid w:val="B03E0C6"/>
    <w:multiLevelType w:val="hybridMultilevel"/>
    <w:lvl w:ilvl="0">
      <w:lvlJc w:val="left"/>
      <w:lvlText w:val="%1."/>
      <w:numFmt w:val="decimal"/>
      <w:start w:val="12"/>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decimal"/>
      <w:start w:val="3"/>
    </w:lvl>
  </w:abstractNum>
  <w:abstractNum w:abstractNumId="16">
    <w:nsid w:val="2CA88611"/>
    <w:multiLevelType w:val="hybridMultilevel"/>
    <w:lvl w:ilvl="0">
      <w:lvlJc w:val="left"/>
      <w:lvlText w:val="%1."/>
      <w:numFmt w:val="decimal"/>
      <w:start w:val="6"/>
    </w:lvl>
  </w:abstractNum>
  <w:abstractNum w:abstractNumId="17">
    <w:nsid w:val="836C40E"/>
    <w:multiLevelType w:val="hybridMultilevel"/>
    <w:lvl w:ilvl="0">
      <w:lvlJc w:val="left"/>
      <w:lvlText w:val="%1."/>
      <w:numFmt w:val="decimal"/>
      <w:start w:val="12"/>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2"/>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decimal"/>
      <w:start w:val="3"/>
    </w:lvl>
  </w:abstractNum>
  <w:abstractNum w:abstractNumId="22">
    <w:nsid w:val="7C3DBD3D"/>
    <w:multiLevelType w:val="hybridMultilevel"/>
    <w:lvl w:ilvl="0">
      <w:lvlJc w:val="left"/>
      <w:lvlText w:val="%1."/>
      <w:numFmt w:val="decimal"/>
      <w:start w:val="6"/>
    </w:lvl>
  </w:abstractNum>
  <w:abstractNum w:abstractNumId="23">
    <w:nsid w:val="737B8DDC"/>
    <w:multiLevelType w:val="hybridMultilevel"/>
    <w:lvl w:ilvl="0">
      <w:lvlJc w:val="left"/>
      <w:lvlText w:val="%1."/>
      <w:numFmt w:val="decimal"/>
      <w:start w:val="12"/>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decimal"/>
      <w:start w:val="3"/>
    </w:lvl>
  </w:abstractNum>
  <w:abstractNum w:abstractNumId="27">
    <w:nsid w:val="3006C83E"/>
    <w:multiLevelType w:val="hybridMultilevel"/>
    <w:lvl w:ilvl="0">
      <w:lvlJc w:val="left"/>
      <w:lvlText w:val="%1."/>
      <w:numFmt w:val="decimal"/>
      <w:start w:val="6"/>
    </w:lvl>
  </w:abstractNum>
  <w:abstractNum w:abstractNumId="28">
    <w:nsid w:val="614FD4A1"/>
    <w:multiLevelType w:val="hybridMultilevel"/>
    <w:lvl w:ilvl="0">
      <w:lvlJc w:val="left"/>
      <w:lvlText w:val="%1."/>
      <w:numFmt w:val="decimal"/>
      <w:start w:val="12"/>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2"/>
    </w:lvl>
    <w:lvl w:ilvl="1">
      <w:lvlJc w:val="left"/>
      <w:lvlText w:val="(%2)"/>
      <w:numFmt w:val="lowerRoman"/>
      <w:start w:val="1"/>
    </w:lvl>
  </w:abstractNum>
  <w:abstractNum w:abstractNumId="31">
    <w:nsid w:val="440BADFC"/>
    <w:multiLevelType w:val="hybridMultilevel"/>
    <w:lvl w:ilvl="0">
      <w:lvlJc w:val="left"/>
      <w:lvlText w:val="(%1)"/>
      <w:numFmt w:val="lowerRoman"/>
      <w:start w:val="4"/>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2019-12-13T21:51:23Z</dcterms:created>
  <dcterms:modified xsi:type="dcterms:W3CDTF">2019-12-13T21:51:23Z</dcterms:modified>
</cp:coreProperties>
</file>