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November 25, 2020</w:t>
      </w:r>
    </w:p>
    <w:p>
      <w:pPr>
        <w:spacing w:after="0" w:line="229" w:lineRule="exact"/>
        <w:rPr>
          <w:sz w:val="24"/>
          <w:szCs w:val="24"/>
          <w:color w:val="auto"/>
        </w:rPr>
      </w:pPr>
    </w:p>
    <w:p>
      <w:pPr>
        <w:ind w:left="9360"/>
        <w:spacing w:after="0"/>
        <w:rPr>
          <w:sz w:val="20"/>
          <w:szCs w:val="20"/>
          <w:color w:val="auto"/>
        </w:rPr>
      </w:pPr>
      <w:r>
        <w:rPr>
          <w:rFonts w:ascii="Arial" w:cs="Arial" w:eastAsia="Arial" w:hAnsi="Arial"/>
          <w:sz w:val="18"/>
          <w:szCs w:val="18"/>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203200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REGISTRATION STATEMENT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SECURITIES ACT OF 1933</w:t>
      </w:r>
    </w:p>
    <w:p>
      <w:pPr>
        <w:spacing w:after="0" w:line="18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MICROBOT MEDICAL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1680" w:type="dxa"/>
        <w:tblCellMar>
          <w:top w:w="0" w:type="dxa"/>
          <w:left w:w="0" w:type="dxa"/>
          <w:bottom w:w="0" w:type="dxa"/>
          <w:right w:w="0" w:type="dxa"/>
        </w:tblCellMar>
      </w:tblPr>
      <w:tr>
        <w:trPr>
          <w:trHeight w:val="220"/>
        </w:trPr>
        <w:tc>
          <w:tcPr>
            <w:tcW w:w="4160" w:type="dxa"/>
            <w:vAlign w:val="bottom"/>
          </w:tcPr>
          <w:p>
            <w:pPr>
              <w:jc w:val="center"/>
              <w:ind w:right="1910"/>
              <w:spacing w:after="0"/>
              <w:rPr>
                <w:sz w:val="20"/>
                <w:szCs w:val="20"/>
                <w:color w:val="auto"/>
              </w:rPr>
            </w:pPr>
            <w:r>
              <w:rPr>
                <w:rFonts w:ascii="Arial" w:cs="Arial" w:eastAsia="Arial" w:hAnsi="Arial"/>
                <w:sz w:val="18"/>
                <w:szCs w:val="18"/>
                <w:b w:val="1"/>
                <w:bCs w:val="1"/>
                <w:color w:val="auto"/>
                <w:w w:val="91"/>
              </w:rPr>
              <w:t>Delaware</w:t>
            </w:r>
          </w:p>
        </w:tc>
        <w:tc>
          <w:tcPr>
            <w:tcW w:w="3320" w:type="dxa"/>
            <w:vAlign w:val="bottom"/>
          </w:tcPr>
          <w:p>
            <w:pPr>
              <w:jc w:val="center"/>
              <w:ind w:left="1890"/>
              <w:spacing w:after="0"/>
              <w:rPr>
                <w:sz w:val="20"/>
                <w:szCs w:val="20"/>
                <w:color w:val="auto"/>
              </w:rPr>
            </w:pPr>
            <w:r>
              <w:rPr>
                <w:rFonts w:ascii="Arial" w:cs="Arial" w:eastAsia="Arial" w:hAnsi="Arial"/>
                <w:sz w:val="18"/>
                <w:szCs w:val="18"/>
                <w:b w:val="1"/>
                <w:bCs w:val="1"/>
                <w:color w:val="auto"/>
                <w:w w:val="89"/>
              </w:rPr>
              <w:t>94-3078125</w:t>
            </w:r>
          </w:p>
        </w:tc>
      </w:tr>
      <w:tr>
        <w:trPr>
          <w:trHeight w:val="216"/>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2"/>
              </w:rPr>
              <w:t>(State or other jurisdiction of</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2"/>
              </w:rPr>
              <w:t>(I.R.S. Employer</w:t>
            </w:r>
          </w:p>
        </w:tc>
      </w:tr>
      <w:tr>
        <w:trPr>
          <w:trHeight w:val="230"/>
        </w:trPr>
        <w:tc>
          <w:tcPr>
            <w:tcW w:w="4160" w:type="dxa"/>
            <w:vAlign w:val="bottom"/>
          </w:tcPr>
          <w:p>
            <w:pPr>
              <w:jc w:val="center"/>
              <w:ind w:right="1910"/>
              <w:spacing w:after="0"/>
              <w:rPr>
                <w:sz w:val="20"/>
                <w:szCs w:val="20"/>
                <w:color w:val="auto"/>
              </w:rPr>
            </w:pPr>
            <w:r>
              <w:rPr>
                <w:rFonts w:ascii="Arial" w:cs="Arial" w:eastAsia="Arial" w:hAnsi="Arial"/>
                <w:sz w:val="18"/>
                <w:szCs w:val="18"/>
                <w:color w:val="auto"/>
                <w:w w:val="91"/>
              </w:rPr>
              <w:t>Incorporation or organization)</w:t>
            </w:r>
          </w:p>
        </w:tc>
        <w:tc>
          <w:tcPr>
            <w:tcW w:w="3320" w:type="dxa"/>
            <w:vAlign w:val="bottom"/>
          </w:tcPr>
          <w:p>
            <w:pPr>
              <w:jc w:val="center"/>
              <w:ind w:left="1890"/>
              <w:spacing w:after="0"/>
              <w:rPr>
                <w:sz w:val="20"/>
                <w:szCs w:val="20"/>
                <w:color w:val="auto"/>
              </w:rPr>
            </w:pPr>
            <w:r>
              <w:rPr>
                <w:rFonts w:ascii="Arial" w:cs="Arial" w:eastAsia="Arial" w:hAnsi="Arial"/>
                <w:sz w:val="18"/>
                <w:szCs w:val="18"/>
                <w:color w:val="auto"/>
                <w:w w:val="95"/>
              </w:rPr>
              <w:t>Identification No.)</w:t>
            </w: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Massachusetts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(Address, including zip code, and telephone number, including area code, of Registrant’s principal executive offices)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Harel Gadot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Chairman, President and Chief Executive Officer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25 Recreation Park Drive, Unit 108</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Hingham, MA 02043</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(781) 875-3605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11" w:lineRule="exact"/>
        <w:rPr>
          <w:sz w:val="24"/>
          <w:szCs w:val="24"/>
          <w:color w:val="auto"/>
        </w:rPr>
      </w:pPr>
    </w:p>
    <w:tbl>
      <w:tblPr>
        <w:tblLayout w:type="fixed"/>
        <w:tblInd w:w="80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p>
        </w:tc>
        <w:tc>
          <w:tcPr>
            <w:tcW w:w="4620" w:type="dxa"/>
            <w:vAlign w:val="bottom"/>
          </w:tcPr>
          <w:p>
            <w:pPr>
              <w:ind w:left="240"/>
              <w:spacing w:after="0"/>
              <w:rPr>
                <w:sz w:val="20"/>
                <w:szCs w:val="20"/>
                <w:color w:val="auto"/>
              </w:rPr>
            </w:pPr>
            <w:r>
              <w:rPr>
                <w:rFonts w:ascii="Arial" w:cs="Arial" w:eastAsia="Arial" w:hAnsi="Arial"/>
                <w:sz w:val="18"/>
                <w:szCs w:val="18"/>
                <w:b w:val="1"/>
                <w:bCs w:val="1"/>
                <w:i w:val="1"/>
                <w:iCs w:val="1"/>
                <w:color w:val="auto"/>
              </w:rPr>
              <w:t>Copy to:</w:t>
            </w:r>
          </w:p>
        </w:tc>
      </w:tr>
      <w:tr>
        <w:trPr>
          <w:trHeight w:val="414"/>
        </w:trPr>
        <w:tc>
          <w:tcPr>
            <w:tcW w:w="4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4"/>
              </w:rPr>
              <w:t>Marc D. Mantell, Esq.</w:t>
            </w:r>
          </w:p>
        </w:tc>
        <w:tc>
          <w:tcPr>
            <w:tcW w:w="4620" w:type="dxa"/>
            <w:vAlign w:val="bottom"/>
          </w:tcPr>
          <w:p>
            <w:pPr>
              <w:jc w:val="center"/>
              <w:ind w:left="1991"/>
              <w:spacing w:after="0"/>
              <w:rPr>
                <w:sz w:val="20"/>
                <w:szCs w:val="20"/>
                <w:color w:val="auto"/>
              </w:rPr>
            </w:pPr>
            <w:r>
              <w:rPr>
                <w:rFonts w:ascii="Arial" w:cs="Arial" w:eastAsia="Arial" w:hAnsi="Arial"/>
                <w:sz w:val="18"/>
                <w:szCs w:val="18"/>
                <w:b w:val="1"/>
                <w:bCs w:val="1"/>
                <w:color w:val="auto"/>
                <w:w w:val="88"/>
              </w:rPr>
              <w:t>Stephen E. Fox, Esq.</w:t>
            </w:r>
          </w:p>
        </w:tc>
      </w:tr>
      <w:tr>
        <w:trPr>
          <w:trHeight w:val="216"/>
        </w:trPr>
        <w:tc>
          <w:tcPr>
            <w:tcW w:w="4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Mintz, Levin, Cohn, Ferris, Glovsky and Popeo, P.C.</w:t>
            </w:r>
          </w:p>
        </w:tc>
        <w:tc>
          <w:tcPr>
            <w:tcW w:w="4620" w:type="dxa"/>
            <w:vAlign w:val="bottom"/>
          </w:tcPr>
          <w:p>
            <w:pPr>
              <w:jc w:val="center"/>
              <w:ind w:left="1991"/>
              <w:spacing w:after="0"/>
              <w:rPr>
                <w:sz w:val="20"/>
                <w:szCs w:val="20"/>
                <w:color w:val="auto"/>
              </w:rPr>
            </w:pPr>
            <w:r>
              <w:rPr>
                <w:rFonts w:ascii="Arial" w:cs="Arial" w:eastAsia="Arial" w:hAnsi="Arial"/>
                <w:sz w:val="18"/>
                <w:szCs w:val="18"/>
                <w:b w:val="1"/>
                <w:bCs w:val="1"/>
                <w:color w:val="auto"/>
                <w:w w:val="89"/>
              </w:rPr>
              <w:t>Ruskin Moscou Faltischek, P.C.</w:t>
            </w:r>
          </w:p>
        </w:tc>
      </w:tr>
      <w:tr>
        <w:trPr>
          <w:trHeight w:val="216"/>
        </w:trPr>
        <w:tc>
          <w:tcPr>
            <w:tcW w:w="4280" w:type="dxa"/>
            <w:vAlign w:val="bottom"/>
          </w:tcPr>
          <w:p>
            <w:pPr>
              <w:jc w:val="center"/>
              <w:ind w:right="170"/>
              <w:spacing w:after="0"/>
              <w:rPr>
                <w:sz w:val="20"/>
                <w:szCs w:val="20"/>
                <w:color w:val="auto"/>
              </w:rPr>
            </w:pPr>
            <w:r>
              <w:rPr>
                <w:rFonts w:ascii="Arial" w:cs="Arial" w:eastAsia="Arial" w:hAnsi="Arial"/>
                <w:sz w:val="18"/>
                <w:szCs w:val="18"/>
                <w:b w:val="1"/>
                <w:bCs w:val="1"/>
                <w:color w:val="auto"/>
                <w:w w:val="92"/>
              </w:rPr>
              <w:t>One Financial Center</w:t>
            </w:r>
          </w:p>
        </w:tc>
        <w:tc>
          <w:tcPr>
            <w:tcW w:w="4620" w:type="dxa"/>
            <w:vAlign w:val="bottom"/>
          </w:tcPr>
          <w:p>
            <w:pPr>
              <w:jc w:val="center"/>
              <w:ind w:left="1991"/>
              <w:spacing w:after="0"/>
              <w:rPr>
                <w:sz w:val="20"/>
                <w:szCs w:val="20"/>
                <w:color w:val="auto"/>
              </w:rPr>
            </w:pPr>
            <w:r>
              <w:rPr>
                <w:rFonts w:ascii="Arial" w:cs="Arial" w:eastAsia="Arial" w:hAnsi="Arial"/>
                <w:sz w:val="18"/>
                <w:szCs w:val="18"/>
                <w:b w:val="1"/>
                <w:bCs w:val="1"/>
                <w:color w:val="auto"/>
                <w:w w:val="93"/>
              </w:rPr>
              <w:t>1425 RXR Plaza</w:t>
            </w:r>
          </w:p>
        </w:tc>
      </w:tr>
      <w:tr>
        <w:trPr>
          <w:trHeight w:val="221"/>
        </w:trPr>
        <w:tc>
          <w:tcPr>
            <w:tcW w:w="4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Boston, MA 02111</w:t>
            </w:r>
          </w:p>
        </w:tc>
        <w:tc>
          <w:tcPr>
            <w:tcW w:w="4620" w:type="dxa"/>
            <w:vAlign w:val="bottom"/>
          </w:tcPr>
          <w:p>
            <w:pPr>
              <w:jc w:val="center"/>
              <w:ind w:left="2011"/>
              <w:spacing w:after="0" w:line="221" w:lineRule="exact"/>
              <w:rPr>
                <w:sz w:val="20"/>
                <w:szCs w:val="20"/>
                <w:color w:val="auto"/>
              </w:rPr>
            </w:pPr>
            <w:r>
              <w:rPr>
                <w:rFonts w:ascii="Arial" w:cs="Arial" w:eastAsia="Arial" w:hAnsi="Arial"/>
                <w:sz w:val="16"/>
                <w:szCs w:val="16"/>
                <w:b w:val="1"/>
                <w:bCs w:val="1"/>
                <w:color w:val="auto"/>
                <w:w w:val="99"/>
              </w:rPr>
              <w:t>East Tower, 15</w:t>
            </w:r>
            <w:r>
              <w:rPr>
                <w:rFonts w:ascii="Arial" w:cs="Arial" w:eastAsia="Arial" w:hAnsi="Arial"/>
                <w:sz w:val="25"/>
                <w:szCs w:val="25"/>
                <w:b w:val="1"/>
                <w:bCs w:val="1"/>
                <w:color w:val="auto"/>
                <w:w w:val="99"/>
                <w:vertAlign w:val="superscript"/>
              </w:rPr>
              <w:t>th</w:t>
            </w:r>
            <w:r>
              <w:rPr>
                <w:rFonts w:ascii="Arial" w:cs="Arial" w:eastAsia="Arial" w:hAnsi="Arial"/>
                <w:sz w:val="16"/>
                <w:szCs w:val="16"/>
                <w:b w:val="1"/>
                <w:bCs w:val="1"/>
                <w:color w:val="auto"/>
                <w:w w:val="99"/>
              </w:rPr>
              <w:t xml:space="preserve"> Floor</w:t>
            </w:r>
          </w:p>
        </w:tc>
      </w:tr>
      <w:tr>
        <w:trPr>
          <w:trHeight w:val="252"/>
        </w:trPr>
        <w:tc>
          <w:tcPr>
            <w:tcW w:w="4280" w:type="dxa"/>
            <w:vAlign w:val="bottom"/>
          </w:tcPr>
          <w:p>
            <w:pPr>
              <w:jc w:val="center"/>
              <w:ind w:right="150"/>
              <w:spacing w:after="0"/>
              <w:rPr>
                <w:sz w:val="20"/>
                <w:szCs w:val="20"/>
                <w:color w:val="auto"/>
              </w:rPr>
            </w:pPr>
            <w:r>
              <w:rPr>
                <w:rFonts w:ascii="Arial" w:cs="Arial" w:eastAsia="Arial" w:hAnsi="Arial"/>
                <w:sz w:val="18"/>
                <w:szCs w:val="18"/>
                <w:b w:val="1"/>
                <w:bCs w:val="1"/>
                <w:color w:val="auto"/>
                <w:w w:val="90"/>
              </w:rPr>
              <w:t>(617) 542-6000</w:t>
            </w:r>
          </w:p>
        </w:tc>
        <w:tc>
          <w:tcPr>
            <w:tcW w:w="4620" w:type="dxa"/>
            <w:vAlign w:val="bottom"/>
          </w:tcPr>
          <w:p>
            <w:pPr>
              <w:jc w:val="center"/>
              <w:ind w:left="1991"/>
              <w:spacing w:after="0"/>
              <w:rPr>
                <w:sz w:val="20"/>
                <w:szCs w:val="20"/>
                <w:color w:val="auto"/>
              </w:rPr>
            </w:pPr>
            <w:r>
              <w:rPr>
                <w:rFonts w:ascii="Arial" w:cs="Arial" w:eastAsia="Arial" w:hAnsi="Arial"/>
                <w:sz w:val="18"/>
                <w:szCs w:val="18"/>
                <w:b w:val="1"/>
                <w:bCs w:val="1"/>
                <w:color w:val="auto"/>
                <w:w w:val="90"/>
              </w:rPr>
              <w:t>Uniondale, New York 11556-1425</w:t>
            </w:r>
          </w:p>
        </w:tc>
      </w:tr>
      <w:tr>
        <w:trPr>
          <w:trHeight w:val="234"/>
        </w:trPr>
        <w:tc>
          <w:tcPr>
            <w:tcW w:w="4280" w:type="dxa"/>
            <w:vAlign w:val="bottom"/>
          </w:tcPr>
          <w:p>
            <w:pPr>
              <w:spacing w:after="0"/>
              <w:rPr>
                <w:sz w:val="20"/>
                <w:szCs w:val="20"/>
                <w:color w:val="auto"/>
              </w:rPr>
            </w:pPr>
          </w:p>
        </w:tc>
        <w:tc>
          <w:tcPr>
            <w:tcW w:w="4620" w:type="dxa"/>
            <w:vAlign w:val="bottom"/>
          </w:tcPr>
          <w:p>
            <w:pPr>
              <w:jc w:val="center"/>
              <w:ind w:left="1991"/>
              <w:spacing w:after="0"/>
              <w:rPr>
                <w:sz w:val="20"/>
                <w:szCs w:val="20"/>
                <w:color w:val="auto"/>
              </w:rPr>
            </w:pPr>
            <w:r>
              <w:rPr>
                <w:rFonts w:ascii="Arial" w:cs="Arial" w:eastAsia="Arial" w:hAnsi="Arial"/>
                <w:sz w:val="18"/>
                <w:szCs w:val="18"/>
                <w:b w:val="1"/>
                <w:bCs w:val="1"/>
                <w:color w:val="auto"/>
                <w:w w:val="92"/>
              </w:rPr>
              <w:t>(516) 663-6600</w:t>
            </w:r>
          </w:p>
        </w:tc>
      </w:tr>
    </w:tbl>
    <w:p>
      <w:pPr>
        <w:spacing w:after="0" w:line="198" w:lineRule="exact"/>
        <w:rPr>
          <w:sz w:val="24"/>
          <w:szCs w:val="24"/>
          <w:color w:val="auto"/>
        </w:rPr>
      </w:pPr>
    </w:p>
    <w:p>
      <w:pPr>
        <w:jc w:val="center"/>
        <w:spacing w:after="0" w:line="282" w:lineRule="auto"/>
        <w:rPr>
          <w:sz w:val="20"/>
          <w:szCs w:val="20"/>
          <w:color w:val="auto"/>
        </w:rPr>
      </w:pPr>
      <w:r>
        <w:rPr>
          <w:rFonts w:ascii="Arial" w:cs="Arial" w:eastAsia="Arial" w:hAnsi="Arial"/>
          <w:sz w:val="18"/>
          <w:szCs w:val="18"/>
          <w:b w:val="1"/>
          <w:bCs w:val="1"/>
          <w:color w:val="auto"/>
        </w:rPr>
        <w:t xml:space="preserve">Approximate date of commencement of proposed sale to the public: </w:t>
      </w:r>
      <w:r>
        <w:rPr>
          <w:rFonts w:ascii="Arial" w:cs="Arial" w:eastAsia="Arial" w:hAnsi="Arial"/>
          <w:sz w:val="18"/>
          <w:szCs w:val="18"/>
          <w:color w:val="auto"/>
        </w:rPr>
        <w:t>From time to time after the effective date of this registration statement,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determined by the Registrant.</w:t>
      </w:r>
    </w:p>
    <w:p>
      <w:pPr>
        <w:spacing w:after="0" w:line="166" w:lineRule="exact"/>
        <w:rPr>
          <w:sz w:val="24"/>
          <w:szCs w:val="24"/>
          <w:color w:val="auto"/>
        </w:rPr>
      </w:pPr>
    </w:p>
    <w:p>
      <w:pPr>
        <w:spacing w:after="0"/>
        <w:rPr>
          <w:sz w:val="20"/>
          <w:szCs w:val="20"/>
          <w:color w:val="auto"/>
        </w:rPr>
      </w:pPr>
      <w:r>
        <w:rPr>
          <w:rFonts w:ascii="Arial" w:cs="Arial" w:eastAsia="Arial" w:hAnsi="Arial"/>
          <w:sz w:val="16"/>
          <w:szCs w:val="16"/>
          <w:color w:val="auto"/>
        </w:rPr>
        <w:t>If the only securities being registered on this Form are being offered pursuant to dividend or interest reinvestment plans, please check the following box:</w:t>
      </w:r>
    </w:p>
    <w:p>
      <w:pPr>
        <w:spacing w:after="0" w:line="46" w:lineRule="exact"/>
        <w:rPr>
          <w:sz w:val="24"/>
          <w:szCs w:val="24"/>
          <w:color w:val="auto"/>
        </w:rPr>
      </w:pPr>
    </w:p>
    <w:p>
      <w:pPr>
        <w:spacing w:after="0"/>
        <w:rPr>
          <w:sz w:val="20"/>
          <w:szCs w:val="20"/>
          <w:color w:val="auto"/>
        </w:rPr>
      </w:pPr>
      <w:r>
        <w:rPr>
          <w:rFonts w:ascii="Arial" w:cs="Arial" w:eastAsia="Arial" w:hAnsi="Arial"/>
          <w:sz w:val="18"/>
          <w:szCs w:val="18"/>
          <w:color w:val="auto"/>
        </w:rPr>
        <w:t>[ ]</w:t>
      </w:r>
    </w:p>
    <w:p>
      <w:pPr>
        <w:spacing w:after="0" w:line="211" w:lineRule="exact"/>
        <w:rPr>
          <w:sz w:val="24"/>
          <w:szCs w:val="24"/>
          <w:color w:val="auto"/>
        </w:rPr>
      </w:pPr>
    </w:p>
    <w:p>
      <w:pPr>
        <w:jc w:val="both"/>
        <w:ind w:right="20"/>
        <w:spacing w:after="0" w:line="308" w:lineRule="auto"/>
        <w:rPr>
          <w:sz w:val="20"/>
          <w:szCs w:val="20"/>
          <w:color w:val="auto"/>
        </w:rPr>
      </w:pPr>
      <w:r>
        <w:rPr>
          <w:rFonts w:ascii="Arial" w:cs="Arial" w:eastAsia="Arial" w:hAnsi="Arial"/>
          <w:sz w:val="17"/>
          <w:szCs w:val="17"/>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146"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170"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a registration statement pursuant to General Instruction I.D. or a post-effective amendment thereto that shall become effective upon filing with the Commission pursuant to Rule 462(e) under the Securities Act, check the following box. [ ]</w:t>
      </w:r>
    </w:p>
    <w:p>
      <w:pPr>
        <w:spacing w:after="0" w:line="170" w:lineRule="exact"/>
        <w:rPr>
          <w:sz w:val="24"/>
          <w:szCs w:val="24"/>
          <w:color w:val="auto"/>
        </w:rPr>
      </w:pPr>
    </w:p>
    <w:p>
      <w:pPr>
        <w:jc w:val="both"/>
        <w:spacing w:after="0" w:line="277" w:lineRule="auto"/>
        <w:rPr>
          <w:sz w:val="20"/>
          <w:szCs w:val="20"/>
          <w:color w:val="auto"/>
        </w:rPr>
      </w:pPr>
      <w:r>
        <w:rPr>
          <w:rFonts w:ascii="Arial" w:cs="Arial" w:eastAsia="Arial" w:hAnsi="Arial"/>
          <w:sz w:val="18"/>
          <w:szCs w:val="18"/>
          <w:color w:val="auto"/>
        </w:rPr>
        <w:t>If this form is a post-effective amendment to a registration statement filed pursuant General Instruction I.D. filed to register additional securities or additional classes of securities pursuant to Rule 413(b) under the Securities Act, check the following box. [ ]</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84"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2180" w:type="dxa"/>
            <w:vAlign w:val="bottom"/>
          </w:tcPr>
          <w:p>
            <w:pPr>
              <w:jc w:val="center"/>
              <w:ind w:right="390"/>
              <w:spacing w:after="0"/>
              <w:rPr>
                <w:sz w:val="20"/>
                <w:szCs w:val="20"/>
                <w:color w:val="auto"/>
              </w:rPr>
            </w:pPr>
            <w:r>
              <w:rPr>
                <w:rFonts w:ascii="Arial" w:cs="Arial" w:eastAsia="Arial" w:hAnsi="Arial"/>
                <w:sz w:val="18"/>
                <w:szCs w:val="18"/>
                <w:color w:val="auto"/>
                <w:w w:val="91"/>
              </w:rPr>
              <w:t>Large Accelerated Filer</w:t>
            </w:r>
          </w:p>
        </w:tc>
        <w:tc>
          <w:tcPr>
            <w:tcW w:w="1040" w:type="dxa"/>
            <w:vAlign w:val="bottom"/>
          </w:tcPr>
          <w:p>
            <w:pPr>
              <w:ind w:left="480"/>
              <w:spacing w:after="0"/>
              <w:rPr>
                <w:sz w:val="20"/>
                <w:szCs w:val="20"/>
                <w:color w:val="auto"/>
              </w:rPr>
            </w:pPr>
            <w:r>
              <w:rPr>
                <w:rFonts w:ascii="Arial" w:cs="Arial" w:eastAsia="Arial" w:hAnsi="Arial"/>
                <w:sz w:val="18"/>
                <w:szCs w:val="18"/>
                <w:color w:val="auto"/>
              </w:rPr>
              <w:t>[ ]</w:t>
            </w:r>
          </w:p>
        </w:tc>
        <w:tc>
          <w:tcPr>
            <w:tcW w:w="3160" w:type="dxa"/>
            <w:vAlign w:val="bottom"/>
          </w:tcPr>
          <w:p>
            <w:pPr>
              <w:ind w:left="320"/>
              <w:spacing w:after="0"/>
              <w:rPr>
                <w:sz w:val="20"/>
                <w:szCs w:val="20"/>
                <w:color w:val="auto"/>
              </w:rPr>
            </w:pPr>
            <w:r>
              <w:rPr>
                <w:rFonts w:ascii="Arial" w:cs="Arial" w:eastAsia="Arial" w:hAnsi="Arial"/>
                <w:sz w:val="18"/>
                <w:szCs w:val="18"/>
                <w:color w:val="auto"/>
              </w:rPr>
              <w:t>Accelerated Filer</w:t>
            </w:r>
          </w:p>
        </w:tc>
        <w:tc>
          <w:tcPr>
            <w:tcW w:w="1000" w:type="dxa"/>
            <w:vAlign w:val="bottom"/>
          </w:tcPr>
          <w:p>
            <w:pPr>
              <w:ind w:left="760"/>
              <w:spacing w:after="0"/>
              <w:rPr>
                <w:sz w:val="20"/>
                <w:szCs w:val="20"/>
                <w:color w:val="auto"/>
              </w:rPr>
            </w:pPr>
            <w:r>
              <w:rPr>
                <w:rFonts w:ascii="Arial" w:cs="Arial" w:eastAsia="Arial" w:hAnsi="Arial"/>
                <w:sz w:val="18"/>
                <w:szCs w:val="18"/>
                <w:color w:val="auto"/>
              </w:rPr>
              <w:t>[ ]</w:t>
            </w:r>
          </w:p>
        </w:tc>
      </w:tr>
      <w:tr>
        <w:trPr>
          <w:trHeight w:val="216"/>
        </w:trPr>
        <w:tc>
          <w:tcPr>
            <w:tcW w:w="2180" w:type="dxa"/>
            <w:vAlign w:val="bottom"/>
          </w:tcPr>
          <w:p>
            <w:pPr>
              <w:jc w:val="center"/>
              <w:ind w:right="390"/>
              <w:spacing w:after="0"/>
              <w:rPr>
                <w:sz w:val="20"/>
                <w:szCs w:val="20"/>
                <w:color w:val="auto"/>
              </w:rPr>
            </w:pPr>
            <w:r>
              <w:rPr>
                <w:rFonts w:ascii="Arial" w:cs="Arial" w:eastAsia="Arial" w:hAnsi="Arial"/>
                <w:sz w:val="18"/>
                <w:szCs w:val="18"/>
                <w:color w:val="auto"/>
                <w:w w:val="93"/>
              </w:rPr>
              <w:t>Non-Accelerated Filer</w:t>
            </w:r>
          </w:p>
        </w:tc>
        <w:tc>
          <w:tcPr>
            <w:tcW w:w="1040" w:type="dxa"/>
            <w:vAlign w:val="bottom"/>
          </w:tcPr>
          <w:p>
            <w:pPr>
              <w:ind w:left="480"/>
              <w:spacing w:after="0"/>
              <w:rPr>
                <w:sz w:val="20"/>
                <w:szCs w:val="20"/>
                <w:color w:val="auto"/>
              </w:rPr>
            </w:pPr>
            <w:r>
              <w:rPr>
                <w:rFonts w:ascii="Arial" w:cs="Arial" w:eastAsia="Arial" w:hAnsi="Arial"/>
                <w:sz w:val="18"/>
                <w:szCs w:val="18"/>
                <w:color w:val="auto"/>
              </w:rPr>
              <w:t>[X]</w:t>
            </w:r>
          </w:p>
        </w:tc>
        <w:tc>
          <w:tcPr>
            <w:tcW w:w="3160" w:type="dxa"/>
            <w:vAlign w:val="bottom"/>
          </w:tcPr>
          <w:p>
            <w:pPr>
              <w:ind w:left="320"/>
              <w:spacing w:after="0"/>
              <w:rPr>
                <w:sz w:val="20"/>
                <w:szCs w:val="20"/>
                <w:color w:val="auto"/>
              </w:rPr>
            </w:pPr>
            <w:r>
              <w:rPr>
                <w:rFonts w:ascii="Arial" w:cs="Arial" w:eastAsia="Arial" w:hAnsi="Arial"/>
                <w:sz w:val="18"/>
                <w:szCs w:val="18"/>
                <w:color w:val="auto"/>
              </w:rPr>
              <w:t>Smaller Reporting Company</w:t>
            </w:r>
          </w:p>
        </w:tc>
        <w:tc>
          <w:tcPr>
            <w:tcW w:w="1000" w:type="dxa"/>
            <w:vAlign w:val="bottom"/>
          </w:tcPr>
          <w:p>
            <w:pPr>
              <w:ind w:left="760"/>
              <w:spacing w:after="0"/>
              <w:rPr>
                <w:sz w:val="20"/>
                <w:szCs w:val="20"/>
                <w:color w:val="auto"/>
              </w:rPr>
            </w:pPr>
            <w:r>
              <w:rPr>
                <w:rFonts w:ascii="Arial" w:cs="Arial" w:eastAsia="Arial" w:hAnsi="Arial"/>
                <w:sz w:val="18"/>
                <w:szCs w:val="18"/>
                <w:color w:val="auto"/>
                <w:w w:val="99"/>
              </w:rPr>
              <w:t>[X]</w:t>
            </w:r>
          </w:p>
        </w:tc>
      </w:tr>
      <w:tr>
        <w:trPr>
          <w:trHeight w:val="230"/>
        </w:trPr>
        <w:tc>
          <w:tcPr>
            <w:tcW w:w="2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160" w:type="dxa"/>
            <w:vAlign w:val="bottom"/>
          </w:tcPr>
          <w:p>
            <w:pPr>
              <w:ind w:left="320"/>
              <w:spacing w:after="0"/>
              <w:rPr>
                <w:sz w:val="20"/>
                <w:szCs w:val="20"/>
                <w:color w:val="auto"/>
              </w:rPr>
            </w:pPr>
            <w:r>
              <w:rPr>
                <w:rFonts w:ascii="Arial" w:cs="Arial" w:eastAsia="Arial" w:hAnsi="Arial"/>
                <w:sz w:val="18"/>
                <w:szCs w:val="18"/>
                <w:color w:val="auto"/>
              </w:rPr>
              <w:t>Emerging Growth Company</w:t>
            </w:r>
          </w:p>
        </w:tc>
        <w:tc>
          <w:tcPr>
            <w:tcW w:w="1000" w:type="dxa"/>
            <w:vAlign w:val="bottom"/>
          </w:tcPr>
          <w:p>
            <w:pPr>
              <w:ind w:left="760"/>
              <w:spacing w:after="0"/>
              <w:rPr>
                <w:sz w:val="20"/>
                <w:szCs w:val="20"/>
                <w:color w:val="auto"/>
              </w:rPr>
            </w:pPr>
            <w:r>
              <w:rPr>
                <w:rFonts w:ascii="Arial" w:cs="Arial" w:eastAsia="Arial" w:hAnsi="Arial"/>
                <w:sz w:val="18"/>
                <w:szCs w:val="18"/>
                <w:color w:val="auto"/>
              </w:rPr>
              <w:t>[ ]</w:t>
            </w:r>
          </w:p>
        </w:tc>
      </w:tr>
    </w:tbl>
    <w:p>
      <w:pPr>
        <w:sectPr>
          <w:pgSz w:w="11900" w:h="16838" w:orient="portrait"/>
          <w:cols w:equalWidth="0" w:num="1">
            <w:col w:w="11240"/>
          </w:cols>
          <w:pgMar w:left="320" w:top="445" w:right="339"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00" w:type="dxa"/>
            <w:vAlign w:val="bottom"/>
            <w:gridSpan w:val="8"/>
          </w:tcPr>
          <w:p>
            <w:pPr>
              <w:jc w:val="right"/>
              <w:ind w:right="1490"/>
              <w:spacing w:after="0"/>
              <w:rPr>
                <w:sz w:val="20"/>
                <w:szCs w:val="20"/>
                <w:color w:val="auto"/>
              </w:rPr>
            </w:pPr>
            <w:r>
              <w:rPr>
                <w:rFonts w:ascii="Arial" w:cs="Arial" w:eastAsia="Arial" w:hAnsi="Arial"/>
                <w:sz w:val="18"/>
                <w:szCs w:val="18"/>
                <w:b w:val="1"/>
                <w:bCs w:val="1"/>
                <w:color w:val="auto"/>
              </w:rPr>
              <w:t>CALCULATION OF REGISTRATION FEE</w:t>
            </w: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center"/>
              <w:ind w:left="10"/>
              <w:spacing w:after="0"/>
              <w:rPr>
                <w:sz w:val="20"/>
                <w:szCs w:val="20"/>
                <w:color w:val="auto"/>
              </w:rPr>
            </w:pPr>
            <w:r>
              <w:rPr>
                <w:rFonts w:ascii="Arial" w:cs="Arial" w:eastAsia="Arial" w:hAnsi="Arial"/>
                <w:sz w:val="18"/>
                <w:szCs w:val="18"/>
                <w:b w:val="1"/>
                <w:bCs w:val="1"/>
                <w:color w:val="auto"/>
                <w:w w:val="91"/>
              </w:rPr>
              <w:t>Proposed Maximum</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1"/>
              </w:rPr>
              <w:t>Proposed Maximum</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1"/>
              </w:rPr>
              <w:t>Amount of</w:t>
            </w:r>
          </w:p>
        </w:tc>
        <w:tc>
          <w:tcPr>
            <w:tcW w:w="0" w:type="dxa"/>
            <w:vAlign w:val="bottom"/>
          </w:tcPr>
          <w:p>
            <w:pPr>
              <w:spacing w:after="0"/>
              <w:rPr>
                <w:sz w:val="1"/>
                <w:szCs w:val="1"/>
                <w:color w:val="auto"/>
              </w:rPr>
            </w:pPr>
          </w:p>
        </w:tc>
      </w:tr>
      <w:tr>
        <w:trPr>
          <w:trHeight w:val="180"/>
        </w:trPr>
        <w:tc>
          <w:tcPr>
            <w:tcW w:w="3340" w:type="dxa"/>
            <w:vAlign w:val="bottom"/>
            <w:gridSpan w:val="2"/>
          </w:tcPr>
          <w:p>
            <w:pPr>
              <w:ind w:left="200"/>
              <w:spacing w:after="0" w:line="181" w:lineRule="exact"/>
              <w:rPr>
                <w:sz w:val="20"/>
                <w:szCs w:val="20"/>
                <w:color w:val="auto"/>
              </w:rPr>
            </w:pPr>
            <w:r>
              <w:rPr>
                <w:rFonts w:ascii="Arial" w:cs="Arial" w:eastAsia="Arial" w:hAnsi="Arial"/>
                <w:sz w:val="18"/>
                <w:szCs w:val="18"/>
                <w:b w:val="1"/>
                <w:bCs w:val="1"/>
                <w:color w:val="auto"/>
                <w:w w:val="97"/>
              </w:rPr>
              <w:t>Title of Each Class of Securities to be</w:t>
            </w:r>
          </w:p>
        </w:tc>
        <w:tc>
          <w:tcPr>
            <w:tcW w:w="11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1"/>
              </w:rPr>
              <w:t>Amount to be</w:t>
            </w:r>
          </w:p>
        </w:tc>
        <w:tc>
          <w:tcPr>
            <w:tcW w:w="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80" w:type="dxa"/>
            <w:vAlign w:val="bottom"/>
          </w:tcPr>
          <w:p>
            <w:pPr>
              <w:jc w:val="center"/>
              <w:spacing w:after="0" w:line="181" w:lineRule="exact"/>
              <w:rPr>
                <w:sz w:val="20"/>
                <w:szCs w:val="20"/>
                <w:color w:val="auto"/>
              </w:rPr>
            </w:pPr>
            <w:r>
              <w:rPr>
                <w:rFonts w:ascii="Arial" w:cs="Arial" w:eastAsia="Arial" w:hAnsi="Arial"/>
                <w:sz w:val="18"/>
                <w:szCs w:val="18"/>
                <w:b w:val="1"/>
                <w:bCs w:val="1"/>
                <w:color w:val="auto"/>
                <w:w w:val="92"/>
              </w:rPr>
              <w:t>Offering Price Per</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760" w:type="dxa"/>
            <w:vAlign w:val="bottom"/>
          </w:tcPr>
          <w:p>
            <w:pPr>
              <w:jc w:val="center"/>
              <w:ind w:right="30"/>
              <w:spacing w:after="0" w:line="181" w:lineRule="exact"/>
              <w:rPr>
                <w:sz w:val="20"/>
                <w:szCs w:val="20"/>
                <w:color w:val="auto"/>
              </w:rPr>
            </w:pPr>
            <w:r>
              <w:rPr>
                <w:rFonts w:ascii="Arial" w:cs="Arial" w:eastAsia="Arial" w:hAnsi="Arial"/>
                <w:sz w:val="18"/>
                <w:szCs w:val="18"/>
                <w:b w:val="1"/>
                <w:bCs w:val="1"/>
                <w:color w:val="auto"/>
                <w:w w:val="90"/>
              </w:rPr>
              <w:t>Aggregate Offering</w:t>
            </w: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3340" w:type="dxa"/>
            <w:vAlign w:val="bottom"/>
            <w:gridSpan w:val="2"/>
          </w:tcPr>
          <w:p>
            <w:pPr>
              <w:ind w:left="1220"/>
              <w:spacing w:after="0"/>
              <w:rPr>
                <w:sz w:val="20"/>
                <w:szCs w:val="20"/>
                <w:color w:val="auto"/>
              </w:rPr>
            </w:pPr>
            <w:r>
              <w:rPr>
                <w:rFonts w:ascii="Arial" w:cs="Arial" w:eastAsia="Arial" w:hAnsi="Arial"/>
                <w:sz w:val="18"/>
                <w:szCs w:val="18"/>
                <w:b w:val="1"/>
                <w:bCs w:val="1"/>
                <w:color w:val="auto"/>
              </w:rPr>
              <w:t>Registered</w:t>
            </w:r>
          </w:p>
        </w:tc>
        <w:tc>
          <w:tcPr>
            <w:tcW w:w="1180" w:type="dxa"/>
            <w:vAlign w:val="bottom"/>
          </w:tcPr>
          <w:p>
            <w:pPr>
              <w:jc w:val="center"/>
              <w:spacing w:after="0"/>
              <w:rPr>
                <w:sz w:val="20"/>
                <w:szCs w:val="20"/>
                <w:color w:val="auto"/>
              </w:rPr>
            </w:pPr>
            <w:r>
              <w:rPr>
                <w:rFonts w:ascii="Arial" w:cs="Arial" w:eastAsia="Arial" w:hAnsi="Arial"/>
                <w:sz w:val="18"/>
                <w:szCs w:val="18"/>
                <w:b w:val="1"/>
                <w:bCs w:val="1"/>
                <w:color w:val="auto"/>
                <w:w w:val="88"/>
              </w:rPr>
              <w:t>Registered</w:t>
            </w:r>
          </w:p>
        </w:tc>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w w:val="91"/>
              </w:rPr>
              <w:t>Share</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6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Price</w:t>
            </w: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40" w:type="dxa"/>
            <w:vAlign w:val="bottom"/>
            <w:gridSpan w:val="2"/>
          </w:tcPr>
          <w:p>
            <w:pPr>
              <w:jc w:val="center"/>
              <w:ind w:right="240"/>
              <w:spacing w:after="0" w:line="270" w:lineRule="exact"/>
              <w:rPr>
                <w:sz w:val="20"/>
                <w:szCs w:val="20"/>
                <w:color w:val="auto"/>
              </w:rPr>
            </w:pPr>
            <w:r>
              <w:rPr>
                <w:rFonts w:ascii="Arial" w:cs="Arial" w:eastAsia="Arial" w:hAnsi="Arial"/>
                <w:sz w:val="18"/>
                <w:szCs w:val="18"/>
                <w:b w:val="1"/>
                <w:bCs w:val="1"/>
                <w:color w:val="auto"/>
                <w:w w:val="87"/>
              </w:rPr>
              <w:t>Registration Fee</w:t>
            </w:r>
            <w:r>
              <w:rPr>
                <w:rFonts w:ascii="Arial" w:cs="Arial" w:eastAsia="Arial" w:hAnsi="Arial"/>
                <w:sz w:val="29"/>
                <w:szCs w:val="29"/>
                <w:b w:val="1"/>
                <w:bCs w:val="1"/>
                <w:color w:val="auto"/>
                <w:w w:val="87"/>
                <w:vertAlign w:val="superscript"/>
              </w:rPr>
              <w:t>(1)</w:t>
            </w:r>
          </w:p>
        </w:tc>
        <w:tc>
          <w:tcPr>
            <w:tcW w:w="0" w:type="dxa"/>
            <w:vAlign w:val="bottom"/>
          </w:tcPr>
          <w:p>
            <w:pPr>
              <w:spacing w:after="0"/>
              <w:rPr>
                <w:sz w:val="1"/>
                <w:szCs w:val="1"/>
                <w:color w:val="auto"/>
              </w:rPr>
            </w:pPr>
          </w:p>
        </w:tc>
      </w:tr>
      <w:tr>
        <w:trPr>
          <w:trHeight w:val="216"/>
        </w:trPr>
        <w:tc>
          <w:tcPr>
            <w:tcW w:w="3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Common Stock, $0.01 par value</w:t>
            </w:r>
          </w:p>
        </w:tc>
        <w:tc>
          <w:tcPr>
            <w:tcW w:w="100" w:type="dxa"/>
            <w:vAlign w:val="bottom"/>
            <w:tcBorders>
              <w:top w:val="single" w:sz="8" w:color="CCEEFF"/>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(2)</w:t>
            </w:r>
          </w:p>
        </w:tc>
        <w:tc>
          <w:tcPr>
            <w:tcW w:w="17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(3)</w:t>
            </w:r>
          </w:p>
        </w:tc>
        <w:tc>
          <w:tcPr>
            <w:tcW w:w="12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14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Preferred Stock, $0.01 par value</w:t>
            </w:r>
          </w:p>
        </w:tc>
        <w:tc>
          <w:tcPr>
            <w:tcW w:w="11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(2)</w:t>
            </w:r>
          </w:p>
        </w:tc>
        <w:tc>
          <w:tcPr>
            <w:tcW w:w="178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14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w:t>
            </w:r>
          </w:p>
        </w:tc>
        <w:tc>
          <w:tcPr>
            <w:tcW w:w="1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Debt Securities</w:t>
            </w:r>
          </w:p>
        </w:tc>
        <w:tc>
          <w:tcPr>
            <w:tcW w:w="11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(2)</w:t>
            </w:r>
          </w:p>
        </w:tc>
        <w:tc>
          <w:tcPr>
            <w:tcW w:w="178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14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Rights</w:t>
            </w:r>
          </w:p>
        </w:tc>
        <w:tc>
          <w:tcPr>
            <w:tcW w:w="118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w w:val="99"/>
              </w:rPr>
              <w:t>(2)</w:t>
            </w:r>
          </w:p>
        </w:tc>
        <w:tc>
          <w:tcPr>
            <w:tcW w:w="1780" w:type="dxa"/>
            <w:vAlign w:val="bottom"/>
            <w:shd w:val="clear" w:color="auto" w:fill="CCEEFF"/>
          </w:tcPr>
          <w:p>
            <w:pPr>
              <w:spacing w:after="0"/>
              <w:rPr>
                <w:sz w:val="18"/>
                <w:szCs w:val="18"/>
                <w:color w:val="auto"/>
              </w:rPr>
            </w:pPr>
          </w:p>
        </w:tc>
        <w:tc>
          <w:tcPr>
            <w:tcW w:w="4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81"/>
              </w:rPr>
              <w:t>(3)</w:t>
            </w:r>
          </w:p>
        </w:tc>
        <w:tc>
          <w:tcPr>
            <w:tcW w:w="14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tcPr>
          <w:p>
            <w:pPr>
              <w:spacing w:after="0"/>
              <w:rPr>
                <w:sz w:val="20"/>
                <w:szCs w:val="20"/>
                <w:color w:val="auto"/>
              </w:rPr>
            </w:pPr>
            <w:r>
              <w:rPr>
                <w:rFonts w:ascii="Arial" w:cs="Arial" w:eastAsia="Arial" w:hAnsi="Arial"/>
                <w:sz w:val="18"/>
                <w:szCs w:val="18"/>
                <w:color w:val="auto"/>
              </w:rPr>
              <w:t>Units</w:t>
            </w:r>
          </w:p>
        </w:tc>
        <w:tc>
          <w:tcPr>
            <w:tcW w:w="1180" w:type="dxa"/>
            <w:vAlign w:val="bottom"/>
          </w:tcPr>
          <w:p>
            <w:pPr>
              <w:spacing w:after="0"/>
              <w:rPr>
                <w:sz w:val="18"/>
                <w:szCs w:val="18"/>
                <w:color w:val="auto"/>
              </w:rPr>
            </w:pPr>
          </w:p>
        </w:tc>
        <w:tc>
          <w:tcPr>
            <w:tcW w:w="360" w:type="dxa"/>
            <w:vAlign w:val="bottom"/>
            <w:gridSpan w:val="2"/>
          </w:tcPr>
          <w:p>
            <w:pPr>
              <w:jc w:val="right"/>
              <w:ind w:right="30"/>
              <w:spacing w:after="0"/>
              <w:rPr>
                <w:sz w:val="20"/>
                <w:szCs w:val="20"/>
                <w:color w:val="auto"/>
              </w:rPr>
            </w:pPr>
            <w:r>
              <w:rPr>
                <w:rFonts w:ascii="Arial" w:cs="Arial" w:eastAsia="Arial" w:hAnsi="Arial"/>
                <w:sz w:val="18"/>
                <w:szCs w:val="18"/>
                <w:color w:val="auto"/>
                <w:w w:val="99"/>
              </w:rPr>
              <w:t>(2)</w:t>
            </w:r>
          </w:p>
        </w:tc>
        <w:tc>
          <w:tcPr>
            <w:tcW w:w="1780" w:type="dxa"/>
            <w:vAlign w:val="bottom"/>
          </w:tcPr>
          <w:p>
            <w:pPr>
              <w:spacing w:after="0"/>
              <w:rPr>
                <w:sz w:val="18"/>
                <w:szCs w:val="18"/>
                <w:color w:val="auto"/>
              </w:rPr>
            </w:pPr>
          </w:p>
        </w:tc>
        <w:tc>
          <w:tcPr>
            <w:tcW w:w="400" w:type="dxa"/>
            <w:vAlign w:val="bottom"/>
            <w:gridSpan w:val="2"/>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140" w:type="dxa"/>
            <w:vAlign w:val="bottom"/>
          </w:tcPr>
          <w:p>
            <w:pPr>
              <w:spacing w:after="0"/>
              <w:rPr>
                <w:sz w:val="18"/>
                <w:szCs w:val="18"/>
                <w:color w:val="auto"/>
              </w:rPr>
            </w:pPr>
          </w:p>
        </w:tc>
        <w:tc>
          <w:tcPr>
            <w:tcW w:w="1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80" w:type="dxa"/>
            <w:vAlign w:val="bottom"/>
            <w:shd w:val="clear" w:color="auto" w:fill="CCEEFF"/>
          </w:tcPr>
          <w:p>
            <w:pPr>
              <w:spacing w:after="0"/>
              <w:rPr>
                <w:sz w:val="18"/>
                <w:szCs w:val="18"/>
                <w:color w:val="auto"/>
              </w:rPr>
            </w:pP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75,000,000</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8,182.50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40" w:hanging="332"/>
        <w:spacing w:after="0"/>
        <w:tabs>
          <w:tab w:leader="none" w:pos="340" w:val="left"/>
        </w:tabs>
        <w:numPr>
          <w:ilvl w:val="0"/>
          <w:numId w:val="1"/>
        </w:numPr>
        <w:rPr>
          <w:rFonts w:ascii="Arial" w:cs="Arial" w:eastAsia="Arial" w:hAnsi="Arial"/>
          <w:sz w:val="17"/>
          <w:szCs w:val="17"/>
          <w:color w:val="auto"/>
        </w:rPr>
      </w:pPr>
      <w:r>
        <w:rPr>
          <w:rFonts w:ascii="Arial" w:cs="Arial" w:eastAsia="Arial" w:hAnsi="Arial"/>
          <w:sz w:val="17"/>
          <w:szCs w:val="17"/>
          <w:color w:val="auto"/>
        </w:rPr>
        <w:t>Calculated pursuant to Rule 457(o) under the Securities Act of 1933, as amended, based on the proposed maximum aggregate offering price.</w:t>
      </w:r>
    </w:p>
    <w:p>
      <w:pPr>
        <w:spacing w:after="0" w:line="236" w:lineRule="exact"/>
        <w:rPr>
          <w:rFonts w:ascii="Arial" w:cs="Arial" w:eastAsia="Arial" w:hAnsi="Arial"/>
          <w:sz w:val="17"/>
          <w:szCs w:val="17"/>
          <w:color w:val="auto"/>
        </w:rPr>
      </w:pPr>
    </w:p>
    <w:p>
      <w:pPr>
        <w:jc w:val="both"/>
        <w:ind w:left="340" w:hanging="332"/>
        <w:spacing w:after="0" w:line="287" w:lineRule="auto"/>
        <w:tabs>
          <w:tab w:leader="none" w:pos="34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There are being registered hereunder such indeterminate number of shares of common stock and preferred stock, such indeterminate principal amount of debt securities, such indeterminate number of warrants and rights to purchase common stock, preferred stock or debt securities, and such indeterminate number of units, as shall have an aggregate initial offering price not to exceed $75,000,000. If any debt securities are issued at an original issue discount, then the offering price of such debt securities shall be in such greater principal amount as shall result in an aggregate initial offering price not to exceed $75,000,000, less the aggregate dollar amount of all securities previously issued hereunder. Any securities registered hereunder may be sold separately or as units with other securities registered hereunder. The proposed maximum initial offering price per unit will be determined, from time to time, by the registrant in connection with the issuance by the registrant of the securities registered hereunder. The securities registered also include such indeterminate number of shares of common stock and preferred stock and amount of debt securities as may be issued upon conversion of or exchange for preferred stock or debt securities that provide for conversion or exchange, upon exercise of warrants or rights or pursuant to the anti-dilution provisions of any such securities. In addition, pursuant to Rule 416 under the Securities Act of 1933, as amended, the shares being registered hereunder include such indeterminate number of shares of common stock and preferred stock as may be issuable with respect to the shares being registered hereunder as a result of stock splits, stock dividends or similar transactions.</w:t>
      </w:r>
    </w:p>
    <w:p>
      <w:pPr>
        <w:spacing w:after="0" w:line="167" w:lineRule="exact"/>
        <w:rPr>
          <w:rFonts w:ascii="Arial" w:cs="Arial" w:eastAsia="Arial" w:hAnsi="Arial"/>
          <w:sz w:val="16"/>
          <w:szCs w:val="16"/>
          <w:color w:val="auto"/>
        </w:rPr>
      </w:pPr>
    </w:p>
    <w:p>
      <w:pPr>
        <w:jc w:val="both"/>
        <w:ind w:left="340" w:hanging="332"/>
        <w:spacing w:after="0" w:line="263" w:lineRule="auto"/>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proposed maximum aggregate offering price per class of security will be determined from time to time by the registrant in connection with the issuance by the registrant of the securities registered hereunder and is not specified as to each class of security pursuant to General Instruction II.D. of Form S-3 under the Securities Act of 1933, as amended.</w:t>
      </w:r>
    </w:p>
    <w:p>
      <w:pPr>
        <w:spacing w:after="0" w:line="180" w:lineRule="exact"/>
        <w:rPr>
          <w:sz w:val="20"/>
          <w:szCs w:val="20"/>
          <w:color w:val="auto"/>
        </w:rPr>
      </w:pPr>
    </w:p>
    <w:p>
      <w:pPr>
        <w:jc w:val="both"/>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128270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153670</wp:posOffset>
            </wp:positionV>
            <wp:extent cx="7132320" cy="431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471170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 w:name="page3"/>
    <w:bookmarkEnd w:id="2"/>
    <w:p>
      <w:pPr>
        <w:jc w:val="both"/>
        <w:spacing w:after="0" w:line="261" w:lineRule="auto"/>
        <w:rPr>
          <w:sz w:val="20"/>
          <w:szCs w:val="20"/>
          <w:color w:val="auto"/>
        </w:rPr>
      </w:pPr>
      <w:r>
        <w:rPr>
          <w:rFonts w:ascii="Arial" w:cs="Arial" w:eastAsia="Arial" w:hAnsi="Arial"/>
          <w:sz w:val="18"/>
          <w:szCs w:val="18"/>
          <w:b w:val="1"/>
          <w:bCs w:val="1"/>
          <w:color w:val="FF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JURISDICTION WHERE THE OFFER OR SALE IS NOT PERMITTED.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FF0000"/>
        </w:rPr>
        <w:t>SUBJECT TO COMPLETION, DATED NOVEMBER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154305</wp:posOffset>
            </wp:positionV>
            <wp:extent cx="3128645" cy="15690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128645" cy="15690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Preferred Stock</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Debt Securities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Units</w:t>
      </w:r>
    </w:p>
    <w:p>
      <w:pPr>
        <w:spacing w:after="0" w:line="21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will allow us to issue, from time to time at prices and on terms to be determined at or prior to the time of the offering, up to $75,000,000 of any combination of the securities described in this prospectus, either individually or in units. We may also offer common stock or preferred stock upon conversion of or exchange for the debt securities; common stock upon conversion of or exchange for the preferred stock; or common stock, preferred stock or debt securities upon the exercise of warrants or rights.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This prospectus describes the general terms of these securities and the general manner in which these securities will be offered. We will provide you with the specific terms of any offering in one or more supplements to this prospectus. The prospectus supplements will also describe the specific manner in which these securities will be offered and may also supplement, update or amend information contained in this document. You should read this prospectus and any prospectus supplement, as well as any documents incorporated by reference into this prospectus or any prospectus supplement, carefully before you invest.</w:t>
      </w:r>
    </w:p>
    <w:p>
      <w:pPr>
        <w:spacing w:after="0" w:line="18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Our securities may be sold directly by us to you, through agents designated from time to time or to or through underwriters or dealers. For additional information on the methods of sale, you should refer to the section entitled “Plan of Distribution” in this prospectus and in the applicable prospectus supplement. If any underwriters or agents are involved in the sale of our securities with respect to which this prospectus is being delivered, the names of such underwriters or agents and any applicable fees, commissions or discounts and over-allotment options will be set forth in a prospectus supplement. The price to the public of such securities and the net proceeds that we expect to receive from such sale will also be set forth in a prospectus supplement.</w:t>
      </w:r>
    </w:p>
    <w:p>
      <w:pPr>
        <w:spacing w:after="0" w:line="19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Our common stock is listed on The Nasdaq Capital Market under the symbol “MBOT.” On November 24, 2020, the last reported sale price of our common stock on The Nasdaq Capital Market was $7.25 per share. The applicable prospectus supplement will contain information, where applicable, as to any other listing, if any, on The Nasdaq Capital Market or any securities market or other securities exchange of the securities covered by the prospectus supplement. Prospective purchasers of our securities are urged to obtain current information as to the market prices of our securities, where applicable.</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Investing in our securities involves a high degree of risk. Before deciding whether to invest in our securities, you should consider carefully the risks that we have described on page 4 of this prospectus under the caption “Risk Factors.” We may include specific risk factors in supplements to this prospectus under the caption “Risk Factors.” This prospectus may not be used to sell our securities unless accompanied by a prospectus supplement.</w:t>
      </w:r>
    </w:p>
    <w:p>
      <w:pPr>
        <w:spacing w:after="0" w:line="18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20" w:type="dxa"/>
            <w:vAlign w:val="bottom"/>
          </w:tcPr>
          <w:p>
            <w:pPr>
              <w:ind w:left="3960"/>
              <w:spacing w:after="0"/>
              <w:rPr>
                <w:sz w:val="20"/>
                <w:szCs w:val="20"/>
                <w:color w:val="auto"/>
              </w:rPr>
            </w:pPr>
            <w:r>
              <w:rPr>
                <w:rFonts w:ascii="Arial" w:cs="Arial" w:eastAsia="Arial" w:hAnsi="Arial"/>
                <w:sz w:val="18"/>
                <w:szCs w:val="18"/>
                <w:color w:val="auto"/>
              </w:rPr>
              <w:t>The date of this prospectus is</w:t>
            </w:r>
          </w:p>
        </w:tc>
        <w:tc>
          <w:tcPr>
            <w:tcW w:w="4820" w:type="dxa"/>
            <w:vAlign w:val="bottom"/>
          </w:tcPr>
          <w:p>
            <w:pPr>
              <w:jc w:val="right"/>
              <w:ind w:right="3870"/>
              <w:spacing w:after="0"/>
              <w:rPr>
                <w:sz w:val="20"/>
                <w:szCs w:val="20"/>
                <w:color w:val="auto"/>
              </w:rPr>
            </w:pPr>
            <w:r>
              <w:rPr>
                <w:rFonts w:ascii="Arial" w:cs="Arial" w:eastAsia="Arial" w:hAnsi="Arial"/>
                <w:sz w:val="18"/>
                <w:szCs w:val="18"/>
                <w:color w:val="auto"/>
              </w:rPr>
              <w:t>, 2020.</w:t>
            </w:r>
          </w:p>
        </w:tc>
      </w:tr>
      <w:tr>
        <w:trPr>
          <w:trHeight w:val="439"/>
        </w:trPr>
        <w:tc>
          <w:tcPr>
            <w:tcW w:w="6420" w:type="dxa"/>
            <w:vAlign w:val="bottom"/>
            <w:tcBorders>
              <w:bottom w:val="single" w:sz="8" w:color="auto"/>
            </w:tcBorders>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 w:name="page4"/>
    <w:bookmarkEnd w:id="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600" w:type="dxa"/>
            <w:vAlign w:val="bottom"/>
            <w:gridSpan w:val="3"/>
          </w:tcPr>
          <w:p>
            <w:pPr>
              <w:ind w:left="4660"/>
              <w:spacing w:after="0"/>
              <w:rPr>
                <w:sz w:val="20"/>
                <w:szCs w:val="20"/>
                <w:color w:val="auto"/>
              </w:rPr>
            </w:pPr>
            <w:r>
              <w:rPr>
                <w:rFonts w:ascii="Arial" w:cs="Arial" w:eastAsia="Arial" w:hAnsi="Arial"/>
                <w:sz w:val="18"/>
                <w:szCs w:val="18"/>
                <w:b w:val="1"/>
                <w:bCs w:val="1"/>
                <w:color w:val="auto"/>
              </w:rPr>
              <w:t>TABLE OF CONTENTS</w:t>
            </w:r>
          </w:p>
        </w:tc>
        <w:tc>
          <w:tcPr>
            <w:tcW w:w="640" w:type="dxa"/>
            <w:vAlign w:val="bottom"/>
          </w:tcPr>
          <w:p>
            <w:pPr>
              <w:spacing w:after="0"/>
              <w:rPr>
                <w:sz w:val="17"/>
                <w:szCs w:val="17"/>
                <w:color w:val="auto"/>
              </w:rPr>
            </w:pPr>
          </w:p>
        </w:tc>
      </w:tr>
      <w:tr>
        <w:trPr>
          <w:trHeight w:val="473"/>
        </w:trPr>
        <w:tc>
          <w:tcPr>
            <w:tcW w:w="4660" w:type="dxa"/>
            <w:vAlign w:val="bottom"/>
            <w:tcBorders>
              <w:bottom w:val="single" w:sz="8" w:color="CCEEFF"/>
            </w:tcBorders>
          </w:tcPr>
          <w:p>
            <w:pPr>
              <w:spacing w:after="0"/>
              <w:rPr>
                <w:sz w:val="24"/>
                <w:szCs w:val="24"/>
                <w:color w:val="auto"/>
              </w:rPr>
            </w:pPr>
          </w:p>
        </w:tc>
        <w:tc>
          <w:tcPr>
            <w:tcW w:w="1920" w:type="dxa"/>
            <w:vAlign w:val="bottom"/>
            <w:tcBorders>
              <w:top w:val="single" w:sz="8" w:color="auto"/>
              <w:bottom w:val="single" w:sz="8" w:color="CCEEFF"/>
            </w:tcBorders>
          </w:tcPr>
          <w:p>
            <w:pPr>
              <w:spacing w:after="0"/>
              <w:rPr>
                <w:sz w:val="24"/>
                <w:szCs w:val="24"/>
                <w:color w:val="auto"/>
              </w:rPr>
            </w:pPr>
          </w:p>
        </w:tc>
        <w:tc>
          <w:tcPr>
            <w:tcW w:w="4020" w:type="dxa"/>
            <w:vAlign w:val="bottom"/>
            <w:tcBorders>
              <w:bottom w:val="single" w:sz="8" w:color="CCEEFF"/>
            </w:tcBorders>
          </w:tcPr>
          <w:p>
            <w:pPr>
              <w:spacing w:after="0"/>
              <w:rPr>
                <w:sz w:val="24"/>
                <w:szCs w:val="24"/>
                <w:color w:val="auto"/>
              </w:rPr>
            </w:pPr>
          </w:p>
        </w:tc>
        <w:tc>
          <w:tcPr>
            <w:tcW w:w="640" w:type="dxa"/>
            <w:vAlign w:val="bottom"/>
            <w:tcBorders>
              <w:bottom w:val="single" w:sz="8" w:color="auto"/>
            </w:tcBorders>
          </w:tcPr>
          <w:p>
            <w:pPr>
              <w:ind w:left="100"/>
              <w:spacing w:after="0"/>
              <w:rPr>
                <w:sz w:val="20"/>
                <w:szCs w:val="20"/>
                <w:color w:val="auto"/>
              </w:rPr>
            </w:pPr>
            <w:r>
              <w:rPr>
                <w:rFonts w:ascii="Arial" w:cs="Arial" w:eastAsia="Arial" w:hAnsi="Arial"/>
                <w:sz w:val="18"/>
                <w:szCs w:val="18"/>
                <w:b w:val="1"/>
                <w:bCs w:val="1"/>
                <w:color w:val="auto"/>
                <w:w w:val="97"/>
              </w:rPr>
              <w:t>Pages</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PROSPECTUS SUMMARY</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8">
              <w:r>
                <w:rPr>
                  <w:rFonts w:ascii="Arial" w:cs="Arial" w:eastAsia="Arial" w:hAnsi="Arial"/>
                  <w:sz w:val="18"/>
                  <w:szCs w:val="18"/>
                  <w:b w:val="1"/>
                  <w:bCs w:val="1"/>
                  <w:u w:val="single" w:color="auto"/>
                  <w:color w:val="0000EE"/>
                </w:rPr>
                <w:t>RISK FACTORS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4</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9">
              <w:r>
                <w:rPr>
                  <w:rFonts w:ascii="Arial" w:cs="Arial" w:eastAsia="Arial" w:hAnsi="Arial"/>
                  <w:sz w:val="18"/>
                  <w:szCs w:val="18"/>
                  <w:b w:val="1"/>
                  <w:bCs w:val="1"/>
                  <w:u w:val="single" w:color="auto"/>
                  <w:color w:val="0000EE"/>
                </w:rPr>
                <w:t>SPECIAL NOTE REGARDING FORWARD-LOOKING STATEMENTS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10">
              <w:r>
                <w:rPr>
                  <w:rFonts w:ascii="Arial" w:cs="Arial" w:eastAsia="Arial" w:hAnsi="Arial"/>
                  <w:sz w:val="18"/>
                  <w:szCs w:val="18"/>
                  <w:b w:val="1"/>
                  <w:bCs w:val="1"/>
                  <w:u w:val="single" w:color="auto"/>
                  <w:color w:val="0000EE"/>
                </w:rPr>
                <w:t>USE OF PROCEEDS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6</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11">
              <w:r>
                <w:rPr>
                  <w:rFonts w:ascii="Arial" w:cs="Arial" w:eastAsia="Arial" w:hAnsi="Arial"/>
                  <w:sz w:val="18"/>
                  <w:szCs w:val="18"/>
                  <w:b w:val="1"/>
                  <w:bCs w:val="1"/>
                  <w:u w:val="single" w:color="auto"/>
                  <w:color w:val="0000EE"/>
                </w:rPr>
                <w:t>PLAN OF DISTRIBUTION</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7</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13">
              <w:r>
                <w:rPr>
                  <w:rFonts w:ascii="Arial" w:cs="Arial" w:eastAsia="Arial" w:hAnsi="Arial"/>
                  <w:sz w:val="18"/>
                  <w:szCs w:val="18"/>
                  <w:b w:val="1"/>
                  <w:bCs w:val="1"/>
                  <w:u w:val="single" w:color="auto"/>
                  <w:color w:val="0000EE"/>
                </w:rPr>
                <w:t>DESCRIPTION OF COMMON STOCK</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79"/>
              </w:rPr>
              <w:t>9</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14">
              <w:r>
                <w:rPr>
                  <w:rFonts w:ascii="Arial" w:cs="Arial" w:eastAsia="Arial" w:hAnsi="Arial"/>
                  <w:sz w:val="18"/>
                  <w:szCs w:val="18"/>
                  <w:b w:val="1"/>
                  <w:bCs w:val="1"/>
                  <w:u w:val="single" w:color="auto"/>
                  <w:color w:val="0000EE"/>
                </w:rPr>
                <w:t>DESCRIPTION OF PREFERRED STOCK</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10</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15">
              <w:r>
                <w:rPr>
                  <w:rFonts w:ascii="Arial" w:cs="Arial" w:eastAsia="Arial" w:hAnsi="Arial"/>
                  <w:sz w:val="18"/>
                  <w:szCs w:val="18"/>
                  <w:b w:val="1"/>
                  <w:bCs w:val="1"/>
                  <w:u w:val="single" w:color="auto"/>
                  <w:color w:val="0000EE"/>
                </w:rPr>
                <w:t>DESCRIPTION OF WARRANTS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11</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17">
              <w:r>
                <w:rPr>
                  <w:rFonts w:ascii="Arial" w:cs="Arial" w:eastAsia="Arial" w:hAnsi="Arial"/>
                  <w:sz w:val="18"/>
                  <w:szCs w:val="18"/>
                  <w:b w:val="1"/>
                  <w:bCs w:val="1"/>
                  <w:u w:val="single" w:color="auto"/>
                  <w:color w:val="0000EE"/>
                </w:rPr>
                <w:t>DESCRIPTION OF DEBT SECURITIES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13</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23">
              <w:r>
                <w:rPr>
                  <w:rFonts w:ascii="Arial" w:cs="Arial" w:eastAsia="Arial" w:hAnsi="Arial"/>
                  <w:sz w:val="18"/>
                  <w:szCs w:val="18"/>
                  <w:b w:val="1"/>
                  <w:bCs w:val="1"/>
                  <w:u w:val="single" w:color="auto"/>
                  <w:color w:val="0000EE"/>
                </w:rPr>
                <w:t>DESCRIPTION OF RIGHTS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19</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24">
              <w:r>
                <w:rPr>
                  <w:rFonts w:ascii="Arial" w:cs="Arial" w:eastAsia="Arial" w:hAnsi="Arial"/>
                  <w:sz w:val="18"/>
                  <w:szCs w:val="18"/>
                  <w:b w:val="1"/>
                  <w:bCs w:val="1"/>
                  <w:u w:val="single" w:color="auto"/>
                  <w:color w:val="0000EE"/>
                </w:rPr>
                <w:t>DESCRIPTION OF UNITS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LEGAL MATTERS</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EXPERTS</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600" w:type="dxa"/>
            <w:vAlign w:val="bottom"/>
            <w:gridSpan w:val="3"/>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WHERE YOU CAN FIND MORE INFORMATION</w:t>
              </w:r>
            </w:hyperlink>
          </w:p>
        </w:tc>
        <w:tc>
          <w:tcPr>
            <w:tcW w:w="640" w:type="dxa"/>
            <w:vAlign w:val="bottom"/>
          </w:tcPr>
          <w:p>
            <w:pPr>
              <w:jc w:val="center"/>
              <w:spacing w:after="0"/>
              <w:rPr>
                <w:sz w:val="20"/>
                <w:szCs w:val="20"/>
                <w:color w:val="auto"/>
              </w:rPr>
            </w:pPr>
            <w:r>
              <w:rPr>
                <w:rFonts w:ascii="Arial" w:cs="Arial" w:eastAsia="Arial" w:hAnsi="Arial"/>
                <w:sz w:val="18"/>
                <w:szCs w:val="18"/>
                <w:color w:val="auto"/>
                <w:w w:val="89"/>
              </w:rPr>
              <w:t>23</w:t>
            </w:r>
          </w:p>
        </w:tc>
      </w:tr>
      <w:tr>
        <w:trPr>
          <w:trHeight w:val="216"/>
        </w:trPr>
        <w:tc>
          <w:tcPr>
            <w:tcW w:w="10600" w:type="dxa"/>
            <w:vAlign w:val="bottom"/>
            <w:gridSpan w:val="3"/>
            <w:shd w:val="clear" w:color="auto" w:fill="CCEEFF"/>
          </w:tcPr>
          <w:p>
            <w:pPr>
              <w:spacing w:after="0"/>
              <w:rPr>
                <w:rFonts w:ascii="Arial" w:cs="Arial" w:eastAsia="Arial" w:hAnsi="Arial"/>
                <w:sz w:val="18"/>
                <w:szCs w:val="18"/>
                <w:b w:val="1"/>
                <w:bCs w:val="1"/>
                <w:u w:val="single" w:color="auto"/>
                <w:color w:val="0000EE"/>
              </w:rPr>
            </w:pPr>
            <w:hyperlink w:anchor="page27">
              <w:r>
                <w:rPr>
                  <w:rFonts w:ascii="Arial" w:cs="Arial" w:eastAsia="Arial" w:hAnsi="Arial"/>
                  <w:sz w:val="18"/>
                  <w:szCs w:val="18"/>
                  <w:b w:val="1"/>
                  <w:bCs w:val="1"/>
                  <w:u w:val="single" w:color="auto"/>
                  <w:color w:val="0000EE"/>
                </w:rPr>
                <w:t>INCORPORATION OF DOCUMENTS BY REFERENCE</w:t>
              </w:r>
            </w:hyperlink>
          </w:p>
        </w:tc>
        <w:tc>
          <w:tcPr>
            <w:tcW w:w="6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w:t>
            </w:r>
          </w:p>
        </w:tc>
      </w:tr>
    </w:tbl>
    <w:p>
      <w:pPr>
        <w:spacing w:after="0" w:line="20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This prospectus is part of a registration statement that we filed with the Securities and Exchange Commission, or SEC, utilizing a “shelf” registration process. Under this shelf registration process, we may offer shares of our common stock or preferred stock, various series of debt securities and/or warrants or rights to purchase any of such securities, either individually or in units, in one or more offerings, with a total value of up to $75,000,000. This prospectus provides you with a general description of the securities we may offer. Each time we offer a type or series of securities under this prospectus, we will provide a prospectus supplement that will contain specific information about the terms of that offering.</w:t>
      </w:r>
    </w:p>
    <w:p>
      <w:pPr>
        <w:spacing w:after="0" w:line="17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This prospectus does not contain all of the information included in the registration statement. For a more complete understanding of the offering of the securities, you should refer to the registration statement, including its exhibits. The prospectus supplement may also add, update or change information contained or incorporated by reference in this prospectus. However, no prospectus supplement will offer a security that is not registered and described in this prospectus at the time of its effectiveness. This prospectus, together with the applicable prospectus supplements and the documents incorporated by reference into this prospectus, includes all material information relating to the offering of securities under this prospectus. You should carefully read this prospectus, the applicable prospectus supplement, the information and documents incorporated herein by reference and the additional information under the headings “Where You Can Find More Information” and “Incorporation of Documents by Reference” before making an investment decision.</w:t>
      </w:r>
    </w:p>
    <w:p>
      <w:pPr>
        <w:spacing w:after="0" w:line="16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You should rely only on the information we have provided or incorporated by reference in this prospectus or any prospectus supplement. We have not authorized anyone to provide you with information different from that contained or incorporated by reference in this prospectus. No dealer, salesperson or other person is authorized to give any information or to represent anything not contained or incorporated by reference in this prospectus. You must not rely on any unauthorized information or representation. This prospectus is an offer to sell only the securities offered hereby, but only under circumstances and in jurisdictions where it is lawful to do so. You should assume that the information in this prospectus or any prospectus supplement is accurate only as of the date on the front of the document and that any information we have incorporated herein by reference is accurate only as of the date of the document incorporated by reference, regardless of the time of delivery of this prospectus or any sale of a security.</w:t>
      </w:r>
    </w:p>
    <w:p>
      <w:pPr>
        <w:spacing w:after="0" w:line="16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We further note that the representations, warranties and covenants made by us in any agreement that is filed as an exhibit to any document that is incorporated by reference in this prospectus were made solely for the benefit of the parties to such agreement, including, in some cases, for the purpose of allocating risk among the parties to such agreements, and should not be deemed to be a representation, warranty or covenant to you. Moreover, such representations, warranties or covenants were accurate only as of the date when made. Accordingly, such representations, warranties and covenants should not be relied on as accurately representing the current state of our affairs.</w:t>
      </w:r>
    </w:p>
    <w:p>
      <w:pPr>
        <w:spacing w:after="0" w:line="17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prospectus may not be used to consummate sales of our securities unless it is accompanied by a prospectus supplement. To the extent there are inconsistencies between any prospectus supplement, this prospectus and any documents incorporated by reference, the document with the most recent date will control.</w:t>
      </w:r>
    </w:p>
    <w:p>
      <w:pPr>
        <w:spacing w:after="0" w:line="18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Unless the context indicates otherwise in this prospectus, the terms “Microbot,” the “Company,” “we,” “our” or “us” in this prospectus refer to Microbot Medical Inc. and its wholly-owned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48"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i w:val="1"/>
          <w:iCs w:val="1"/>
          <w:color w:val="auto"/>
        </w:rPr>
        <w:t>This summary highlights selected information about our Company, the offering of our securities under this prospectus and information appearing elsewhere in this prospectus and in the documents we incorporate by reference. This summary is not complete and does not contain all the information that you should consider before investing in our securities. You should read this entire prospectus carefully, including “Risk Factors” contained in this prospectus beginning on page 4, and the more detailed financial statements, notes to the consolidated financial statements and other information incorporated by reference from our filings with the SEC or included in any applicable prospectus supplement. Investing in our securities involves risks. Therefore, carefully consider the risk factors set forth in any prospectus supplement and in our most recent annual and quarterly filings with the SEC, as well as other information in this prospectus and any prospectus supplements and the documents incorporated by reference herein or therein, before purchasing our securities. Each of the risk factors could adversely affect our business, operating results and financial condition, as well as adversely affect the value of an investment in our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Microbot is a pre-clinical medical device company specializing in the research, design and development of next generation robotic endoluminal surgery devices targeting the minimally invasive surgery space. Microbot is primarily focused on leveraging its micro-robotic technologies with the goal of redefining surgical robotics while improving surgical outcomes for patients.</w:t>
      </w:r>
    </w:p>
    <w:p>
      <w:pPr>
        <w:spacing w:after="0" w:line="187" w:lineRule="exact"/>
        <w:rPr>
          <w:sz w:val="20"/>
          <w:szCs w:val="20"/>
          <w:color w:val="auto"/>
        </w:rPr>
      </w:pPr>
    </w:p>
    <w:p>
      <w:pPr>
        <w:jc w:val="both"/>
        <w:ind w:firstLine="648"/>
        <w:spacing w:after="0" w:line="218" w:lineRule="auto"/>
        <w:rPr>
          <w:sz w:val="20"/>
          <w:szCs w:val="20"/>
          <w:color w:val="auto"/>
        </w:rPr>
      </w:pPr>
      <w:r>
        <w:rPr>
          <w:rFonts w:ascii="Arial" w:cs="Arial" w:eastAsia="Arial" w:hAnsi="Arial"/>
          <w:sz w:val="18"/>
          <w:szCs w:val="18"/>
          <w:color w:val="auto"/>
        </w:rPr>
        <w:t>Microbot’s current technological platforms, ViRob</w:t>
      </w:r>
      <w:r>
        <w:rPr>
          <w:rFonts w:ascii="Arial" w:cs="Arial" w:eastAsia="Arial" w:hAnsi="Arial"/>
          <w:sz w:val="29"/>
          <w:szCs w:val="29"/>
          <w:color w:val="auto"/>
          <w:vertAlign w:val="superscript"/>
        </w:rPr>
        <w:t>TM</w:t>
      </w:r>
      <w:r>
        <w:rPr>
          <w:rFonts w:ascii="Arial" w:cs="Arial" w:eastAsia="Arial" w:hAnsi="Arial"/>
          <w:sz w:val="18"/>
          <w:szCs w:val="18"/>
          <w:color w:val="auto"/>
        </w:rPr>
        <w:t>, TipCAT</w:t>
      </w:r>
      <w:r>
        <w:rPr>
          <w:rFonts w:ascii="Arial" w:cs="Arial" w:eastAsia="Arial" w:hAnsi="Arial"/>
          <w:sz w:val="29"/>
          <w:szCs w:val="29"/>
          <w:color w:val="auto"/>
          <w:vertAlign w:val="superscript"/>
        </w:rPr>
        <w:t>TM</w:t>
      </w:r>
      <w:r>
        <w:rPr>
          <w:rFonts w:ascii="Arial" w:cs="Arial" w:eastAsia="Arial" w:hAnsi="Arial"/>
          <w:sz w:val="18"/>
          <w:szCs w:val="18"/>
          <w:color w:val="auto"/>
        </w:rPr>
        <w:t xml:space="preserve"> and Liberty™ (including certain CardioSert assets), are comprised of proprietary innovative technologies. Using the ViRob platform, Microbot is currently developing the Self Cleaning Shunt, or SCS</w:t>
      </w:r>
      <w:r>
        <w:rPr>
          <w:rFonts w:ascii="Arial" w:cs="Arial" w:eastAsia="Arial" w:hAnsi="Arial"/>
          <w:sz w:val="29"/>
          <w:szCs w:val="29"/>
          <w:color w:val="auto"/>
          <w:vertAlign w:val="superscript"/>
        </w:rPr>
        <w:t>TM</w:t>
      </w:r>
      <w:r>
        <w:rPr>
          <w:rFonts w:ascii="Arial" w:cs="Arial" w:eastAsia="Arial" w:hAnsi="Arial"/>
          <w:sz w:val="18"/>
          <w:szCs w:val="18"/>
          <w:color w:val="auto"/>
        </w:rPr>
        <w:t>, for the treatment of hydrocephalus and Normal Pressure Hydrocephalus, or NPH. Utilizing the Liberty and CardioSert platforms, Microbot is developing the first ever fully disposable robot for various endovascular interventional procedures. In addition, the Company is focused on the development of a Multi Generation Pipeline Portfolio utilizing all of its proprietary technologies.</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Microbot has a patent portfolio of 40 issued/allowed patents and 23 patent applications pending worldwide.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Technological Platforms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ViRob</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ViRob is an autonomous crawling micro-robot which can be controlled remotely or within the body. Its miniature dimensions are expected to allow it to navigate and crawl in different natural spaces within the human body, including blood vessels, the digestive tract and the respiratory system as well as artificial spaces such as shunts, catheters, ports, etc. Its unique structure is expected to give it the ability to move in tight spaces and curved passages as well as the ability to remain within the human body for prolonged time. The SCS product was developed using the ViRob technology.</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TipCAT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TipCAT is a disposable self-propelled locomotive device that is specially designed to advance in tubular anatomies. The TipCAT is a mechanism comprising a series of interconnected balloons at the device’s tip that provides the TipCAT with its forward locomotion capability. The device can self-propel within natural tubular lumens such as the blood vessels, respiratory and the urinary and GI tracts. A single channel of air/fluid supply sequentially inflates and deflates a series of balloons creating an inchworm like forward motion. The TipCAT maintains a standard working channel for treatments. Unlike standard access devices such as guidewires, catheters for vascular access and endoscopes, the TipCAT does not need to be pushed into the patient’s lumen using external pressure; rather, it will gently advance itself through the organ’s anatomy. As a result, the TipCAT is designed to be able to reach every part of the lumen under examination regardless of the topography, be less operator dependent, and greatly reduce the likelihood of damage to lumen structure. The TipCAT thus offers functionality features equivalent to modern tubular access devices, along with advantages associated with its physiologically adapted self-propelling mechanism, flexibility, and design.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i w:val="1"/>
          <w:iCs w:val="1"/>
          <w:color w:val="auto"/>
        </w:rPr>
        <w:t>CardioSert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May 25, 2018, Microbot acquired a patent-protected technology from CardioSert Ltd., a privately-held medical device company based in Israel that was part of a technological incubator supported by the Israel Innovation Authorities. The CardioSert technology contemplates a combination of a guidewire and microcatheter, technologies that are broadly used for surgery within a tubular organ or structure such as a blood vessel or duct. The CardioSert technology features a unique guidewire delivery system with steering and stiffness control capabilities which when developed is expected to give the physician the ability to control the tip curvature, to adjust tip load to varying degrees of stiffness in a gradually continuous manner. The CardioSert technology was originally developed to support interventional cardiologists in crossing chronic total occlusions (CTO) during percutaneous coronary intervention (PCI) procedures and has the potential to be used in other spaces and applications, such as peripheral intervention, and neurosurgery.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Liberty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January 13, 2020, Microbot unveiled what it believes is the world’s first fully disposable robotic system for use in Endovascular Interventional procedures, such as cardiovascular, peripheral and neurovascular. The Liberty robotic system features a unique compact design with the capability to be operated remotely, reduce radiation exposure and physical strain to the physician, as well as the potential to eliminate the use of multiple consumables through its “One &amp; Done” capabilities, based in part on the CardioSert platform.</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Liberty is designed to maneuver guidewires and over-the-wire devices (such as microcatheters) within the body’s vasculature. It eliminates the need for extensive capital equipment requiring dedicated Cath-lab rooms as well as dedicated staff. In addition, it is being designed to streamline Cath-lab procedures with our proprietary “One &amp; Done” tool that combines guidewire and microcatheter into a single device. With control over tip curvature and stiffness for maneuverability and access – and without the need for constant tool exchanges – the “One &amp; Done” feature of Liberty may drastically reduce procedure time and costs while enhancing the operator experience.</w:t>
      </w:r>
    </w:p>
    <w:p>
      <w:pPr>
        <w:spacing w:after="0" w:line="188"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On August 17, 2020, Microbot announced the successful conclusion of its feasibility animal study using the Liberty robotic system. The study met all of its end points with no intraoperative adverse events, which supports Microbot’s objectives to allow physicians to conduct a catheter-based procedure from outside the catheterization laboratory (cath-lab), avoiding radiation exposure, physical strain and the risk of cross contamination. The study was performed by two leading physicians in the neuro vascular and peripheral vascular intervention spaces, and the results demonstrated robust navigation capabilities, intuitive usability and accurate deployment of embolic agents, most of which was conducted remotely from the cath-lab’s control room.</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continuously exploring and evaluating additional innovative guidewire/microcatheter technologies to be integrated and combined with the Liberty robotic platform.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Information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additional information related to our business and operations, please refer to the reports incorporated herein by reference, including our Annual Report on Form 10-K for the year ended December 31, 2019 as described under the caption “Incorporation of Documents by Reference” on page 23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Corporate Information</w:t>
      </w:r>
    </w:p>
    <w:p>
      <w:pPr>
        <w:spacing w:after="0" w:line="229"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Our Company was incorporated on August 2, 1988 in the State of Delaware under the name Cellular Transplants, Inc. The original Certificate of Incorporation was restated on February 14, 1992 to change the name of the Company to CytoTheraputics, Inc. On May 24, 2000, the Certificate of Incorporation as restated was further amended to change the name of the Company to StemCells, Inc. On November 28, 2016, C&amp;RD Israel Ltd., a wholly-owned subsidiary of the Company, completed its merger with and into Microbot Medical Ltd., an Israeli corporation, with Microbot Israel Ltd. surviving as a wholly-owned subsidiary of the Company, or the Merger. Prior to the Merger, the Company was a biopharmaceutical company that operated in one segment: the research, development, and commercialization of stem cell therapeutics and related technologies. Immediately following the closing of the Merger, the business of Microbot Medical Ltd. became our sole focus. In connection with the Merger, we also changed our name from StemCells, Inc. to Microbot Medical Inc. On November 29, 2016, the stock of the Company began trading on the Nasdaq Capital Market under the symbol “MBOT”.</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 w:name="page7"/>
    <w:bookmarkEnd w:id="6"/>
    <w:p>
      <w:pPr>
        <w:jc w:val="both"/>
        <w:ind w:firstLine="648"/>
        <w:spacing w:after="0" w:line="279" w:lineRule="auto"/>
        <w:rPr>
          <w:sz w:val="20"/>
          <w:szCs w:val="20"/>
          <w:color w:val="auto"/>
        </w:rPr>
      </w:pPr>
      <w:r>
        <w:rPr>
          <w:rFonts w:ascii="Arial" w:cs="Arial" w:eastAsia="Arial" w:hAnsi="Arial"/>
          <w:sz w:val="17"/>
          <w:szCs w:val="17"/>
          <w:color w:val="auto"/>
        </w:rPr>
        <w:t>Our principal executive offices are located at 25 Recreation Park Drive, Unit 108, Hingham, Massachusetts 02043. Microbot also has an executive office at 6 Hayozma Street, Yoqneam, P.O.B. 242, Israel 2069204. Our telephone number is (781) 875-3605. We maintain an Internet website at www.microbotmedical.com. The information contained on, connected to or that can be accessed via our website is not part of this prospectus. We have included our website address in this prospectus as an inactive textual reference only and not as an active hyperlink.</w:t>
      </w:r>
    </w:p>
    <w:p>
      <w:pPr>
        <w:spacing w:after="0" w:line="171"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Annual Reports on Form 10-K, Quarterly Reports on Form 10-Q, Current Reports on Form 8-K and all amendments to those reports filed or furnished pursuant to Section 13(a) or 15(d) of the Securities Exchange Act of 1934, as amended, or the Exchange Act, are available free of charge through the investor relations page of our internet website as soon as reasonably practicable after we electronically file such material with, or furnish it to, the SEC.</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Offerings Under This Prospectus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this prospectus, we may offer shares of our common stock or preferred stock, various series of debt securities and/or warrants or rights to purchase any such securities, either individually or in units, with a total value of up to $75,000,000, from time to time at prices and on terms to be determined by market conditions at the time of the offering. This prospectus provides you with a general description of the securities we may offer. Each time we offer a type or series of securities under this prospectus, we will provide a prospectus supplement that will describe the specific amounts, prices and other important terms of the securities, including, to the extent applicable:</w:t>
      </w:r>
    </w:p>
    <w:p>
      <w:pPr>
        <w:spacing w:after="0" w:line="188" w:lineRule="exact"/>
        <w:rPr>
          <w:sz w:val="20"/>
          <w:szCs w:val="20"/>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designation or classification;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aggregate principal amount or aggregate offering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maturity,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rates and times of payment of interest or dividends,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redemption or conversion terms,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voting or other rights,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conversion or exercise prices, if any.</w:t>
      </w:r>
    </w:p>
    <w:p>
      <w:pPr>
        <w:spacing w:after="0" w:line="225"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The prospectus supplement also may add, update or change information contained in this prospectus or in documents we have incorporated by reference into this prospectus. However, no prospectus supplement will fundamentally change the terms that are set forth in this prospectus or offer a security that is not registered and described in this prospectus at the time of its effectiveness.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sell the securities directly to investors or to or through agents, underwriters or dealers. We, and our agents or underwriters, reserve the right to accept or reject all or part of any proposed purchase of securities. If we offer securities through agents or underwriters, we will include in the applicable prospectus supplement:</w:t>
      </w:r>
    </w:p>
    <w:p>
      <w:pPr>
        <w:spacing w:after="0" w:line="184" w:lineRule="exact"/>
        <w:rPr>
          <w:sz w:val="20"/>
          <w:szCs w:val="20"/>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names of those agents or underwriters;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applicable fees, discounts and commissions to be paid to them;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details regarding over-allotment options, if 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net proceeds to us.</w:t>
      </w:r>
    </w:p>
    <w:p>
      <w:pPr>
        <w:spacing w:after="0" w:line="221"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THIS PROSPECTUS MAY NOT BE USED TO CONSUMMATE A SALE OF ANY SECURITIES UNLESS IT IS ACCOMPANIED BY A PROSPECTUS SUPPLEMENT.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 w:name="page8"/>
    <w:bookmarkEnd w:id="7"/>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i w:val="1"/>
          <w:iCs w:val="1"/>
          <w:color w:val="auto"/>
        </w:rPr>
        <w:t>Investing in our securities involves significant risk. The prospectus supplement applicable to each offering of our securities may contain a discussion of the risks applicable to an investment in Microbot. Prior to making a decision about investing in our securities, you should consider the “Risk Factors” included and incorporated by reference in this prospectus and any applicable prospectus supplement, including the risk factors incorporated by reference from our most recent Annual Report on Form 10-K, as updated by our Quarterly Reports on Form 10-Q and our other filings with the SEC pursuant to Sections 13(a), 13(c), 14 or 15(d) of the Exchange Act filed after such annual report. The risks and uncertainties we describe are not the only ones facing us. Additional risks not presently known to us, or that we currently deem immaterial, may also impair our business operations. If any of these risks were to occur, our business, financial condition, or results of operations would likely suffer. In that event, the trading price of our common stock could decline, and you could lose all or part of your investment.</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8" w:name="page9"/>
    <w:bookmarkEnd w:id="8"/>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This prospectus and the documents incorporated by reference in this prospectus include forward-looking statements within the meaning of Section 27A of the Securities Act of 1933, as amended, or the Securities Act, and Section 21E of the Exchange Act that relate to future events or our future operations or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 In some cases, you can identify forward-looking statements by terminology such as “may”, “should”, “intends”, “expects”, “plans”, “targets”, “anticipates”, “believes”, “estimates”, “will”, “would”, “predicts”, “potential”, or “continue” or the negative of these terms or other comparable terminology. These statements are only predictions and involve known and unknown risks, uncertainties and other factors. The Private Securities Litigation Reform Act of 1995 provides a “safe harbor” for such forward-looking statements. In order to comply with the terms of the safe harbor, we note that a variety of factors could cause actual results and experience to differ materially from the anticipated results or other expectations expressed in the forward-looking statements.</w:t>
      </w:r>
    </w:p>
    <w:p>
      <w:pPr>
        <w:spacing w:after="0" w:line="18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Such statements include, without limitation, all statements as to expectation or belief and statements as to our future results of operations; the progress of our research, product development and clinical programs; the need for, and timing of, additional capital and capital expenditures; partnering prospects; costs of manufacturing products; the protection of, and the need for, additional intellectual property rights; effects of regulations; the need for additional facilities; and potential market opportunities. Our actual results may vary materially from those contained in such forward-looking statements because of risks to which we are subject, including the fact that additional trials will be required to confirm the safety and demonstrate the efficacy of our planned products; uncertainty as to whether the U.S. Food and Drug Administration, or the FDA, or other regulatory authorities will clear our proposed products for commercialization and sale; the risk that our planned clinical trials or studies could be substantially delayed beyond their expected dates or cause us to incur substantial unanticipated costs; uncertainties in our ability to obtain the capital resources needed to continue our current research and development operations and to conduct the research, preclinical development and clinical trials necessary for regulatory approvals; the uncertainty regarding the outcome of our clinical trials or studies we may conduct in the future; the uncertainty regarding the validity and enforceability of the patents underlying our proposed products; the uncertainty as to whether the Company’s preclinical studies will be replicated in humans; the uncertainty whether any of our proposed products will prove clinically safe and effective; the uncertainty of whether we will achieve significant revenue from product sales or become profitable; obsolescence of our technologies; competition from third parties; intellectual property rights of third parties; litigation risks; legal and regulatory developments in Israel; and other risks to which we are subject.</w:t>
      </w:r>
    </w:p>
    <w:p>
      <w:pPr>
        <w:spacing w:after="0" w:line="18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have based these forward-looking statements on our current expectations and projections about future events. We believe that the assumptions and expectations reflected in such forward-looking statements are reasonable, based on information available to us on the date hereof, but we cannot assure you that these assumptions and expectations will prove to have been correct or that we will take any action that we may presently be planning. These forward-looking statements are inherently subject to known and unknown risks and uncertainties. We have included important cautionary statements in this prospectus, in the documents incorporated by reference in this prospectus, and in the sections in our periodic reports, including our most recent Annual Report on Form 10-K, entitled “Business,” “Risk Factors,” and “Management’s Discussion and Analysis of Financial Condition and Results of Operations,” as supplemented by our subsequent Quarterly Reports on Form 10-Q or our Current Reports on Form 8-K, discussing some of the factors that we believe could cause actual results or events to differ materially from the forward-looking statements that we are making including, but are not limited to, research and product development uncertainties, regulatory policies and approval requirements, competition from other similar businesses, market and general economic factors.</w:t>
      </w:r>
    </w:p>
    <w:p>
      <w:pPr>
        <w:spacing w:after="0" w:line="18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light of these assumptions, risks and uncertainties, the results and events discussed in the forward-looking statements contained in this prospectus or in any document incorporated herein by reference might not occur. Investors are cautioned not to place undue reliance on the forward-looking statements, which speak only as of the date of this prospectus or the date of the document incorporated by reference in this prospectus. We are not under any obligation, and we expressly disclaim any obligation, to update or alter any forward-looking statements, whether as a result of new information, future events or otherwise. All subsequent forward-looking statements attributable to us or to any person acting on our behalf are expressly qualified in their entirety by the cautionary statements contained or referred to in this section.</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We cannot assure you that we will receive any proceeds in connection with securities which may be offered pursuant to this prospectus. Unless otherwise indicated in the applicable prospectus supplement, we intend to use any net proceeds from the sale of securities under this prospectus for our operations, our further development and commercialization of our product candidates, other general corporate purposes, which may include, but are not limited to, working capital, intellectual property protection and enforcement, capital expenditures, repayment of indebtedness and collaborations, and the costs of acquiring, licensing or investing in new and existing businesses, product candidates and technologies. We have not determined the amounts we plan to spend on any of the areas listed above or the timing of these expenditures. As a result, our management will have broad discretion to allocate the net proceeds, if any, we receive in connection with securities offered pursuant to this prospectus for any purpose. Pending application of the net proceeds as described above, we may initially invest the net proceeds in short-term, investment-grade or interest-bearing securities in accordance with our cash-management policies. Additional information on the use of proceeds from the sale of securities offered by this prospectus may be set forth in the prospectus supplement relating to that offering.</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may offer securities under this prospectus from time to time pursuant to public offerings through one or more placement agents or underwriters, negotiated transactions, block trades or a combination of these methods. We may sell the securities (1) through underwriters or dealers, (2) through agents or (3) directly to one or more purchasers, or through a combination of such methods. We may distribute the securities from time to time in one or more transactions at:</w:t>
      </w:r>
    </w:p>
    <w:p>
      <w:pPr>
        <w:spacing w:after="0" w:line="187"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fixed price or prices, which may be changed from time to time;</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market prices prevailing at the time of sale;</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prices related to the prevailing market prices; or</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negotiated prices.</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directly solicit offers to purchase the securities being offered by this prospectus. We may also designate agents to solicit offers to purchase the securities from time to time, and may enter into arrangements for “at the market,” equity line or similar transactions. We will name in a prospectus supplement any underwriter or agent involved in the offer or sale of the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we utilize a dealer in the sale of the securities being offered by this prospectus, we will sell the securities to the dealer, as principal. The dealer may then resell the securities to the public at varying prices to be determined by the dealer at the time of resale.</w:t>
      </w:r>
    </w:p>
    <w:p>
      <w:pPr>
        <w:spacing w:after="0" w:line="170"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If we utilize an underwriter in the sale of the securities being offered by this prospectus, we will execute an underwriting agreement with the underwriter at the time of sale, and we will provide the name of any underwriter in the prospectus supplement which the underwriter will use to make resales of the securities to the public. In connection with the sale of the securities, we, or the purchasers of the securities for whom the underwriter may act as agent, may compensate the underwriter in the form of underwriting discounts or commissions. The underwriter may sell the securities to or through dealers, and the underwriter may compensate those dealers in the form of discounts, concessions or commissions.</w:t>
      </w:r>
    </w:p>
    <w:p>
      <w:pPr>
        <w:spacing w:after="0" w:line="17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With respect to underwritten public offerings, negotiated transactions and block trades, we will provide in the applicable prospectus supplement information regarding any compensation we pay to underwriters, dealers or agents in connection with the offering of the securities, and any discounts, concessions or commissions allowed by underwriters to participating dealers.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 We may enter into agreements to indemnify underwriters, dealers and agents against civil liabilities, including liabilities under the Securities Act, or to contribute to payments they may be required to make in respect thereof.</w:t>
      </w:r>
    </w:p>
    <w:p>
      <w:pPr>
        <w:spacing w:after="0" w:line="19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so indicated in the applicable prospectus supplement, we will authorize underwriters, dealers or other persons acting as our agents to solicit offers by certain institutions to purchase securities from us pursuant to delayed delivery contracts providing for payment and delivery on the date stated in each applicable prospectus supplement. Each contract will be for an amount not less than, and the aggregate amount of securities sold pursuant to such contracts shall not be less nor more than, the respective amounts stated in each applicable prospectus supplement. Institutions with whom the contracts, when authorized, may be made include commercial and savings banks, insurance companies, pension funds, investment companies, educational and charitable institutions and other institutions, but shall in all cases be subject to our approval. Delayed delivery contracts will not be subject to any conditions except that:</w:t>
      </w:r>
    </w:p>
    <w:p>
      <w:pPr>
        <w:spacing w:after="0" w:line="195" w:lineRule="exact"/>
        <w:rPr>
          <w:sz w:val="20"/>
          <w:szCs w:val="20"/>
          <w:color w:val="auto"/>
        </w:rPr>
      </w:pPr>
    </w:p>
    <w:p>
      <w:pPr>
        <w:ind w:left="660" w:hanging="328"/>
        <w:spacing w:after="0" w:line="258"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purchase by an institution of the securities covered under that contract shall not at the time of delivery be prohibited under the laws of the jurisdiction to which that institution is subject; and</w:t>
      </w:r>
    </w:p>
    <w:p>
      <w:pPr>
        <w:spacing w:after="0" w:line="1" w:lineRule="exact"/>
        <w:rPr>
          <w:rFonts w:ascii="Arial" w:cs="Arial" w:eastAsia="Arial" w:hAnsi="Arial"/>
          <w:sz w:val="18"/>
          <w:szCs w:val="18"/>
          <w:color w:val="auto"/>
        </w:rPr>
      </w:pPr>
    </w:p>
    <w:p>
      <w:pPr>
        <w:jc w:val="both"/>
        <w:ind w:left="660" w:hanging="328"/>
        <w:spacing w:after="0" w:line="255"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if the securities are also being sold to underwriters acting as principals for their own account, the underwriters shall have purchased such securities not sold for delayed delivery. The underwriters and other persons acting as our agents will not have any responsibility in respect of the validity or performance of delayed delivery contracts.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1" w:name="page12"/>
    <w:bookmarkEnd w:id="11"/>
    <w:p>
      <w:pPr>
        <w:jc w:val="both"/>
        <w:ind w:firstLine="648"/>
        <w:spacing w:after="0" w:line="254" w:lineRule="auto"/>
        <w:rPr>
          <w:sz w:val="20"/>
          <w:szCs w:val="20"/>
          <w:color w:val="auto"/>
        </w:rPr>
      </w:pPr>
      <w:r>
        <w:rPr>
          <w:rFonts w:ascii="Arial" w:cs="Arial" w:eastAsia="Arial" w:hAnsi="Arial"/>
          <w:sz w:val="18"/>
          <w:szCs w:val="18"/>
          <w:color w:val="auto"/>
        </w:rPr>
        <w:t>One or more firms, referred to as “remarketing firms,” may also offer or sell the securities, if a prospectus supplement so indicates, in connection with a remarketing arrangement upon their purchase. Remarketing firms will act as principals for their own accounts or as our agents. These remarketing firms will offer or sell the securities in accordance with the terms of the securities. Each prospectus supplement will identify and describe any remarketing firm and the terms of its agreement, if any, with us and will describe the remarketing firm’s compensation. Remarketing firms may be deemed to be underwriters in connection with the securities they remarket. Remarketing firms may be entitled under agreements that may be entered into with us to indemnification by us against certain civil liabilities, including liabilities under the Securities Act, and may be customers of, engage in transactions with or perform services for us in the ordinary course of business.</w:t>
      </w:r>
    </w:p>
    <w:p>
      <w:pPr>
        <w:spacing w:after="0" w:line="19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Certain underwriters may use this prospectus and any accompanying prospectus supplement for offers and sales related to market-making transactions in the securities. These underwriters may act as principal or agent in these transactions, and the sales will be made at prices related to prevailing market prices at the time of sale. Any underwriters involved in the sale of the securities may qualify as “underwriters” within the meaning of Section 2(a)(11) of the Securities Act. In addition, the underwriters’ commissions, discounts or concessions may qualify as underwriters’ compensation under the Securities Act and the rules of the Financial Industry Regulatory Authority, Inc., or FINRA.</w:t>
      </w:r>
    </w:p>
    <w:p>
      <w:pPr>
        <w:spacing w:after="0" w:line="17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Shares of our common stock sold pursuant to the registration statement of which this prospectus is a part will be authorized for listing and trading on The Nasdaq Capital Market. The applicable prospectus supplement will contain information, where applicable, as to any other listing, if any, on The Nasdaq Capital Market or any securities market or other securities exchange of the securities covered by the prospectus supplement. Underwriters may make a market in our common stock, but will not be obligated to do so and may discontinue any market making at any time without notice. We can make no assurance as to the liquidity of or the existence, development or maintenance of trading markets for any of the securities.</w:t>
      </w:r>
    </w:p>
    <w:p>
      <w:pPr>
        <w:spacing w:after="0" w:line="17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order to facilitate the offering of the securities, certain persons participating in the offering may engage in transactions that stabilize, maintain or otherwise affect the price of the securities. This may include over-allotments or short sales of the securities, which involve the sale by persons participating in the offering of more securities than we sold to them. In these circumstances, these persons would cover such over-allotments or short positions by making purchases in the open market or by exercising their over-allotment option. In addition, these persons may stabilize or maintain the price of the securities by bidding for or purchasing the applicable security in the open market or by imposing penalty bids, whereby selling concessions allowed to dealers participating in the offering may be reclaimed if the securities sold by them are repurchased in connection with stabilization transactions. The effect of these transactions may be to stabilize or maintain the market price of the securities at a level above that which might otherwise prevail in the open market. These transactions may be discontinued at any time.</w:t>
      </w:r>
    </w:p>
    <w:p>
      <w:pPr>
        <w:spacing w:after="0" w:line="178" w:lineRule="exact"/>
        <w:rPr>
          <w:sz w:val="20"/>
          <w:szCs w:val="20"/>
          <w:color w:val="auto"/>
        </w:rPr>
      </w:pPr>
    </w:p>
    <w:p>
      <w:pPr>
        <w:jc w:val="both"/>
        <w:ind w:right="20" w:firstLine="648"/>
        <w:spacing w:after="0" w:line="258" w:lineRule="auto"/>
        <w:rPr>
          <w:sz w:val="20"/>
          <w:szCs w:val="20"/>
          <w:color w:val="auto"/>
        </w:rPr>
      </w:pPr>
      <w:r>
        <w:rPr>
          <w:rFonts w:ascii="Arial" w:cs="Arial" w:eastAsia="Arial" w:hAnsi="Arial"/>
          <w:sz w:val="18"/>
          <w:szCs w:val="18"/>
          <w:color w:val="auto"/>
        </w:rPr>
        <w:t>The underwriters, dealers and agents may engage in other transactions with us, or perform other services for us, in the ordinary course of their business.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DESCRIPTION OF COMMON STOCK</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authorized to issue 60,000,000 shares of common stock, par value $0.01 per share. As of September 30, 2020 we had 7,108,133 shares of common stock issued and outstanding and approximately 139 common stockholders of record. The following summary of certain provisions of our common stock does not purport to be complete. You should refer to our certificate of incorporation and our bylaws,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Holders of common stock are entitled to one vote for each share held on all matters submitted to a vote of stockholders and do not have cumulative voting rights. Holders of common stock are entitled to receive proportionately any dividends as may be declared by our board of directors, out of funds that we may legally use to pay dividends, subject to any preferential dividend rights of any outstanding series of preferred stock or series of preferred stock that we may designate and issue in the future. All shares of common stock outstanding as of the date of this prospectus and, upon issuance and sale, all shares of common stock that we may offer pursuant to this prospectus, will be fully paid and nonassessable.</w:t>
      </w:r>
    </w:p>
    <w:p>
      <w:pPr>
        <w:spacing w:after="0" w:line="17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the event of our liquidation or dissolution, the holders of common stock are entitled to receive proportionately our net assets available for distribution to stockholders after the payment of all debts and other liabilities and subject to the prior rights of any outstanding preferred stock. Holders of common stock have no preemptive, subscription, redemption or conversion rights. There are no redemption or sinking fund provisions applicable to the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our common stock is Computershare Trust Company, N.A.</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Capital Market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common stock is listed for quotation on the Nasdaq Capital Market under the symbol “MBOT.”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DESCRIPTION OF PREFERRED STOCK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have authority to issue 1,000,000 shares of preferred stock, par value $0.01 per share. As of the date of this prospectus, no shares of our preferred stock were outstanding or designated.</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following summary of certain provisions of our preferred stock does not purport to be complete. You should refer to our certificate of incorporation and by-laws, as amended to date, copies of which are on file with the SEC as exhibits to previous SEC filings. Please refer to “Where You Can Find More Information” below for directions on obtaining these documents. The summary below is also qualified by provisions of applicable law.</w:t>
      </w:r>
    </w:p>
    <w:p>
      <w:pPr>
        <w:spacing w:after="0" w:line="14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board of directors is authorized, without stockholder approval, from time to time, to issue shares of preferred stock in series and may, at the time of issuance, subject to Delaware law and our certificate of incorporation and by-laws, determine the rights, preferences and limitations of each series, including voting rights, dividend rights and redemption and liquidation preferences. Satisfaction of any dividend preferences of outstanding shares of preferred stock would reduce the amount of funds available for the payment of dividends on shares of our common stock. Holders of shares of preferred stock may be entitled to receive a preference payment in the event of any liquidation, dissolution or winding-up of our company before any payment is made to the holders of shares of our common stock. In some circumstances, the issuance of shares of preferred stock may render more difficult or tend to discourage a merger, tender offer or proxy contest, the assumption of control by a holder of a large block of our securities or the removal of incumbent management. Upon the affirmative vote of our board of directors, without stockholder approval, we may issue shares of preferred stock with voting and conversion rights which could adversely affect the holders of shares of our common stock.</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we offer a specific series of preferred stock under this prospectus, we will describe the terms of the preferred stock in the prospectus supplement for such offering and will file a copy of the certificate establishing the terms of the preferred stock with the SEC. To the extent required, this description will include:</w:t>
      </w:r>
    </w:p>
    <w:p>
      <w:pPr>
        <w:spacing w:after="0" w:line="184" w:lineRule="exact"/>
        <w:rPr>
          <w:sz w:val="20"/>
          <w:szCs w:val="20"/>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title and stated value;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number of shares offered, the liquidation preference per share and the purchase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dividend rate(s), period(s) and/or payment date(s), or method(s) of calculation for such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dividends will be cumulative or non-cumulative and, if cumulative, the date from which dividends will accumulate;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procedures for any auction and remarketing,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a sinking fund,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provisions for redemption, if applicable;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listing of the preferred stock on any securities exchange or market;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convertible into our common stock, and, if applicable, the conversion price (or how it will be calculated) and conversion period;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whether the preferred stock will be exchangeable into debt securities, and, if applicable, the exchange price (or how it will be calculated) and exchange period;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voting rights, if any, of the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discussion of any material and/or special U.S. federal income tax considerations applicable to the preferred stock;</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the relative ranking and preferences of the preferred stock as to dividend rights and rights upon liquidation, dissolution or winding up of the affairs of the Company;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material limitations on issuance of any class or series of preferred stock ranking senior to or on a parity with the series of preferred stock as to dividend rights and rights upon liquidation, dissolution or winding up of the Company.</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preferred stock offered by this prospectus will, when issued, be fully paid and nonassessable and will not have, or be subject to, any preemptive or similar rights.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transfer agent and registrar for any series or class of preferred stock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DESCRIPTION OF WARRANTS</w:t>
      </w:r>
    </w:p>
    <w:p>
      <w:pPr>
        <w:spacing w:after="0" w:line="22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may issue warrants to purchase shares of our common stock, preferred stock and/or debt securities in one or more series together with other securities or separately, as described in the applicable prospectus supplement. Below is a description of certain general terms and provisions of the warrants that we may offer. Particular terms of the warrants will be described in the warrant agreements and the prospectus supplement to the warrants.</w:t>
      </w:r>
    </w:p>
    <w:p>
      <w:pPr>
        <w:spacing w:after="0" w:line="149"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applicable prospectus supplement will contain, where applicable, the following terms of, and other information relating to, the warrants:</w:t>
      </w:r>
    </w:p>
    <w:p>
      <w:pPr>
        <w:spacing w:after="0" w:line="237" w:lineRule="exact"/>
        <w:rPr>
          <w:sz w:val="20"/>
          <w:szCs w:val="20"/>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specific designation and aggregate number of, and the price at which we will issue, the warrants;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currency or currency units in which the offering price, if any, and the exercise price are payable;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designation, amount and terms of the securities purchasable upon exercise of the warrants;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common stock and the number of shares of common stock to be received upon exercise of the warrants;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exercise price for shares of our preferred stock, the number of shares of preferred stock to be received upon exercise, and a description of that series of our preferred stock;</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exercise price for our debt securities, the amount of debt securities to be received upon exercise, and a description of that series of debt securities;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date on which the right to exercise the warrants will begin and the date on which that right will expire or, if you may not continuously exercise the warrants throughout that period, the specific date or dates on which you may exercise the warrants;</w:t>
      </w:r>
    </w:p>
    <w:p>
      <w:pPr>
        <w:spacing w:after="0" w:line="170"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whether the warrants will be issued in fully registered form or bearer form, in definitive or global form or in any combination of these forms, although, in any case, the form of a warrant included in a unit will correspond to the form of the unit and of any security included in that unit;</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consequences;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identity of the warrant agent for the warrants and of any other depositaries, execution or paying agents, transfer agents, registrars or other agents;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proposed listing, if any, of the warrants or any securities purchasable upon exercise of the warrants on any securities exchange;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date from and after which the warrants and the common stock, preferred stock and/or debt securities will be separately transferable;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if applicable, the minimum or maximum amount of the warrants that may be exercised at any one time;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information with respect to book-entry procedures,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anti-dilution provisions of the warrants,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any redemption or call provisions;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the warrants are to be sold separately or with other securities as parts of units;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any additional terms of the warrants, including terms, procedures and limitations relating to the exchange and exercise of the warrants.</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Outstanding Warrants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had outstanding:</w:t>
      </w:r>
    </w:p>
    <w:p>
      <w:pPr>
        <w:spacing w:after="0" w:line="225" w:lineRule="exact"/>
        <w:rPr>
          <w:sz w:val="20"/>
          <w:szCs w:val="20"/>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warrants to purchase 183 shares of our common stock at an exercise price of $2,754.00 per share, which are exercisable through April 9, 2023;</w:t>
      </w:r>
    </w:p>
    <w:p>
      <w:pPr>
        <w:spacing w:after="0" w:line="46"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warrants to purchase 2,770 shares of our common stock at an exercise price of $40.50 per share, which are exercisable through March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warrants to purchase 8,082 shares of our common stock at an exercise price of $8.13 per share, which are exercisable through July 14,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warrants to purchase 29,500 shares of our common stock at an exercise price of $12.50 per share, which are exercisable through July 15, 2022;</w:t>
      </w:r>
    </w:p>
    <w:p>
      <w:pPr>
        <w:spacing w:after="0" w:line="32" w:lineRule="exact"/>
        <w:rPr>
          <w:rFonts w:ascii="Arial" w:cs="Arial" w:eastAsia="Arial" w:hAnsi="Arial"/>
          <w:sz w:val="16"/>
          <w:szCs w:val="16"/>
          <w:color w:val="auto"/>
        </w:rPr>
      </w:pP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warrants to purchase 45,643 shares of our common stock at an exercise price of $13.13 per share, which are exercisable through June 25, 2023;</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8"/>
        </w:numPr>
        <w:rPr>
          <w:rFonts w:ascii="Arial" w:cs="Arial" w:eastAsia="Arial" w:hAnsi="Arial"/>
          <w:sz w:val="18"/>
          <w:szCs w:val="18"/>
          <w:color w:val="auto"/>
        </w:rPr>
      </w:pPr>
      <w:r>
        <w:rPr>
          <w:rFonts w:ascii="Arial" w:cs="Arial" w:eastAsia="Arial" w:hAnsi="Arial"/>
          <w:sz w:val="18"/>
          <w:szCs w:val="18"/>
          <w:color w:val="auto"/>
        </w:rPr>
        <w:t>warrants to purchase 47,619 shares of our common stock at an exercise price of $13.13 per share, which are exercisable through June 27, 2023; and</w:t>
      </w:r>
    </w:p>
    <w:p>
      <w:pPr>
        <w:ind w:left="660" w:hanging="328"/>
        <w:spacing w:after="0"/>
        <w:tabs>
          <w:tab w:leader="none" w:pos="660" w:val="left"/>
        </w:tabs>
        <w:numPr>
          <w:ilvl w:val="0"/>
          <w:numId w:val="8"/>
        </w:numPr>
        <w:rPr>
          <w:rFonts w:ascii="Arial" w:cs="Arial" w:eastAsia="Arial" w:hAnsi="Arial"/>
          <w:sz w:val="16"/>
          <w:szCs w:val="16"/>
          <w:color w:val="auto"/>
        </w:rPr>
      </w:pPr>
      <w:r>
        <w:rPr>
          <w:rFonts w:ascii="Arial" w:cs="Arial" w:eastAsia="Arial" w:hAnsi="Arial"/>
          <w:sz w:val="16"/>
          <w:szCs w:val="16"/>
          <w:color w:val="auto"/>
        </w:rPr>
        <w:t>warrants to purchase 45,045 shares of our common stock at an exercise price of $13.88 per share, which are exercisable through June 30, 2023.</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29"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and registrar for any warrants will be set forth in the applicable prospectus supplement.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DESCRIPTION OF DEBT SECURITIES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following description, together with the additional information we include in any applicable prospectus supplements, summarizes the material terms and provisions of the debt securities that we may offer under this prospectus. While the terms we have summarized below will apply generally to any future debt securities we may offer pursuant to this prospectus, we will describe the particular terms of any debt securities that we may offer in more detail in the applicable prospectus supplement. If we so indicate in a prospectus supplement, the terms of any debt securities offered under such prospectus supplement may differ from the terms we describe below, and to the extent the terms set forth in a prospectus supplement differ from the terms described below, the terms set forth in the prospectus supplement shall control.</w:t>
      </w:r>
    </w:p>
    <w:p>
      <w:pPr>
        <w:spacing w:after="0" w:line="19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We may sell from time to time, in one or more offerings under this prospectus, debt securities, which may be senior or subordinated. We will issue any such senior debt securities under a senior indenture that we will enter into with a trustee to be named in the senior indenture. We will issue any such subordinated debt securities under a subordinated indenture, which we will enter into with a trustee to be named in the subordinated indenture. We have filed forms of these documents as exhibits to the registration statement, of which this prospectus is a part. We use the term “indentures” to refer to either the senior indenture or the subordinated indenture, as applicable. The indentures will be qualified under the Trust Indenture Act of 1939, or the Trust Indenture Act, as in effect on the date of the indenture. We use the term “debenture trustee” to refer to either the trustee under the senior indenture or the trustee under the subordinated indenture, as applicable.</w:t>
      </w:r>
    </w:p>
    <w:p>
      <w:pPr>
        <w:spacing w:after="0" w:line="17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summaries of material provisions of the senior debt securities, the subordinated debt securities and the indentures are subject to, and qualified in their entirety by reference to, all the provisions of the indenture applicable to a particular series of debt securities.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Each indenture provides that debt securities may be issued from time to time in one or more series and may be denominated and payable in foreign currencies or units based on or relating to foreign currencies. Neither the senior indenture nor any subordinated indenture limits the amount of debt securities that may be issued thereunder, and each indenture provides that the specific terms of any series of debt securities shall be set forth in, or determined pursuant to, an authorizing resolution and/or a supplemental indenture, if any, relating to such series.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will describe in each prospectus supplement the following terms relating to a series of debt securities:</w:t>
      </w:r>
    </w:p>
    <w:p>
      <w:pPr>
        <w:spacing w:after="0" w:line="225" w:lineRule="exact"/>
        <w:rPr>
          <w:sz w:val="20"/>
          <w:szCs w:val="20"/>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title or designation;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aggregate principal amount and any limit on the amount that may be issued;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we will issue the series of debt securities in global form, the terms of any global securities and who the depositary will be;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maturity date and the date or dates on which principal will be payable;</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interest rate, which may be fixed or variable, or the method for determining the rate and the date interest will begin to accrue, the date or dates interest will be payable and the record dates for interest payment dates or the method for determining such dates;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of the subordination of any series of subordinated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place or places where payments will be payable;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17" w:name="page18"/>
    <w:bookmarkEnd w:id="17"/>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right, if any, to defer payment of interest and the maximum length of any such deferral period;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if any, after which, and the price at which, we may, at our option, redeem the series of debt securities pursuant to any optional redemption provisions;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date, if any, on which, and the price at which we are obligated, pursuant to any mandatory sinking fund provisions or otherwise, to redeem, or at the holder’s option to purchase, the series of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the indenture will restrict our ability to pay dividends, or will require us to maintain any asset ratios or reserves;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whether we will be restricted from incurring any additional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discussion on any material or special U.S. federal income tax considerations applicable to a series of debt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denominations in which we will issue the series of debt securities, if other than denominations of $1,000 and any integral multiple thereof; and</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other specific terms, preferences, rights or limitations of, or restrictions on, the debt securities.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or Exchange Rights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set forth in the prospectus supplement the terms, if any, on which a series of debt securities may be convertible into or exchangeable for our common stock or our other securities. We will include provisions as to whether conversion or exchange is mandatory, at the option of the holder or at our option. We may include provisions pursuant to which the number of shares of our common stock or our other securities that the holders of the series of debt securities receive would be subject to adjustment.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Consolidation, Merger or Sale; No Protection in Event of a Change of Control or Highly Leveraged Transaction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indentures do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state otherwise in the applicable prospectus supplement, the debt securities will not contain any provisions that may afford holders of the debt securities protection in the event we have a change of control or in the event of a highly leveraged transaction (whether or not such transaction results in a change of control), which could adversely affect holders of debt securities.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Events of Default Under the Indenture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events of default under the indentures with respect to any series of debt securities that we may issue:</w:t>
      </w:r>
    </w:p>
    <w:p>
      <w:pPr>
        <w:spacing w:after="0" w:line="225" w:lineRule="exact"/>
        <w:rPr>
          <w:sz w:val="20"/>
          <w:szCs w:val="20"/>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pay interest when due and our failure continues for 90 days and the time for payment has not been extended or deferred;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we fail to pay the principal, or premium, if any, when due and the time for payment has not been extended or delayed;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8" w:name="page19"/>
    <w:bookmarkEnd w:id="18"/>
    <w:p>
      <w:pPr>
        <w:jc w:val="both"/>
        <w:ind w:left="660" w:hanging="328"/>
        <w:spacing w:after="0" w:line="259"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we fail to observe or perform any other covenant set forth in the debt securities of such series or the applicable indentures, other than a covenant specifically relating to and for the benefit of holders of another series of debt securities, and our failure continues for 90 days after we receive written notice from the debenture trustee or holders of not less than a majority in aggregate principal amount of the outstanding debt securities of the applicable series; and</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if specified events of bankruptcy, insolvency or reorganization occur as to us.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No event of default with respect to a particular series of debt securities (except as to certain events of bankruptcy, insolvency or reorganization) necessarily constitutes an event of default with respect to any other series of debt securities. The occurrence of an event of default may constitute an event of default under any bank credit agreements we may have in existence from time to time. In addition, the occurrence of certain events of default or acceleration under the indenture may constitute an event of default under certain of our other indebtedness outstanding from time to time.</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If an event of default with respect to debt securities of any series at the time outstanding occurs and is continuing, then the trustee or the holders of not less than a majority in principal amount of the outstanding debt securities of that series may, by a notice in writing to us (and to the debenture trustee if given by the holders), declare to be due and payable immediately the principal (or, if the debt securities of that series are discount securities, that portion of the principal amount as may be specified in the terms of that series) of and premium and accrued and unpaid interest, if any, on all debt securities of that series. Before a judgment or decree for payment of the money due has been obtained with respect to debt securities of any series, the holders of a majority in principal amount of the outstanding debt securities of that series (or, at a meeting of holders of such series at which a quorum is present, the holders of a majority in principal amount of the debt securities of such series represented at such meeting) may rescind and annul the acceleration if all events of default, other than the non-payment of accelerated principal, premium, if any, and interest, if any, with respect to debt securities of that series, have been cured or waived as provided in the applicable indenture (including payments or deposits in respect of principal, premium or interest that had become due other than as a result of such acceleration). We refer you to the prospectus supplement relating to any series of debt securities that are discount securities for the particular provisions relating to acceleration of a portion of the principal amount of such discount securities upon the occurrence of an event of default.</w:t>
      </w:r>
    </w:p>
    <w:p>
      <w:pPr>
        <w:spacing w:after="0" w:line="172"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if an event of default under an indenture shall occur and be continuing, the debenture trustee will be under no obligation to exercise any of its rights or powers under such indenture at the request or direction of any of the holders of the applicable series of debt securities, unless such holders have offered the debenture trustee reasonable indemnity. The holders of a majority in principal amount of the outstanding debt securities of any series will have the right to direct the time, method and place of conducting any proceeding for any remedy available to the debenture trustee, or exercising any trust or power conferred on the debenture trustee, with respect to the debt securities of that series, provided that:</w:t>
      </w:r>
    </w:p>
    <w:p>
      <w:pPr>
        <w:spacing w:after="0" w:line="16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direction so given by the holder is not in conflict with any law or the applicable indenture;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subject to its duties under the Trust Indenture Act, the debenture trustee need not take any action that might involve it in personal liability or might be unduly prejudicial to the holders not involved in the proceeding.</w:t>
      </w:r>
    </w:p>
    <w:p>
      <w:pPr>
        <w:spacing w:after="0" w:line="170"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A holder of the debt securities of any series will only have the right to institute a proceeding under the indentures or to appoint a receiver or trustee, or to seek other remedies if:</w:t>
      </w:r>
    </w:p>
    <w:p>
      <w:pPr>
        <w:spacing w:after="0" w:line="170" w:lineRule="exact"/>
        <w:rPr>
          <w:sz w:val="20"/>
          <w:szCs w:val="20"/>
          <w:color w:val="auto"/>
        </w:rPr>
      </w:pPr>
    </w:p>
    <w:p>
      <w:pPr>
        <w:ind w:left="660" w:hanging="328"/>
        <w:spacing w:after="0"/>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 previously has given written notice to the debenture trustee of a continuing event of default with respect to that series;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holders of at least a majority in aggregate principal amount of the outstanding debt securities of that series have made written request, and such holders have offered reasonable indemnity to the debenture trustee to institute the proceeding as trustee; and</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debenture trustee does not institute the proceeding, and does not receive from the holders of a majority in aggregate principal amount of the outstanding debt securities of that series (or at a meeting of holders of such series at which a quorum is present, the holders of a majority in principal amount of the debt securities of such series represented at such meeting) other conflicting directions within 60 days after the notice, request and offer.</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19" w:name="page20"/>
    <w:bookmarkEnd w:id="19"/>
    <w:p>
      <w:pPr>
        <w:ind w:firstLine="648"/>
        <w:spacing w:after="0" w:line="277" w:lineRule="auto"/>
        <w:rPr>
          <w:sz w:val="20"/>
          <w:szCs w:val="20"/>
          <w:color w:val="auto"/>
        </w:rPr>
      </w:pPr>
      <w:r>
        <w:rPr>
          <w:rFonts w:ascii="Arial" w:cs="Arial" w:eastAsia="Arial" w:hAnsi="Arial"/>
          <w:sz w:val="18"/>
          <w:szCs w:val="18"/>
          <w:color w:val="auto"/>
        </w:rPr>
        <w:t>These limitations do not apply to a suit instituted by a holder of debt securities if we default in the payment of the principal, premium, if any, or interest on, the debt securities.</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We will periodically file statements with the applicable debenture trustee regarding our compliance with specified covenants in the applicable indenture.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Modification of Indenture; Waiver</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debenture trustee and we may change the applicable indenture without the consent of any holders with respect to specific matters, including:</w:t>
      </w:r>
    </w:p>
    <w:p>
      <w:pPr>
        <w:spacing w:after="0" w:line="248" w:lineRule="exact"/>
        <w:rPr>
          <w:sz w:val="20"/>
          <w:szCs w:val="20"/>
          <w:color w:val="auto"/>
        </w:rPr>
      </w:pPr>
    </w:p>
    <w:p>
      <w:pPr>
        <w:ind w:left="660" w:hanging="328"/>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fix any ambiguity, defect or inconsistency in the indenture;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to change anything that does not materially adversely affect the interests of any holder of debt securities of any series issued pursuant to such indenture.</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addition, under the indentures, the rights of holders of a series of debt securities may be changed by us and the debenture trustee with the written consent of the holders of at least a majority in aggregate principal amount of the outstanding debt securities of each series (or, at a meeting of holders of such series at which a quorum is present, the holders of a majority in principal amount of the debt securities of such series represented at such meeting) that is affected. However, the debenture trustee and we may make the following changes only with the consent of each holder of any outstanding debt securities affected:</w:t>
      </w:r>
    </w:p>
    <w:p>
      <w:pPr>
        <w:spacing w:after="0" w:line="188"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extending the fixed maturity of the series of debt securities;</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principal amount, reducing the rate of or extending the time of payment of interest, or any premium payable upon the redemption of any debt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principal amount of discount securities payable upon acceleration of maturity;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making the principal of or premium or interest on any debt security payable in currency other than that stated in the debt security;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reducing the percentage of debt securities, the holders of which are required to consent to any amendment or waiver.</w:t>
      </w:r>
    </w:p>
    <w:p>
      <w:pPr>
        <w:spacing w:after="0" w:line="22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Except for certain specified provisions, the holders of at least a majority in principal amount of the outstanding debt securities of any series (or, at a meeting of holders of such series at which a quorum is present, the holders of a majority in principal amount of the debt securities of such series represented at such meeting) may on behalf of the holders of all debt securities of that series waive our compliance with provisions of the indenture. The holders of a majority in principal amount of the outstanding debt securities of any series may on behalf of the holders of all the debt securities of such series waive any past default under the indenture with respect to that series and its consequences, except a default in the payment of the principal of, premium or any interest on any debt security of that series or in respect of a covenant or provision, which cannot be modified or amended without the consent of the holder of each outstanding debt security of the series affected; provided, however, that the holders of a majority in principal amount of the outstanding debt securities of any series may rescind an acceleration and its consequences, including any related payment default that resulted from the acceleration.</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Discharge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Each indenture provides that we can elect to be discharged from our obligations with respect to one or more series of debt securities, except for obligations to:</w:t>
      </w:r>
    </w:p>
    <w:p>
      <w:pPr>
        <w:spacing w:after="0" w:line="170" w:lineRule="exact"/>
        <w:rPr>
          <w:sz w:val="20"/>
          <w:szCs w:val="20"/>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register the transfer or exchange of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replace stolen, lost or mutilated debt securities of the series;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maintain paying agencies;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hold monies for payment in trust;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compensate and indemnify the trustee;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appoint any successor trustee.</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In order to exercise our rights to be discharged with respect to a series, we must deposit with the trustee money or government obligations sufficient to pay all the principal of, the premium, if any, and interest on, the debt securities of the series on the dates payments are due.</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Exchange, and Transfer</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issue the debt securities of each series only in fully registered form without coupons and, unless we otherwise specify in the applicable prospectus supplement, in denominations of $1,000 and any integral multiple thereof. The indentures provide that we may issue debt securities of a series in temporary or permanent global form and as book-entry securities that will be deposited with, or on behalf of, The Depository Trust Company or another depositary named by us and identified in a prospectus supplement with respect to that series.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At the option of the holder, subject to the terms of the indentures and the limitations applicable to global securities described in the applicable prospectus supplement, the holder of the debt securities of any series can exchange the debt securities for other debt securities of the same series, in any authorized denomination and of like tenor and aggregate principal amount.</w:t>
      </w:r>
    </w:p>
    <w:p>
      <w:pPr>
        <w:spacing w:after="0" w:line="184"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Subject to the terms of the indentures and the limitations applicable to global securities set forth in the applicable prospectus supplement,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or in the applicable indenture, we will make no service charge for any registration of transfer or exchange, but we may require payment of any taxes or other governmental charges.</w:t>
      </w:r>
    </w:p>
    <w:p>
      <w:pPr>
        <w:spacing w:after="0" w:line="16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will name in the applicable prospectus supplement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we elect to redeem the debt securities of any series, we will not be required to:</w:t>
      </w:r>
    </w:p>
    <w:p>
      <w:pPr>
        <w:spacing w:after="0" w:line="225" w:lineRule="exact"/>
        <w:rPr>
          <w:sz w:val="20"/>
          <w:szCs w:val="20"/>
          <w:color w:val="auto"/>
        </w:rPr>
      </w:pPr>
    </w:p>
    <w:p>
      <w:pPr>
        <w:jc w:val="both"/>
        <w:ind w:left="660" w:hanging="328"/>
        <w:spacing w:after="0" w:line="26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183"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register the transfer of or exchange any debt securities so selected for redemption, in whole or in part, except the unredeemed portion of any debt securities we are redeeming in part.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Information Concerning the Debenture Trustee</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debenture trustee, other than during the occurrence and continuance of an event of default under the applicable indenture, undertakes to perform only those duties as are specifically set forth in the applicable indenture. Upon an event of default under an indenture, the debenture trustee under such indenture must use the same degree of care as a prudent person would exercise or use in the conduct of his or her own affairs. Subject to this provision, the debenture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and Paying Agents</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Unless we otherwise indicate in the applicable prospectus supplement,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pay principal of and any premium and interest on the debt securities of a particular series at the office of the paying agents designated by us, except that unless we otherwise indicate in the applicable prospectus supplement, we will make interest payments by check which we will mail to the holder. Unless we otherwise indicate in a prospectus supplement, we will designate the corporate trust office of the debenture trustee in the City of New York as our sole paying agent for payments with respect to debt securities of each series. We will name in the applicable prospectus supplement any other paying agents that we initially designate for the debt securities of a particular series. We will maintain a paying agent in each place of payment for the debt securities of a particular series.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money we pay to a paying agent or the debenture trustee for the payment of the principal of or any premium or interest on any debt securities which remains unclaimed at the end of two years after such principal, premium or interest has become due and payable will be repaid to us, and the holder of the security thereafter may look only to us for payment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indentures and the debt securities will be governed by and construed in accordance with the laws of the State of New York, except to the extent that the Trust Indenture Act is applicable.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Subordination of Subordinated Debt Securities</w:t>
      </w:r>
    </w:p>
    <w:p>
      <w:pPr>
        <w:spacing w:after="0" w:line="22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Our obligations pursuant to any subordinated debt securities will be unsecured and will be subordinate and junior in priority of payment to certain of our other indebtedness to the extent described in a prospectus supplement. The subordinated indenture does not limit the amount of senior indebtedness we may incur. It also does not limit us from issuing any other secured or unsecured debt.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DESCRIPTION OF RIGHTS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We may issue rights to our stockholders to purchase shares of our common stock, preferred stock or the other securities described in this prospectus. We may offer rights separately or together with one or more additional rights, debt securities, preferred stock, common stock or warrants, or any combination of those securities in the form of units, as described in the applicable prospectus supplement. Each series of rights will be issued under a separate rights agreement to be entered into between us and a bank or trust company, as rights agent. The rights agent will act solely as our agent in connection with the certificates relating to the rights of the series of certificates and will not assume any obligation or relationship of agency or trust for or with any holders of rights certificates or beneficial owners of rights. The following description sets forth certain general terms and provisions of the rights to which any prospectus supplement may relate. The particular terms of the rights to which any prospectus supplement may relate and the extent, if any, to which the general provisions may apply to the rights so offered will be described in the applicable prospectus supplement. To the extent that any particular terms of the rights, rights agreement or rights certificates described in a prospectus supplement differ from any of the terms described below, then the terms described below will be deemed to have been superseded by that prospectus supplement. We encourage you to read the applicable rights agreement and rights certificate for additional information before you decide whether to purchase any of our rights.</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provide in a prospectus supplement the following terms of the rights being issued:</w:t>
      </w:r>
    </w:p>
    <w:p>
      <w:pPr>
        <w:spacing w:after="0" w:line="225" w:lineRule="exact"/>
        <w:rPr>
          <w:sz w:val="20"/>
          <w:szCs w:val="20"/>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of determining the stockholders entitled to the rights distribution;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shares of common stock, preferred stock or other securities purchasable upon exercise of the rights;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exercise price;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aggregate number of rights issued;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rights are transferrable and the date, if any, on and after which the rights may be separately transferred;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date on which the right to exercise the rights will commence, and the date on which the right to exercise the rights will expire;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method by which holders of rights will be entitled to exercise;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conditions to the completion of the offering,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withdrawal, termination and cancellation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there are any backstop or standby purchaser or purchasers and the terms of their commitment,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stockholders are entitled to oversubscription rights, if 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applicable material U.S. federal income tax considerations;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any other terms of the rights, including terms, procedures and limitations relating to the distribution, exchange and exercise of the rights, as applicable.</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Each right will entitle the holder of rights to purchase for cash the principal amount of shares of common stock, preferred stock or other securities at the exercise price provided in the applicable prospectus supplement. Rights may be exercised at any time up to the close of business on the expiration date for the rights provided in the applicable prospectus supplement.</w:t>
      </w:r>
    </w:p>
    <w:p>
      <w:pPr>
        <w:spacing w:after="0" w:line="18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Holders may exercise rights as described in the applicable prospectus supplement. Upon receipt of payment and the rights certificate properly completed and duly executed at the corporate trust office of the rights agent or any other office indicated in the prospectus supplement, we will, as soon as practicable, forward the shares of common stock, preferred stock or other securities, as applicable, purchasable upon exercise of the rights. If less than all of the rights issued in any rights offering are exercised, we may offer any unsubscribed securities directly to persons other than stockholders, to or through agents, underwriters or dealers or through a combination of such methods, including pursuant to standby arrangements, as described in the applicable prospectus supplement.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rights agent for any rights we offer will be set forth in the applicable prospectus supplement.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DESCRIPTION OF UNITS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following description, together with the additional information that we include in any applicable prospectus supplements summarizes the material terms and provisions of the units that we may offer under this prospectus. While the terms we have summarized below will apply generally to any units that we may offer under this prospectus, we will describe the particular terms of any series of units in more detail in the applicable prospectus supplement. The terms of any units offered under a prospectus supplement may differ from the terms described below.</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will incorporate by reference from reports that we file with the SEC, the form of unit agreement that describes the terms of the series of units we are offering, and any supplemental agreements, before the issuance of the related series of units. The following summaries of material terms and provisions of the units are subject to, and qualified in their entirety by reference to, all the provisions of the unit agreement and any supplemental agreements applicable to a particular series of units. We urge you to read the applicable prospectus supplements related to the particular series of units that we may offer under this prospectus, as well as any related free writing prospectuses and the complete unit agreement and any supplemental agreements that contain the terms of the units.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may issue units consisting of common stock, preferred stock, one or more debt securities, warrants, rights for the purchase of common stock, preferred stock and/or debt securities in one or more series, in any combination. Each unit will be issued so that the holder of the unit is also the holder of each security included in the unit. Thus, the holder of a unit will have the rights and obligations of a holder of each security included in the unit. The unit agreement under which a unit is issued may provide that the securities included in the unit may not be held or transferred separately, at any time or at any time before a specified date.</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will describe in the applicable prospectus supplement the terms of the series of units being offered, including:</w:t>
      </w:r>
    </w:p>
    <w:p>
      <w:pPr>
        <w:spacing w:after="0" w:line="225" w:lineRule="exact"/>
        <w:rPr>
          <w:sz w:val="20"/>
          <w:szCs w:val="20"/>
          <w:color w:val="auto"/>
        </w:rPr>
      </w:pPr>
    </w:p>
    <w:p>
      <w:pPr>
        <w:ind w:left="660" w:right="20" w:hanging="328"/>
        <w:spacing w:after="0" w:line="27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designation and terms of the units and of the securities comprising the units, including whether and under what circumstances those securities may be held or transferred separately;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of the governing unit agreement that differ from those described below;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any provisions for the issuance, payment, settlement, transfer or exchange of the units or of the securities comprising the units.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provisions described in this section, as well as those set forth in any prospectus supplement or as described under “Description of Common Stock,” “Description of Preferred Stock,” “Description of Debt Securities,” “Description of Warrants” and “Description of Rights” will apply to each unit, as applicable, and to any common stock, preferred stock, debt security, warrant or right included in each unit, as applicable.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 Agent</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name and address of the unit agent for any units we offer will be set forth in the applicable prospectus supplement.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Issuance in Series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may issue units in such amounts and in such numerous distinct series as we determine.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Enforceability of Rights by Holders of Units</w:t>
      </w:r>
    </w:p>
    <w:p>
      <w:pPr>
        <w:spacing w:after="0" w:line="229"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Each unit agent will act solely as our agent under the applicable unit agreement and will not assume any obligation or relationship of agency or trust with any holder of any unit. A single bank or trust company may act as unit agent for more than one series of units. A unit agent will have no duty or responsibility in case of any default by us under the applicable unit agreement or unit, including any duty or responsibility to initiate any proceedings at law or otherwise, or to make any demand upon us. Any holder of a unit may, without the consent of the related unit agent or the holder of any other unit, enforce by appropriate legal action its rights as holder under any security included in the unit.</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CERTAIN PROVISIONS OF DELAWARE LAW AND OF THE COMPANY’S CERTIFICATE OF</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AND BYLAWS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Anti-Takeover Provisions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Delaware Law</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231F20"/>
        </w:rPr>
        <w:t>We are subject to the anti-takeover provisions of Section 203 of the Delaware General Corporation Law, or DGCL. Section 203 prohibits a publicly-held Delaware corporation from engaging in a “business combination” with an “interested stockholder” for a period of three years after the date of the transaction in which the person became an interested stockholder, unless the business combination is, or the transaction in which the person became an interested stockholder was, approved in a prescribed manner or another prescribed exception applies. For purposes of Section 203, a “business combination” is defined broadly to include a merger, asset sale or other transaction resulting in a financial benefit to the interested stockholder, and, subject to certain exceptions, an “interested stockholder” is a person who, together with his or her affiliates and associates, owns, or within three years prior, did own, 15% or more of the corporation’s voting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231F20"/>
        </w:rPr>
        <w:t>Staggered Board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Our restated certificate of incorporation and restated by-laws provide for the Board of Directors to be divided into three classes serving staggered terms. At each annual meeting of stockholders, directors elected to succeed those directors whose terms expire are elected for a three-year term of office. All directors elected to our classified Board of Directors will serve until the election and qualification of their respective successors or their earlier resignation or removal. The Board of Directors is authorized to create new directorships and to fill such positions so created and is permitted to specify the class to which any such new position is assigned. The person filling such position would serve for the term applicable to that class. The Board of Directors (or its remaining members, even if less than a quorum) is also empowered to fill vacancies on the Board of Directors occurring for any reason for the remainder of the term of the class of directors in which the vacancy occurred. Members of the Board of Directors may only be removed for cause and only by the affirmative vote of 80% of the outstanding voting stock. These provisions are likely to increase the time required for stockholders to change the composition of the Board of Directors. For example, in general, at least two annual meetings will be necessary for stockholders to effect a change in a majority of the members of the Board of Directors. The provision for a classified board could prevent a party who acquires control of a majority of our outstanding common stock from obtaining control of our Board of Directors until our second annual stockholders meeting following the date the acquirer obtains the controlling stock interest. The classified board provision could have the effect of discouraging a potential acquirer from making a tender offer or otherwise attempting to obtain control of us and could increase the likelihood that incumbent directors will retain their positions.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Advance notice provisions for stockholder proposals</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Our restated by-laws establish an advance notice procedure for stockholder nominations of candidates for election to our Board of Directors, as well as procedures for including proposed nominations at special meetings at which directors are to be elected. Stockholders at our annual meeting may only consider proposals or nominations specified in the notice of meeting or brought before the meeting by or at the direction of our board or by a stockholder who was a stockholder of record on the record date for the meeting, who is entitled to vote at the meeting and who has given to our secretary timely written notice, in proper form, of the stockholder’s intention to bring that business before the meeting, and who has complied with the procedures and requirements set forth in the by-laws. Although the by-laws do not give the Board of Directors the power to approve or disapprove stockholder nominations of candidates or proposals regarding other business to be conducted at a special or annual meeting, these by-laws may have the effect of precluding the conduct of some business at a meeting if the proper procedures are not followed or may discourage or defer a potential acquirer from conducting a solicitation of proxies to elect its own slate of directors or otherwise attempting to obtain control of Microbot.</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i w:val="1"/>
          <w:iCs w:val="1"/>
          <w:color w:val="auto"/>
        </w:rPr>
        <w:t>Special meetings of stockholders</w:t>
      </w:r>
    </w:p>
    <w:p>
      <w:pPr>
        <w:spacing w:after="0" w:line="225" w:lineRule="exact"/>
        <w:rPr>
          <w:sz w:val="20"/>
          <w:szCs w:val="20"/>
          <w:color w:val="auto"/>
        </w:rPr>
      </w:pPr>
    </w:p>
    <w:p>
      <w:pPr>
        <w:jc w:val="both"/>
        <w:ind w:right="20" w:firstLine="648"/>
        <w:spacing w:after="0" w:line="308" w:lineRule="auto"/>
        <w:rPr>
          <w:sz w:val="20"/>
          <w:szCs w:val="20"/>
          <w:color w:val="auto"/>
        </w:rPr>
      </w:pPr>
      <w:r>
        <w:rPr>
          <w:rFonts w:ascii="Arial" w:cs="Arial" w:eastAsia="Arial" w:hAnsi="Arial"/>
          <w:sz w:val="17"/>
          <w:szCs w:val="17"/>
          <w:color w:val="auto"/>
        </w:rPr>
        <w:t>Special meetings of the stockholders may be called only by the Board of Directors, president or secretary upon the application of a majority of the directors. Stockholders are not permitted to call a special meeting or to require our Board of Directors to call a special meeting.</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 stockholder action by written consent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restated certificate of incorporation and restated by-laws do not permit our stockholders to act by written consent. As a result, any action to be effected by our stockholders must be effected at a duly called annual or special meeting of the stockholders.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stockholder vote required for certain actions.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DGCL provides generally that the affirmative vote of a majority of the shares entitled to vote on any matter is required to amend a corporation’s certificate of incorporation or by-laws, unless the corporation’s certificate of incorporation or by-laws, as the case may be, requires a greater percentage. Our restated certificate of incorporation requires the affirmative vote of the holders of at least 80% of our outstanding voting stock to amend or repeal certain provisions of our restated certificate of incorporation. This 80% stockholder vote would be in addition to any separate class vote that might in the future be required pursuant to the terms of any preferred stock that might then be outstanding. In addition, an 80% vote is also required for any amendment to, or repeal of, our restated by-laws by the stockholders. Our restated by-laws may be amended or repealed by a vote of a majority of the total number of authorized directors.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231F20"/>
        </w:rPr>
        <w:t>Limitation of Liability and Indemnification</w:t>
      </w:r>
    </w:p>
    <w:p>
      <w:pPr>
        <w:spacing w:after="0" w:line="229"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Our restated certificate of incorporation and our amended and restated bylaws provide that each person who was or is made a party or is threatened to be made a party to or is otherwise involved (including, without limitation, as a witness) in any action, suit or proceeding, whether civil, criminal, administrative or investigative, by reason of the fact that he or she is or was one of our directors or officers or is or was serving at our request as a director, officer, or trustee of another corporation, or of a partnership, joint venture, trust or other enterprise, including service with respect to an employee benefit plan, whether the basis of such proceeding is alleged action in an official capacity as a director, officer or trustee or in any other capacity while serving as a director, officer or trustee, shall be indemnified and held harmless by us to the fullest extent authorized by the DGCL against all expense, liability and loss (including attorneys’ fees, judgments, fines, ERISA excise taxes or penalties and amounts paid in settlement) reasonably incurred or suffered by such.</w:t>
      </w:r>
    </w:p>
    <w:p>
      <w:pPr>
        <w:spacing w:after="0" w:line="16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permits a corporation to indemnify any director or officer of the corporation against expenses (including attorneys’ fees), judgments, fines and amounts paid in settlement actually and reasonably incurred in connection with any action, suit or proceeding brought by reason of the fact that such person is or was a director or officer of the corporation, if such person acted in good faith and in a manner that he or she reasonably believed to be in, or not opposed to, the best interests of the corporation, and, with respect to any criminal action or proceeding, if he or she had no reasonable cause to believe his or her conduct was unlawful. In a derivative action (i.e., one brought by or on behalf of the corporation), indemnification may be provided only for expenses actually and reasonably incurred by any director or officer in connection with the defense or settlement of such an action or suit if such person acted in good faith and in a manner that he or she reasonably believed to be in, or not opposed to, the best interests of the corporation, except that no indemnification shall be provided if such person shall have been adjudged to be liable to the corporation, unless and only to the extent that the Delaware Chancery Court or the court in which the action or suit was brought shall determine that such person is fairly and reasonably entitled to indemnity for such expenses despite such adjudication of liability.</w:t>
      </w:r>
    </w:p>
    <w:p>
      <w:pPr>
        <w:spacing w:after="0" w:line="18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Pursuant to Section 102(b)(7) of the DGCL, Article Ninth of our restated certificate of incorporation eliminates the liability of a director to us or our stockholders for monetary damages for such a breach of fiduciary duty as a director, except for liabilities arising:</w:t>
      </w:r>
    </w:p>
    <w:p>
      <w:pPr>
        <w:spacing w:after="0" w:line="170" w:lineRule="exact"/>
        <w:rPr>
          <w:sz w:val="20"/>
          <w:szCs w:val="20"/>
          <w:color w:val="auto"/>
        </w:rPr>
      </w:pPr>
    </w:p>
    <w:p>
      <w:pPr>
        <w:ind w:left="5540" w:right="4920" w:hanging="4884"/>
        <w:spacing w:after="0" w:line="623" w:lineRule="auto"/>
        <w:tabs>
          <w:tab w:leader="none" w:pos="986" w:val="left"/>
        </w:tabs>
        <w:numPr>
          <w:ilvl w:val="0"/>
          <w:numId w:val="21"/>
        </w:numPr>
        <w:rPr>
          <w:rFonts w:ascii="Arial" w:cs="Arial" w:eastAsia="Arial" w:hAnsi="Arial"/>
          <w:sz w:val="16"/>
          <w:szCs w:val="16"/>
          <w:color w:val="auto"/>
        </w:rPr>
      </w:pPr>
      <w:r>
        <w:rPr>
          <w:rFonts w:ascii="Arial" w:cs="Arial" w:eastAsia="Arial" w:hAnsi="Arial"/>
          <w:sz w:val="16"/>
          <w:szCs w:val="16"/>
          <w:color w:val="auto"/>
        </w:rPr>
        <w:t>from any breach of the director’s duty of loyalty to us or our stockholders; 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-185420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6" w:name="page27"/>
    <w:bookmarkEnd w:id="26"/>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acts or omissions not in good faith or which involve intentional misconduct or a knowing violation of law;</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under Section 174 of the DGCL; and</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from any transaction from which the director derived an improper personal benefit.</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231F20"/>
        </w:rPr>
        <w:t>We have entered into indemnification agreements with our directors and certain officers, in addition to the indemnification provided in our restated certificate of incorporation and our amended and restated bylaws, and intend to enter into indemnification agreements with any new directors and executive officers in the future. We have purchased and intend to maintain insurance on behalf of any person who is or was a director or officer against any loss arising from any claim asserted against him or her and incurred by him or her in any such capacity, subject to certain exclusions.</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31F20"/>
        </w:rPr>
        <w:t>The foregoing discussion of our restated certificate of incorporation, amended and restated bylaws, indemnification agreements, indemnity agreement, and Delaware law is not intended to be exhaustive and is qualified in its entirety by such restated certificate of incorporation, amended and restated bylaws, indemnification agreements, indemnity agreement, or law.</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validity of the shares being offered under this prospectus by us will be passed upon for us by Mintz, Levin, Cohn, Ferris, Glovsky and Popeo, P.C., Boston, Massachusetts.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consolidated financial statements of Microbot Medical Inc. appearing it its Annual Report on Form 10-K for the year ended December 31, 2019, have been audited by Brightman Almagor Zohar &amp; Co., a firm in the Deloitte Global Network, independent registered public accounting firm, as set forth in their report thereon, including therein, and incorporated herein by reference. Such consolidated financial statements are incorporated herein by reference in reliance upon such report given on the authority of such firm as experts in accounting and auditing.</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are subject to the reporting requirements of the Exchange Act and file annual, quarterly and current reports, proxy statements and other information with the SEC. SEC filings are available at the SEC’s website at http://www.sec.gov.</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This prospectus is only part of a registration statement on Form S-3 that we have filed with the SEC under the Securities Act and therefore omits certain information contained in the registration statement. We have also filed exhibits and schedules with the registration statement that are excluded from this prospectus, and you should refer to the applicable exhibit or schedule for a complete description of any statement referring to any contract or other document.</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registration statement and the documents referred to below under “Incorporation of Certain Information by Reference” are also available on our website at http://www.microbotmedical.com. We have not incorporated by reference into this prospectus the information on our website, and you should not consider it to be a part of this prospectus.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INCORPORATION OF DOCUMENTS BY REFERENCE</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 allows us to “incorporate by reference” information that we file with them. Incorporation by reference allows us to disclose important information to you by referring you to those other documents. The information incorporated by reference is an important part of this prospectus, and information that we file later with the SEC will automatically update and supersede this information. We filed a registration statement on Form S-3 under the Securities Act with the SEC with respect to the securities we may offer pursuant to this prospectus. This prospectus omits certain information contained in the registration statement, as permitted by the SEC. You should refer to the registration statement, including the exhibits, for further information about us and the securities we may offer pursuant to this prospectus. Statements in this prospectus regarding the provisions of certain documents filed with, or incorporated by reference in, the registration statement are not necessarily complete and each statement is qualified in all respects by that reference. Copies of all or any part of the registration statement, including the documents incorporated by reference or the exhibits, are available at the SEC’s website at http://www.sec.gov. The documents we are incorporating by reference are:</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7" w:name="page28"/>
    <w:bookmarkEnd w:id="27"/>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Annual Report on Form 10-K for the year ended December 31, 2019 filed with the SEC on April 14, 2020 and Amendment No. 1 to our Annual Report on Form 10-K for the year ended December 31, 2019 filed on April 29, 2020;</w:t>
      </w:r>
    </w:p>
    <w:p>
      <w:pPr>
        <w:spacing w:after="0" w:line="170" w:lineRule="exact"/>
        <w:rPr>
          <w:rFonts w:ascii="Arial" w:cs="Arial" w:eastAsia="Arial" w:hAnsi="Arial"/>
          <w:sz w:val="18"/>
          <w:szCs w:val="18"/>
          <w:color w:val="auto"/>
        </w:rPr>
      </w:pPr>
    </w:p>
    <w:p>
      <w:pPr>
        <w:ind w:left="980" w:right="2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Quarterly Reports on Form 10-Q for the quarters ended March 31, 2020, June 30, 2020 and September 30, 2020 that we filed with the SEC on May 15, 2020, August 14, 2020 and November 16, 2020.</w:t>
      </w:r>
    </w:p>
    <w:p>
      <w:pPr>
        <w:spacing w:after="0" w:line="170" w:lineRule="exact"/>
        <w:rPr>
          <w:rFonts w:ascii="Arial" w:cs="Arial" w:eastAsia="Arial" w:hAnsi="Arial"/>
          <w:sz w:val="18"/>
          <w:szCs w:val="18"/>
          <w:color w:val="auto"/>
        </w:rPr>
      </w:pPr>
    </w:p>
    <w:p>
      <w:pPr>
        <w:jc w:val="both"/>
        <w:ind w:left="980" w:right="20" w:hanging="324"/>
        <w:spacing w:after="0" w:line="263"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(except for the information furnished under Items 2.02 or 7.01 and the exhibits furnished thereto) on: February 25, 2020, February 28, 2020, March 3, 2020, April 1, 2020, May 7, 2020, June 19, 2020, August 3, 2020 and September 4, 2020;</w:t>
      </w:r>
    </w:p>
    <w:p>
      <w:pPr>
        <w:spacing w:after="0" w:line="183"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registration statement on Form 8-A filed August 3, 1998, under the Exchange Act, including any amendment or report filed for the purpose of updating such description; and</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all reports and other documents subsequently filed by us pursuant to Sections 13(a), 13(c), 14 and 15(d) of the Exchange Act after the date of this prospectus and prior to the termination of this offering.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SEC file number for each of the documents listed above is 000-19871</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addition, all reports and other documents filed by us pursuant to the Exchange Act after the date of the initial registration statement and prior to effectiveness of the registration statement shall be deemed to be incorporated by reference into this prospectus.</w:t>
      </w:r>
    </w:p>
    <w:p>
      <w:pPr>
        <w:spacing w:after="0" w:line="170" w:lineRule="exact"/>
        <w:rPr>
          <w:sz w:val="20"/>
          <w:szCs w:val="20"/>
          <w:color w:val="auto"/>
        </w:rPr>
      </w:pPr>
    </w:p>
    <w:p>
      <w:pPr>
        <w:jc w:val="both"/>
        <w:ind w:right="20" w:firstLine="648"/>
        <w:spacing w:after="0" w:line="279" w:lineRule="auto"/>
        <w:rPr>
          <w:sz w:val="20"/>
          <w:szCs w:val="20"/>
          <w:color w:val="auto"/>
        </w:rPr>
      </w:pPr>
      <w:r>
        <w:rPr>
          <w:rFonts w:ascii="Arial" w:cs="Arial" w:eastAsia="Arial" w:hAnsi="Arial"/>
          <w:sz w:val="17"/>
          <w:szCs w:val="17"/>
          <w:color w:val="auto"/>
        </w:rPr>
        <w:t>Any statement contained in this prospectus or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We will provide, upon written or oral request, without charge to each person, including any beneficial owner, to whom a copy of this prospectus is delivered, a copy of any or all of the information incorporated herein by reference (exclusive of exhibits to such documents unless such exhibits are specifically incorporated by reference herein). You may request a copy of any or all of these filings, at no cost, by writing or telephoning us at: Microbot Medical Inc., 25 Recreation Park Drive, Unit 108, Hingham, MA 02043; Attention: Harel Gadot; telephone number (908) 938-5561.</w:t>
      </w:r>
    </w:p>
    <w:p>
      <w:pPr>
        <w:spacing w:after="0" w:line="171"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You should rely only on information contained in, or incorporated by reference into, this prospectus and any prospectus supplement. We have not authorized anyone to provide you with information different from that contained in this prospectus or incorporated by reference in this prospectus. We are not making offers to sell the securities in any jurisdiction in which such an offer or solicitation is not authorized or in which the person making such offer or solicitation is not qualified to do so or to anyone to whom it is unlawful to make such offer or solicitation.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Other Expenses of Issuance and Distribution.</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following table sets forth the various expenses in connection with the sale and distribution of the securities being registered, all of which are being borne by us.</w:t>
      </w:r>
    </w:p>
    <w:p>
      <w:pPr>
        <w:spacing w:after="0" w:line="185" w:lineRule="exact"/>
        <w:rPr>
          <w:sz w:val="20"/>
          <w:szCs w:val="20"/>
          <w:color w:val="auto"/>
        </w:rPr>
      </w:pPr>
    </w:p>
    <w:tbl>
      <w:tblPr>
        <w:tblLayout w:type="fixed"/>
        <w:tblInd w:w="1700" w:type="dxa"/>
        <w:tblCellMar>
          <w:top w:w="0" w:type="dxa"/>
          <w:left w:w="0" w:type="dxa"/>
          <w:bottom w:w="0" w:type="dxa"/>
          <w:right w:w="0" w:type="dxa"/>
        </w:tblCellMar>
      </w:tblP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170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8,182.50</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Legal fees and expenses</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1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Blue sky fees and expenses</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Transfer Agent and Registrar fees</w:t>
            </w:r>
          </w:p>
        </w:tc>
        <w:tc>
          <w:tcPr>
            <w:tcW w:w="1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spacing w:after="0"/>
              <w:rPr>
                <w:sz w:val="20"/>
                <w:szCs w:val="20"/>
                <w:color w:val="auto"/>
              </w:rPr>
            </w:pPr>
            <w:r>
              <w:rPr>
                <w:rFonts w:ascii="Arial" w:cs="Arial" w:eastAsia="Arial" w:hAnsi="Arial"/>
                <w:sz w:val="18"/>
                <w:szCs w:val="18"/>
                <w:color w:val="auto"/>
              </w:rPr>
              <w:t>Trust fees and expenses</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Miscellaneous</w:t>
            </w:r>
          </w:p>
        </w:tc>
        <w:tc>
          <w:tcPr>
            <w:tcW w:w="17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6"/>
        </w:trPr>
        <w:tc>
          <w:tcPr>
            <w:tcW w:w="5140" w:type="dxa"/>
            <w:vAlign w:val="bottom"/>
            <w:shd w:val="clear" w:color="auto" w:fill="CCEEFF"/>
          </w:tcPr>
          <w:p>
            <w:pPr>
              <w:ind w:left="180"/>
              <w:spacing w:after="0"/>
              <w:rPr>
                <w:sz w:val="20"/>
                <w:szCs w:val="20"/>
                <w:color w:val="auto"/>
              </w:rPr>
            </w:pPr>
            <w:r>
              <w:rPr>
                <w:rFonts w:ascii="Arial" w:cs="Arial" w:eastAsia="Arial" w:hAnsi="Arial"/>
                <w:sz w:val="18"/>
                <w:szCs w:val="18"/>
                <w:b w:val="1"/>
                <w:bCs w:val="1"/>
                <w:color w:val="auto"/>
              </w:rPr>
              <w:t>Total</w:t>
            </w:r>
          </w:p>
        </w:tc>
        <w:tc>
          <w:tcPr>
            <w:tcW w:w="17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r>
    </w:tbl>
    <w:p>
      <w:pPr>
        <w:spacing w:after="0" w:line="202" w:lineRule="exact"/>
        <w:rPr>
          <w:sz w:val="20"/>
          <w:szCs w:val="20"/>
          <w:color w:val="auto"/>
        </w:rPr>
      </w:pPr>
    </w:p>
    <w:p>
      <w:pPr>
        <w:ind w:left="1620" w:hanging="316"/>
        <w:spacing w:after="0"/>
        <w:tabs>
          <w:tab w:leader="none" w:pos="162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amount of securities and number of offerings are indeterminable and cannot be estimated at this time.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Indemnification of Directors and Officers.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Section 145 of the DGCL provides that a corporation has the power to indemnify a director, officer, employee, or agent of the corporation, or a person serving at the request of the corporation for another corporation, partnership, joint venture, trust or other enterprise in related capacities against expenses, including attorneys’ fees, judgments, fines and amounts paid in settlement actually and reasonably incurred by the person in connection with an action, suit or proceeding to which he was or is a party or is threatened to be made a party to any threatened, ending or completed action, suit or proceeding by reason of such position, if such person acted in good faith and in a manner he reasonably believed to be in or not opposed to the best interests of the corporation, and, in any criminal action or proceeding, had no reasonable cause to believe his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which the Court of Chancery or such other court shall deem proper.</w:t>
      </w:r>
    </w:p>
    <w:p>
      <w:pPr>
        <w:spacing w:after="0" w:line="18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Section 102 of the DGCL, permits a corporation to eliminate the personal liability of directors of a corporation to the corporation or its stockholders for monetary damages for a breach of fiduciary duty as a director, except where the director breached his duty of loyalty, failed to act in good faith, engaged in intentional misconduct or knowingly violated a law, authorized the payment of a dividend or approved a stock repurchase in violation of Delaware corporate law or obtained an improper personal benefit.</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foregoing discussion of indemnification merely summarizes certain aspects of indemnification provisions of, and is limited by reference to, the above discussed sections of the DGCL.</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restated certificate of incorporation provides that the Company’s Directors shall not be liable to the Company or its stockholders for monetary damages for breach of fiduciary duty as a director except to the extent that exculpation from liabilities is not permitted under the DGCL as in effect at the time such liability is determined. The Company’s restated certificate of incorporation further provides that the Company shall indemnify its directors and officers to the fullest extent permitted by the DGCL.</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29" w:name="page30"/>
    <w:bookmarkEnd w:id="29"/>
    <w:p>
      <w:pPr>
        <w:jc w:val="both"/>
        <w:ind w:firstLine="648"/>
        <w:spacing w:after="0" w:line="263" w:lineRule="auto"/>
        <w:rPr>
          <w:sz w:val="20"/>
          <w:szCs w:val="20"/>
          <w:color w:val="auto"/>
        </w:rPr>
      </w:pPr>
      <w:r>
        <w:rPr>
          <w:rFonts w:ascii="Arial" w:cs="Arial" w:eastAsia="Arial" w:hAnsi="Arial"/>
          <w:sz w:val="18"/>
          <w:szCs w:val="18"/>
          <w:color w:val="auto"/>
        </w:rPr>
        <w:t>We maintain a directors’ and officers’ insurance policy pursuant to which our directors and officers are insured against liability for actions taken in their capacities as directors and officers. We believe that these indemnification provisions and insurance are necessary to attract and retain qualified directors and officers.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Indemnification Agreements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have entered into indemnification agreements with each of our directors and officers. These indemnification agreements may require us, among other things, to indemnify our directors and officers for some expenses, including attorneys’ fees, judgments, fines and settlement amounts incurred by a director or officer in any action or proceeding arising out of his or her service as one of our directors or officers, or any of our subsidiaries or any other company or enterprise to which the person provides services at our request.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exhibits to this registration statement are listed in the Exhibit Index to this registration statement, which Exhibit Index is hereby incorporated by reference.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229" w:lineRule="exact"/>
        <w:rPr>
          <w:sz w:val="20"/>
          <w:szCs w:val="20"/>
          <w:color w:val="auto"/>
        </w:rPr>
      </w:pPr>
    </w:p>
    <w:p>
      <w:pPr>
        <w:ind w:left="580" w:hanging="248"/>
        <w:spacing w:after="0"/>
        <w:tabs>
          <w:tab w:leader="none" w:pos="5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undersigned registrant hereby undertakes:</w:t>
      </w:r>
    </w:p>
    <w:p>
      <w:pPr>
        <w:spacing w:after="0" w:line="225" w:lineRule="exact"/>
        <w:rPr>
          <w:rFonts w:ascii="Arial" w:cs="Arial" w:eastAsia="Arial" w:hAnsi="Arial"/>
          <w:sz w:val="18"/>
          <w:szCs w:val="18"/>
          <w:color w:val="auto"/>
        </w:rPr>
      </w:pPr>
    </w:p>
    <w:p>
      <w:pPr>
        <w:ind w:left="900" w:hanging="244"/>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60" w:hanging="218"/>
        <w:spacing w:after="0"/>
        <w:tabs>
          <w:tab w:leader="none" w:pos="1360"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225" w:lineRule="exact"/>
        <w:rPr>
          <w:rFonts w:ascii="Arial" w:cs="Arial" w:eastAsia="Arial" w:hAnsi="Arial"/>
          <w:sz w:val="18"/>
          <w:szCs w:val="18"/>
          <w:color w:val="auto"/>
        </w:rPr>
      </w:pPr>
    </w:p>
    <w:p>
      <w:pPr>
        <w:jc w:val="both"/>
        <w:ind w:left="740" w:firstLine="402"/>
        <w:spacing w:after="0" w:line="254" w:lineRule="auto"/>
        <w:tabs>
          <w:tab w:leader="none" w:pos="1425" w:val="left"/>
        </w:tabs>
        <w:numPr>
          <w:ilvl w:val="2"/>
          <w:numId w:val="25"/>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194" w:lineRule="exact"/>
        <w:rPr>
          <w:rFonts w:ascii="Arial" w:cs="Arial" w:eastAsia="Arial" w:hAnsi="Arial"/>
          <w:sz w:val="18"/>
          <w:szCs w:val="18"/>
          <w:color w:val="auto"/>
        </w:rPr>
      </w:pPr>
    </w:p>
    <w:p>
      <w:pPr>
        <w:jc w:val="both"/>
        <w:ind w:left="740" w:firstLine="402"/>
        <w:spacing w:after="0" w:line="255" w:lineRule="auto"/>
        <w:tabs>
          <w:tab w:leader="none" w:pos="1459" w:val="left"/>
        </w:tabs>
        <w:numPr>
          <w:ilvl w:val="2"/>
          <w:numId w:val="25"/>
        </w:numPr>
        <w:rPr>
          <w:rFonts w:ascii="Arial" w:cs="Arial" w:eastAsia="Arial" w:hAnsi="Arial"/>
          <w:sz w:val="18"/>
          <w:szCs w:val="18"/>
          <w:color w:val="auto"/>
        </w:rPr>
      </w:pPr>
      <w:r>
        <w:rPr>
          <w:rFonts w:ascii="Arial" w:cs="Arial" w:eastAsia="Arial" w:hAnsi="Arial"/>
          <w:sz w:val="18"/>
          <w:szCs w:val="18"/>
          <w:color w:val="auto"/>
        </w:rPr>
        <w:t xml:space="preserve">To include any material information with respect to the plan of distribution not previously disclosed in the registration statement or any material change to such information in the registration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paragraphs (a)(1)(i), (a)(1)(ii) and (a)(1)(iii) do not apply if the information required to be included in a post-effective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192" w:lineRule="exact"/>
        <w:rPr>
          <w:rFonts w:ascii="Arial" w:cs="Arial" w:eastAsia="Arial" w:hAnsi="Arial"/>
          <w:sz w:val="18"/>
          <w:szCs w:val="18"/>
          <w:color w:val="auto"/>
        </w:rPr>
      </w:pPr>
    </w:p>
    <w:p>
      <w:pPr>
        <w:jc w:val="both"/>
        <w:ind w:left="340" w:firstLine="316"/>
        <w:spacing w:after="0" w:line="263" w:lineRule="auto"/>
        <w:tabs>
          <w:tab w:leader="none" w:pos="92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183" w:lineRule="exact"/>
        <w:rPr>
          <w:rFonts w:ascii="Arial" w:cs="Arial" w:eastAsia="Arial" w:hAnsi="Arial"/>
          <w:sz w:val="18"/>
          <w:szCs w:val="18"/>
          <w:color w:val="auto"/>
        </w:rPr>
      </w:pPr>
    </w:p>
    <w:p>
      <w:pPr>
        <w:ind w:left="340" w:firstLine="316"/>
        <w:spacing w:after="0" w:line="277" w:lineRule="auto"/>
        <w:tabs>
          <w:tab w:leader="none" w:pos="946" w:val="left"/>
        </w:tabs>
        <w:numPr>
          <w:ilvl w:val="1"/>
          <w:numId w:val="25"/>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900" w:hanging="244"/>
        <w:spacing w:after="0"/>
        <w:tabs>
          <w:tab w:leader="none" w:pos="900" w:val="left"/>
        </w:tabs>
        <w:numPr>
          <w:ilvl w:val="1"/>
          <w:numId w:val="25"/>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225" w:lineRule="exact"/>
        <w:rPr>
          <w:rFonts w:ascii="Arial" w:cs="Arial" w:eastAsia="Arial" w:hAnsi="Arial"/>
          <w:sz w:val="18"/>
          <w:szCs w:val="18"/>
          <w:color w:val="auto"/>
        </w:rPr>
      </w:pPr>
    </w:p>
    <w:p>
      <w:pPr>
        <w:ind w:left="740" w:firstLine="402"/>
        <w:spacing w:after="0" w:line="277" w:lineRule="auto"/>
        <w:tabs>
          <w:tab w:leader="none" w:pos="1367" w:val="left"/>
        </w:tabs>
        <w:numPr>
          <w:ilvl w:val="2"/>
          <w:numId w:val="25"/>
        </w:numPr>
        <w:rPr>
          <w:rFonts w:ascii="Arial" w:cs="Arial" w:eastAsia="Arial" w:hAnsi="Arial"/>
          <w:sz w:val="18"/>
          <w:szCs w:val="18"/>
          <w:color w:val="auto"/>
        </w:rPr>
      </w:pPr>
      <w:r>
        <w:rPr>
          <w:rFonts w:ascii="Arial" w:cs="Arial" w:eastAsia="Arial" w:hAnsi="Arial"/>
          <w:sz w:val="18"/>
          <w:szCs w:val="18"/>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30" w:name="page31"/>
    <w:bookmarkEnd w:id="30"/>
    <w:p>
      <w:pPr>
        <w:jc w:val="both"/>
        <w:ind w:left="408" w:firstLine="402"/>
        <w:spacing w:after="0" w:line="287" w:lineRule="auto"/>
        <w:tabs>
          <w:tab w:leader="none" w:pos="1087" w:val="left"/>
        </w:tabs>
        <w:numPr>
          <w:ilvl w:val="2"/>
          <w:numId w:val="26"/>
        </w:numPr>
        <w:rPr>
          <w:rFonts w:ascii="Arial" w:cs="Arial" w:eastAsia="Arial" w:hAnsi="Arial"/>
          <w:sz w:val="16"/>
          <w:szCs w:val="16"/>
          <w:color w:val="auto"/>
        </w:rPr>
      </w:pPr>
      <w:r>
        <w:rPr>
          <w:rFonts w:ascii="Arial" w:cs="Arial" w:eastAsia="Arial" w:hAnsi="Arial"/>
          <w:sz w:val="16"/>
          <w:szCs w:val="16"/>
          <w:color w:val="auto"/>
        </w:rPr>
        <w:t xml:space="preserve">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171" w:lineRule="exact"/>
        <w:rPr>
          <w:rFonts w:ascii="Arial" w:cs="Arial" w:eastAsia="Arial" w:hAnsi="Arial"/>
          <w:sz w:val="16"/>
          <w:szCs w:val="16"/>
          <w:color w:val="auto"/>
        </w:rPr>
      </w:pPr>
    </w:p>
    <w:p>
      <w:pPr>
        <w:jc w:val="both"/>
        <w:ind w:left="8" w:firstLine="316"/>
        <w:spacing w:after="0" w:line="301" w:lineRule="auto"/>
        <w:tabs>
          <w:tab w:leader="none" w:pos="586" w:val="left"/>
        </w:tabs>
        <w:numPr>
          <w:ilvl w:val="1"/>
          <w:numId w:val="27"/>
        </w:numPr>
        <w:rPr>
          <w:rFonts w:ascii="Arial" w:cs="Arial" w:eastAsia="Arial" w:hAnsi="Arial"/>
          <w:sz w:val="16"/>
          <w:szCs w:val="16"/>
          <w:color w:val="auto"/>
        </w:rPr>
      </w:pPr>
      <w:r>
        <w:rPr>
          <w:rFonts w:ascii="Arial" w:cs="Arial" w:eastAsia="Arial" w:hAnsi="Arial"/>
          <w:sz w:val="16"/>
          <w:szCs w:val="16"/>
          <w:color w:val="auto"/>
        </w:rPr>
        <w:t>That, for the purpose of determining liability of the registrant under the Securities Act of 1933 to any purchaser in the initial distribution of the securities,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157" w:lineRule="exact"/>
        <w:rPr>
          <w:rFonts w:ascii="Arial" w:cs="Arial" w:eastAsia="Arial" w:hAnsi="Arial"/>
          <w:sz w:val="16"/>
          <w:szCs w:val="16"/>
          <w:color w:val="auto"/>
        </w:rPr>
      </w:pPr>
    </w:p>
    <w:p>
      <w:pPr>
        <w:ind w:left="1008" w:hanging="198"/>
        <w:spacing w:after="0"/>
        <w:tabs>
          <w:tab w:leader="none" w:pos="1008" w:val="left"/>
        </w:tabs>
        <w:numPr>
          <w:ilvl w:val="2"/>
          <w:numId w:val="27"/>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 relating to the offering required to be filed pursuant to Rule 424;</w:t>
      </w:r>
    </w:p>
    <w:p>
      <w:pPr>
        <w:spacing w:after="0" w:line="248" w:lineRule="exact"/>
        <w:rPr>
          <w:rFonts w:ascii="Arial" w:cs="Arial" w:eastAsia="Arial" w:hAnsi="Arial"/>
          <w:sz w:val="16"/>
          <w:szCs w:val="16"/>
          <w:color w:val="auto"/>
        </w:rPr>
      </w:pPr>
    </w:p>
    <w:p>
      <w:pPr>
        <w:ind w:left="408" w:right="20" w:firstLine="402"/>
        <w:spacing w:after="0" w:line="277" w:lineRule="auto"/>
        <w:tabs>
          <w:tab w:leader="none" w:pos="1075"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 or used or referred to by the undersigned registrant;</w:t>
      </w:r>
    </w:p>
    <w:p>
      <w:pPr>
        <w:spacing w:after="0" w:line="170" w:lineRule="exact"/>
        <w:rPr>
          <w:rFonts w:ascii="Arial" w:cs="Arial" w:eastAsia="Arial" w:hAnsi="Arial"/>
          <w:sz w:val="18"/>
          <w:szCs w:val="18"/>
          <w:color w:val="auto"/>
        </w:rPr>
      </w:pPr>
    </w:p>
    <w:p>
      <w:pPr>
        <w:ind w:left="408" w:firstLine="402"/>
        <w:spacing w:after="0" w:line="277" w:lineRule="auto"/>
        <w:tabs>
          <w:tab w:leader="none" w:pos="1163" w:val="left"/>
        </w:tabs>
        <w:numPr>
          <w:ilvl w:val="2"/>
          <w:numId w:val="27"/>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 or its securities provided by or on behalf of the undersigned registrant; and</w:t>
      </w:r>
    </w:p>
    <w:p>
      <w:pPr>
        <w:spacing w:after="0" w:line="170" w:lineRule="exact"/>
        <w:rPr>
          <w:rFonts w:ascii="Arial" w:cs="Arial" w:eastAsia="Arial" w:hAnsi="Arial"/>
          <w:sz w:val="18"/>
          <w:szCs w:val="18"/>
          <w:color w:val="auto"/>
        </w:rPr>
      </w:pPr>
    </w:p>
    <w:p>
      <w:pPr>
        <w:ind w:left="1108" w:hanging="298"/>
        <w:spacing w:after="0"/>
        <w:tabs>
          <w:tab w:leader="none" w:pos="1108" w:val="left"/>
        </w:tabs>
        <w:numPr>
          <w:ilvl w:val="2"/>
          <w:numId w:val="27"/>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 to the purchaser.</w:t>
      </w:r>
    </w:p>
    <w:p>
      <w:pPr>
        <w:spacing w:after="0" w:line="225" w:lineRule="exact"/>
        <w:rPr>
          <w:rFonts w:ascii="Arial" w:cs="Arial" w:eastAsia="Arial" w:hAnsi="Arial"/>
          <w:sz w:val="18"/>
          <w:szCs w:val="18"/>
          <w:color w:val="auto"/>
        </w:rPr>
      </w:pPr>
    </w:p>
    <w:p>
      <w:pPr>
        <w:ind w:left="248" w:hanging="248"/>
        <w:spacing w:after="0"/>
        <w:tabs>
          <w:tab w:leader="none" w:pos="248"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That, for purposes of determining any liability under the Securities Act:</w:t>
      </w:r>
    </w:p>
    <w:p>
      <w:pPr>
        <w:spacing w:after="0" w:line="225" w:lineRule="exact"/>
        <w:rPr>
          <w:rFonts w:ascii="Arial" w:cs="Arial" w:eastAsia="Arial" w:hAnsi="Arial"/>
          <w:sz w:val="18"/>
          <w:szCs w:val="18"/>
          <w:color w:val="auto"/>
        </w:rPr>
      </w:pPr>
    </w:p>
    <w:p>
      <w:pPr>
        <w:jc w:val="both"/>
        <w:ind w:left="408" w:firstLine="402"/>
        <w:spacing w:after="0" w:line="263" w:lineRule="auto"/>
        <w:tabs>
          <w:tab w:leader="none" w:pos="1031" w:val="left"/>
        </w:tabs>
        <w:numPr>
          <w:ilvl w:val="2"/>
          <w:numId w:val="28"/>
        </w:numPr>
        <w:rPr>
          <w:rFonts w:ascii="Arial" w:cs="Arial" w:eastAsia="Arial" w:hAnsi="Arial"/>
          <w:sz w:val="18"/>
          <w:szCs w:val="18"/>
          <w:color w:val="auto"/>
        </w:rPr>
      </w:pPr>
      <w:r>
        <w:rPr>
          <w:rFonts w:ascii="Arial" w:cs="Arial" w:eastAsia="Arial" w:hAnsi="Arial"/>
          <w:sz w:val="18"/>
          <w:szCs w:val="18"/>
          <w:color w:val="auto"/>
        </w:rPr>
        <w:t>the information omitted from the form of prospectus filed as part of the registration statement in reliance upon Rule 430A and contained in the form of prospectus filed by the registrant pursuant to Rule 424(b)(1) or (4) or 497(h) under the Securities Act shall be deemed to be part of the registration statement as of the time it was declared effective; and</w:t>
      </w:r>
    </w:p>
    <w:p>
      <w:pPr>
        <w:spacing w:after="0" w:line="183" w:lineRule="exact"/>
        <w:rPr>
          <w:rFonts w:ascii="Arial" w:cs="Arial" w:eastAsia="Arial" w:hAnsi="Arial"/>
          <w:sz w:val="18"/>
          <w:szCs w:val="18"/>
          <w:color w:val="auto"/>
        </w:rPr>
      </w:pPr>
    </w:p>
    <w:p>
      <w:pPr>
        <w:ind w:left="408" w:firstLine="402"/>
        <w:spacing w:after="0" w:line="308" w:lineRule="auto"/>
        <w:tabs>
          <w:tab w:leader="none" w:pos="1096" w:val="left"/>
        </w:tabs>
        <w:numPr>
          <w:ilvl w:val="2"/>
          <w:numId w:val="28"/>
        </w:numPr>
        <w:rPr>
          <w:rFonts w:ascii="Arial" w:cs="Arial" w:eastAsia="Arial" w:hAnsi="Arial"/>
          <w:sz w:val="17"/>
          <w:szCs w:val="17"/>
          <w:color w:val="auto"/>
        </w:rPr>
      </w:pPr>
      <w:r>
        <w:rPr>
          <w:rFonts w:ascii="Arial" w:cs="Arial" w:eastAsia="Arial" w:hAnsi="Arial"/>
          <w:sz w:val="17"/>
          <w:szCs w:val="17"/>
          <w:color w:val="auto"/>
        </w:rPr>
        <w:t xml:space="preserve">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7"/>
          <w:szCs w:val="17"/>
          <w:i w:val="1"/>
          <w:iCs w:val="1"/>
          <w:color w:val="auto"/>
        </w:rPr>
        <w:t>bona fide</w:t>
      </w:r>
      <w:r>
        <w:rPr>
          <w:rFonts w:ascii="Arial" w:cs="Arial" w:eastAsia="Arial" w:hAnsi="Arial"/>
          <w:sz w:val="17"/>
          <w:szCs w:val="17"/>
          <w:color w:val="auto"/>
        </w:rPr>
        <w:t xml:space="preserve"> offering thereof.</w:t>
      </w:r>
    </w:p>
    <w:p>
      <w:pPr>
        <w:spacing w:after="0" w:line="146" w:lineRule="exact"/>
        <w:rPr>
          <w:rFonts w:ascii="Arial" w:cs="Arial" w:eastAsia="Arial" w:hAnsi="Arial"/>
          <w:sz w:val="17"/>
          <w:szCs w:val="17"/>
          <w:color w:val="auto"/>
        </w:rPr>
      </w:pPr>
    </w:p>
    <w:p>
      <w:pPr>
        <w:jc w:val="both"/>
        <w:ind w:left="8" w:hanging="8"/>
        <w:spacing w:after="0" w:line="257" w:lineRule="auto"/>
        <w:tabs>
          <w:tab w:leader="none" w:pos="266"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bona fide offering thereof.</w:t>
      </w:r>
    </w:p>
    <w:p>
      <w:pPr>
        <w:spacing w:after="0" w:line="187" w:lineRule="exact"/>
        <w:rPr>
          <w:rFonts w:ascii="Arial" w:cs="Arial" w:eastAsia="Arial" w:hAnsi="Arial"/>
          <w:sz w:val="18"/>
          <w:szCs w:val="18"/>
          <w:color w:val="auto"/>
        </w:rPr>
      </w:pPr>
    </w:p>
    <w:p>
      <w:pPr>
        <w:jc w:val="both"/>
        <w:ind w:left="8" w:hanging="8"/>
        <w:spacing w:after="0" w:line="291" w:lineRule="auto"/>
        <w:tabs>
          <w:tab w:leader="none" w:pos="270" w:val="left"/>
        </w:tabs>
        <w:numPr>
          <w:ilvl w:val="0"/>
          <w:numId w:val="2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the registrant has been advised that in the opinion of the Securities and Exchange Commission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6" w:lineRule="exact"/>
        <w:rPr>
          <w:rFonts w:ascii="Arial" w:cs="Arial" w:eastAsia="Arial" w:hAnsi="Arial"/>
          <w:sz w:val="16"/>
          <w:szCs w:val="16"/>
          <w:color w:val="auto"/>
        </w:rPr>
      </w:pPr>
    </w:p>
    <w:p>
      <w:pPr>
        <w:jc w:val="both"/>
        <w:ind w:left="8" w:hanging="8"/>
        <w:spacing w:after="0" w:line="263" w:lineRule="auto"/>
        <w:tabs>
          <w:tab w:leader="none" w:pos="282"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undersigned registrant hereby undertakes to file an application for the purpose of determining the eligibility of the trustee to act under subsection (a) of Section 310 of the Trust Indenture Act (“Act”) in accordance with the rules and regulations prescribed by the Commission under section 305(b)(2) of the Act.</w:t>
      </w:r>
    </w:p>
    <w:p>
      <w:pPr>
        <w:spacing w:after="0" w:line="18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8"/>
          </w:cols>
          <w:pgMar w:left="652" w:top="665" w:right="3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Hingham, State of Massachusetts, on the 25</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day of November, 2020.</w:t>
      </w:r>
    </w:p>
    <w:p>
      <w:pPr>
        <w:spacing w:after="0" w:line="47" w:lineRule="exact"/>
        <w:rPr>
          <w:sz w:val="20"/>
          <w:szCs w:val="20"/>
          <w:color w:val="auto"/>
        </w:rPr>
      </w:pPr>
    </w:p>
    <w:p>
      <w:pPr>
        <w:ind w:left="5640"/>
        <w:spacing w:after="0"/>
        <w:rPr>
          <w:sz w:val="20"/>
          <w:szCs w:val="20"/>
          <w:color w:val="auto"/>
        </w:rPr>
      </w:pPr>
      <w:r>
        <w:rPr>
          <w:rFonts w:ascii="Arial" w:cs="Arial" w:eastAsia="Arial" w:hAnsi="Arial"/>
          <w:sz w:val="18"/>
          <w:szCs w:val="18"/>
          <w:b w:val="1"/>
          <w:bCs w:val="1"/>
          <w:color w:val="auto"/>
        </w:rPr>
        <w:t>MICROBOT MEDICAL INC.</w:t>
      </w:r>
    </w:p>
    <w:p>
      <w:pPr>
        <w:spacing w:after="0" w:line="22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i w:val="1"/>
          <w:iCs w:val="1"/>
          <w:color w:val="auto"/>
        </w:rPr>
        <w:t>/s/ Harel Gadot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14605</wp:posOffset>
            </wp:positionV>
            <wp:extent cx="335153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51530" cy="1714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Arial" w:cs="Arial" w:eastAsia="Arial" w:hAnsi="Arial"/>
          <w:sz w:val="18"/>
          <w:szCs w:val="18"/>
          <w:color w:val="auto"/>
        </w:rPr>
        <w:t>Harel Gadot</w:t>
      </w:r>
    </w:p>
    <w:p>
      <w:pPr>
        <w:spacing w:after="0" w:line="23" w:lineRule="exact"/>
        <w:rPr>
          <w:sz w:val="20"/>
          <w:szCs w:val="20"/>
          <w:color w:val="auto"/>
        </w:rPr>
      </w:pPr>
    </w:p>
    <w:p>
      <w:pPr>
        <w:ind w:left="5960"/>
        <w:spacing w:after="0"/>
        <w:rPr>
          <w:sz w:val="20"/>
          <w:szCs w:val="20"/>
          <w:color w:val="auto"/>
        </w:rPr>
      </w:pPr>
      <w:r>
        <w:rPr>
          <w:rFonts w:ascii="Arial" w:cs="Arial" w:eastAsia="Arial" w:hAnsi="Arial"/>
          <w:sz w:val="18"/>
          <w:szCs w:val="18"/>
          <w:i w:val="1"/>
          <w:iCs w:val="1"/>
          <w:color w:val="auto"/>
        </w:rPr>
        <w:t>Chairman, President and Chief Executive Officer</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w:t>
      </w:r>
    </w:p>
    <w:p>
      <w:pPr>
        <w:spacing w:after="0" w:line="229" w:lineRule="exact"/>
        <w:rPr>
          <w:sz w:val="20"/>
          <w:szCs w:val="20"/>
          <w:color w:val="auto"/>
        </w:rPr>
      </w:pPr>
    </w:p>
    <w:p>
      <w:pPr>
        <w:jc w:val="both"/>
        <w:ind w:firstLine="441"/>
        <w:spacing w:after="0" w:line="272" w:lineRule="auto"/>
        <w:rPr>
          <w:sz w:val="20"/>
          <w:szCs w:val="20"/>
          <w:color w:val="auto"/>
        </w:rPr>
      </w:pPr>
      <w:r>
        <w:rPr>
          <w:rFonts w:ascii="Arial" w:cs="Arial" w:eastAsia="Arial" w:hAnsi="Arial"/>
          <w:sz w:val="17"/>
          <w:szCs w:val="17"/>
          <w:color w:val="auto"/>
        </w:rPr>
        <w:t>Each person whose signature appears below hereby constitutes and appoints Harel Gadot and David Ben Naim, and each of them singly, his or her true and lawful attorneys-in-fact and agent with full power of substitution and resubstitution, for him or her and in his or her name, place and stead, in any and all capacities, to sign any and all amendments (including post-effective amendments) to this Registration Statement on Form S-3 and any related Rule 462(b) registration statement or amendment thereto and to file the same, with all exhibits thereto, and other documents in connection therewith, with the Securities and Exchange Commission, granting unto said attorneys-in-fact and agents full power and authority to be done in and about the premises, as fully to all intents and purposes as he or she might or could do in person, hereby ratifying and confirming all that said attorneys-in-fact and agents, or their substitutes, may lawfully do or cause to be done by virtue hereof.</w:t>
      </w:r>
    </w:p>
    <w:p>
      <w:pPr>
        <w:spacing w:after="0" w:line="177" w:lineRule="exact"/>
        <w:rPr>
          <w:sz w:val="20"/>
          <w:szCs w:val="20"/>
          <w:color w:val="auto"/>
        </w:rPr>
      </w:pPr>
    </w:p>
    <w:p>
      <w:pPr>
        <w:jc w:val="both"/>
        <w:ind w:firstLine="441"/>
        <w:spacing w:after="0" w:line="277" w:lineRule="auto"/>
        <w:rPr>
          <w:sz w:val="20"/>
          <w:szCs w:val="20"/>
          <w:color w:val="auto"/>
        </w:rPr>
      </w:pPr>
      <w:r>
        <w:rPr>
          <w:rFonts w:ascii="Arial" w:cs="Arial" w:eastAsia="Arial" w:hAnsi="Arial"/>
          <w:sz w:val="18"/>
          <w:szCs w:val="18"/>
          <w:color w:val="auto"/>
        </w:rPr>
        <w:t>Pursuant to the requirements of the Securities Act, this registration statement has been signed by the following persons in the capacities and on the dates indicated.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Signature</w:t>
            </w:r>
          </w:p>
        </w:tc>
        <w:tc>
          <w:tcPr>
            <w:tcW w:w="5620" w:type="dxa"/>
            <w:vAlign w:val="bottom"/>
            <w:gridSpan w:val="3"/>
          </w:tcPr>
          <w:p>
            <w:pPr>
              <w:ind w:left="240"/>
              <w:spacing w:after="0"/>
              <w:rPr>
                <w:sz w:val="20"/>
                <w:szCs w:val="20"/>
                <w:color w:val="auto"/>
              </w:rPr>
            </w:pPr>
            <w:r>
              <w:rPr>
                <w:rFonts w:ascii="Arial" w:cs="Arial" w:eastAsia="Arial" w:hAnsi="Arial"/>
                <w:sz w:val="18"/>
                <w:szCs w:val="18"/>
                <w:b w:val="1"/>
                <w:bCs w:val="1"/>
                <w:color w:val="auto"/>
              </w:rPr>
              <w:t>Title</w:t>
            </w:r>
          </w:p>
        </w:tc>
        <w:tc>
          <w:tcPr>
            <w:tcW w:w="2240" w:type="dxa"/>
            <w:vAlign w:val="bottom"/>
          </w:tcPr>
          <w:p>
            <w:pPr>
              <w:spacing w:after="0"/>
              <w:rPr>
                <w:sz w:val="20"/>
                <w:szCs w:val="20"/>
                <w:color w:val="auto"/>
              </w:rPr>
            </w:pPr>
            <w:r>
              <w:rPr>
                <w:rFonts w:ascii="Arial" w:cs="Arial" w:eastAsia="Arial" w:hAnsi="Arial"/>
                <w:sz w:val="18"/>
                <w:szCs w:val="18"/>
                <w:b w:val="1"/>
                <w:bCs w:val="1"/>
                <w:color w:val="auto"/>
              </w:rPr>
              <w:t>Date</w:t>
            </w:r>
          </w:p>
        </w:tc>
      </w:tr>
      <w:tr>
        <w:trPr>
          <w:trHeight w:val="27"/>
        </w:trPr>
        <w:tc>
          <w:tcPr>
            <w:tcW w:w="3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51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40" w:type="dxa"/>
            <w:vAlign w:val="bottom"/>
            <w:shd w:val="clear" w:color="auto" w:fill="000000"/>
          </w:tcPr>
          <w:p>
            <w:pPr>
              <w:spacing w:after="0"/>
              <w:rPr>
                <w:sz w:val="2"/>
                <w:szCs w:val="2"/>
                <w:color w:val="auto"/>
              </w:rPr>
            </w:pPr>
          </w:p>
        </w:tc>
      </w:tr>
      <w:tr>
        <w:trPr>
          <w:trHeight w:val="439"/>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Harel Gadot</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Chairman, President and Chief Executive Officer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Harel Gadot</w:t>
            </w:r>
          </w:p>
        </w:tc>
        <w:tc>
          <w:tcPr>
            <w:tcW w:w="562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(Principal Executive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David Ben Naim</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Chief Financial Officer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David Ben Naim</w:t>
            </w:r>
          </w:p>
        </w:tc>
        <w:tc>
          <w:tcPr>
            <w:tcW w:w="5620" w:type="dxa"/>
            <w:vAlign w:val="bottom"/>
            <w:gridSpan w:val="3"/>
          </w:tcPr>
          <w:p>
            <w:pPr>
              <w:ind w:left="240"/>
              <w:spacing w:after="0" w:line="203" w:lineRule="exact"/>
              <w:rPr>
                <w:sz w:val="20"/>
                <w:szCs w:val="20"/>
                <w:color w:val="auto"/>
              </w:rPr>
            </w:pPr>
            <w:r>
              <w:rPr>
                <w:rFonts w:ascii="Arial" w:cs="Arial" w:eastAsia="Arial" w:hAnsi="Arial"/>
                <w:sz w:val="18"/>
                <w:szCs w:val="18"/>
                <w:color w:val="auto"/>
              </w:rPr>
              <w:t>(Principal Financial and Accounting Officer)</w:t>
            </w: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Tal Wenderow</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Tal Wenderow</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Yoseph Bornstein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Yoseph Bornstein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Prattipati Laxminarain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Prattipati Laxminarain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Scott Burell</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Scott Burell</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Martin Madden</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Martin Madden</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Aileen Stockburger</w:t>
            </w:r>
          </w:p>
        </w:tc>
        <w:tc>
          <w:tcPr>
            <w:tcW w:w="5620" w:type="dxa"/>
            <w:vAlign w:val="bottom"/>
            <w:gridSpan w:val="3"/>
          </w:tcPr>
          <w:p>
            <w:pPr>
              <w:ind w:left="240"/>
              <w:spacing w:after="0"/>
              <w:rPr>
                <w:sz w:val="20"/>
                <w:szCs w:val="20"/>
                <w:color w:val="auto"/>
              </w:rPr>
            </w:pPr>
            <w:r>
              <w:rPr>
                <w:rFonts w:ascii="Arial" w:cs="Arial" w:eastAsia="Arial" w:hAnsi="Arial"/>
                <w:sz w:val="18"/>
                <w:szCs w:val="18"/>
                <w:color w:val="auto"/>
              </w:rPr>
              <w:t>Director</w:t>
            </w:r>
          </w:p>
        </w:tc>
        <w:tc>
          <w:tcPr>
            <w:tcW w:w="2240" w:type="dxa"/>
            <w:vAlign w:val="bottom"/>
          </w:tcPr>
          <w:p>
            <w:pPr>
              <w:spacing w:after="0"/>
              <w:rPr>
                <w:sz w:val="20"/>
                <w:szCs w:val="20"/>
                <w:color w:val="auto"/>
              </w:rPr>
            </w:pPr>
            <w:r>
              <w:rPr>
                <w:rFonts w:ascii="Arial" w:cs="Arial" w:eastAsia="Arial" w:hAnsi="Arial"/>
                <w:sz w:val="18"/>
                <w:szCs w:val="18"/>
                <w:color w:val="auto"/>
              </w:rPr>
              <w:t>November 25, 2020</w:t>
            </w:r>
          </w:p>
        </w:tc>
      </w:tr>
      <w:tr>
        <w:trPr>
          <w:trHeight w:val="234"/>
        </w:trPr>
        <w:tc>
          <w:tcPr>
            <w:tcW w:w="3380" w:type="dxa"/>
            <w:vAlign w:val="bottom"/>
          </w:tcPr>
          <w:p>
            <w:pPr>
              <w:spacing w:after="0"/>
              <w:rPr>
                <w:sz w:val="20"/>
                <w:szCs w:val="20"/>
                <w:color w:val="auto"/>
              </w:rPr>
            </w:pPr>
            <w:r>
              <w:rPr>
                <w:rFonts w:ascii="Arial" w:cs="Arial" w:eastAsia="Arial" w:hAnsi="Arial"/>
                <w:sz w:val="18"/>
                <w:szCs w:val="18"/>
                <w:b w:val="1"/>
                <w:bCs w:val="1"/>
                <w:color w:val="auto"/>
              </w:rPr>
              <w:t>Aileen Stockburger</w:t>
            </w:r>
          </w:p>
        </w:tc>
        <w:tc>
          <w:tcPr>
            <w:tcW w:w="24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21"/>
        </w:trPr>
        <w:tc>
          <w:tcPr>
            <w:tcW w:w="33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5380" w:type="dxa"/>
            <w:vAlign w:val="bottom"/>
            <w:tcBorders>
              <w:bottom w:val="single" w:sz="8" w:color="auto"/>
            </w:tcBorders>
            <w:gridSpan w:val="2"/>
          </w:tcPr>
          <w:p>
            <w:pPr>
              <w:ind w:left="1880"/>
              <w:spacing w:after="0"/>
              <w:rPr>
                <w:sz w:val="20"/>
                <w:szCs w:val="20"/>
                <w:color w:val="auto"/>
              </w:rPr>
            </w:pPr>
            <w:r>
              <w:rPr>
                <w:rFonts w:ascii="Arial" w:cs="Arial" w:eastAsia="Arial" w:hAnsi="Arial"/>
                <w:sz w:val="18"/>
                <w:szCs w:val="18"/>
                <w:color w:val="auto"/>
              </w:rPr>
              <w:t>II-4</w:t>
            </w:r>
          </w:p>
        </w:tc>
        <w:tc>
          <w:tcPr>
            <w:tcW w:w="22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1" w:right="3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EXHIBIT INDEX</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460" w:type="dxa"/>
            <w:vAlign w:val="bottom"/>
            <w:gridSpan w:val="7"/>
          </w:tcPr>
          <w:p>
            <w:pPr>
              <w:spacing w:after="0"/>
              <w:rPr>
                <w:sz w:val="20"/>
                <w:szCs w:val="20"/>
                <w:color w:val="auto"/>
              </w:rPr>
            </w:pPr>
            <w:r>
              <w:rPr>
                <w:rFonts w:ascii="Arial" w:cs="Arial" w:eastAsia="Arial" w:hAnsi="Arial"/>
                <w:sz w:val="18"/>
                <w:szCs w:val="18"/>
                <w:b w:val="1"/>
                <w:bCs w:val="1"/>
                <w:color w:val="auto"/>
              </w:rPr>
              <w:t>Description</w:t>
            </w:r>
          </w:p>
        </w:tc>
      </w:tr>
      <w:tr>
        <w:trPr>
          <w:trHeight w:val="432"/>
        </w:trPr>
        <w:tc>
          <w:tcPr>
            <w:tcW w:w="6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4"/>
                <w:szCs w:val="24"/>
                <w:color w:val="auto"/>
              </w:rPr>
            </w:pPr>
          </w:p>
        </w:tc>
        <w:tc>
          <w:tcPr>
            <w:tcW w:w="10460" w:type="dxa"/>
            <w:vAlign w:val="bottom"/>
            <w:tcBorders>
              <w:top w:val="single" w:sz="8" w:color="auto"/>
            </w:tcBorders>
            <w:gridSpan w:val="7"/>
          </w:tcPr>
          <w:p>
            <w:pPr>
              <w:spacing w:after="0"/>
              <w:rPr>
                <w:sz w:val="20"/>
                <w:szCs w:val="20"/>
                <w:color w:val="auto"/>
              </w:rPr>
            </w:pPr>
            <w:r>
              <w:rPr>
                <w:rFonts w:ascii="Arial" w:cs="Arial" w:eastAsia="Arial" w:hAnsi="Arial"/>
                <w:sz w:val="18"/>
                <w:szCs w:val="18"/>
                <w:color w:val="auto"/>
              </w:rPr>
              <w:t>Form of underwriting agreement</w:t>
            </w:r>
          </w:p>
        </w:tc>
      </w:tr>
      <w:tr>
        <w:trPr>
          <w:trHeight w:val="391"/>
        </w:trPr>
        <w:tc>
          <w:tcPr>
            <w:tcW w:w="660" w:type="dxa"/>
            <w:vAlign w:val="bottom"/>
          </w:tcPr>
          <w:p>
            <w:pPr>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0460" w:type="dxa"/>
            <w:vAlign w:val="bottom"/>
            <w:tcBorders>
              <w:bottom w:val="single" w:sz="8" w:color="0000EE"/>
            </w:tcBorders>
            <w:gridSpan w:val="7"/>
          </w:tcPr>
          <w:p>
            <w:pPr>
              <w:spacing w:after="0"/>
              <w:rPr>
                <w:rFonts w:ascii="Arial" w:cs="Arial" w:eastAsia="Arial" w:hAnsi="Arial"/>
                <w:sz w:val="18"/>
                <w:szCs w:val="18"/>
                <w:color w:val="0000EE"/>
                <w:w w:val="91"/>
              </w:rPr>
            </w:pPr>
            <w:hyperlink r:id="rId43">
              <w:r>
                <w:rPr>
                  <w:rFonts w:ascii="Arial" w:cs="Arial" w:eastAsia="Arial" w:hAnsi="Arial"/>
                  <w:sz w:val="18"/>
                  <w:szCs w:val="18"/>
                  <w:color w:val="0000EE"/>
                  <w:w w:val="91"/>
                </w:rPr>
                <w:t>Restated Certificate of Incorporation of the Registrant (incorporated by reference to Exhibit 3.1 of the Registrant’s Annual Report on Form 10-K,</w:t>
              </w:r>
            </w:hyperlink>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60" w:type="dxa"/>
            <w:vAlign w:val="bottom"/>
            <w:gridSpan w:val="7"/>
          </w:tcPr>
          <w:p>
            <w:pPr>
              <w:spacing w:after="0" w:line="196" w:lineRule="exact"/>
              <w:rPr>
                <w:rFonts w:ascii="Arial" w:cs="Arial" w:eastAsia="Arial" w:hAnsi="Arial"/>
                <w:sz w:val="18"/>
                <w:szCs w:val="18"/>
                <w:color w:val="0000EE"/>
              </w:rPr>
            </w:pPr>
            <w:hyperlink r:id="rId43">
              <w:r>
                <w:rPr>
                  <w:rFonts w:ascii="Arial" w:cs="Arial" w:eastAsia="Arial" w:hAnsi="Arial"/>
                  <w:sz w:val="18"/>
                  <w:szCs w:val="18"/>
                  <w:color w:val="0000EE"/>
                </w:rPr>
                <w:t>filed on March 15, 2007)</w:t>
              </w:r>
            </w:hyperlink>
          </w:p>
        </w:tc>
      </w:tr>
      <w:tr>
        <w:trPr>
          <w:trHeight w:val="20"/>
        </w:trPr>
        <w:tc>
          <w:tcPr>
            <w:tcW w:w="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10460" w:type="dxa"/>
            <w:vAlign w:val="bottom"/>
            <w:tcBorders>
              <w:bottom w:val="single" w:sz="8" w:color="0000EE"/>
            </w:tcBorders>
            <w:gridSpan w:val="7"/>
          </w:tcPr>
          <w:p>
            <w:pPr>
              <w:spacing w:after="0"/>
              <w:rPr>
                <w:rFonts w:ascii="Arial" w:cs="Arial" w:eastAsia="Arial" w:hAnsi="Arial"/>
                <w:sz w:val="18"/>
                <w:szCs w:val="18"/>
                <w:color w:val="0000EE"/>
                <w:w w:val="95"/>
              </w:rPr>
            </w:pPr>
            <w:hyperlink r:id="rId44">
              <w:r>
                <w:rPr>
                  <w:rFonts w:ascii="Arial" w:cs="Arial" w:eastAsia="Arial" w:hAnsi="Arial"/>
                  <w:sz w:val="18"/>
                  <w:szCs w:val="18"/>
                  <w:color w:val="0000EE"/>
                  <w:w w:val="95"/>
                </w:rPr>
                <w:t>Certificate of Amendment to the Restated Certificate of Incorporation of the Registrant (incorporated by reference to Exhibit 3.1 of Current</w:t>
              </w:r>
            </w:hyperlink>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44">
              <w:r>
                <w:rPr>
                  <w:rFonts w:ascii="Arial" w:cs="Arial" w:eastAsia="Arial" w:hAnsi="Arial"/>
                  <w:sz w:val="18"/>
                  <w:szCs w:val="18"/>
                  <w:color w:val="0000EE"/>
                  <w:w w:val="91"/>
                </w:rPr>
                <w:t>Report on Form 8-K, filed on November 29, 2016)</w:t>
              </w:r>
            </w:hyperlink>
          </w:p>
        </w:tc>
        <w:tc>
          <w:tcPr>
            <w:tcW w:w="6800" w:type="dxa"/>
            <w:vAlign w:val="bottom"/>
            <w:gridSpan w:val="2"/>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0460" w:type="dxa"/>
            <w:vAlign w:val="bottom"/>
            <w:tcBorders>
              <w:bottom w:val="single" w:sz="8" w:color="0000EE"/>
            </w:tcBorders>
            <w:gridSpan w:val="7"/>
          </w:tcPr>
          <w:p>
            <w:pPr>
              <w:spacing w:after="0"/>
              <w:rPr>
                <w:rFonts w:ascii="Arial" w:cs="Arial" w:eastAsia="Arial" w:hAnsi="Arial"/>
                <w:sz w:val="18"/>
                <w:szCs w:val="18"/>
                <w:color w:val="0000EE"/>
                <w:w w:val="91"/>
              </w:rPr>
            </w:pPr>
            <w:hyperlink r:id="rId45">
              <w:r>
                <w:rPr>
                  <w:rFonts w:ascii="Arial" w:cs="Arial" w:eastAsia="Arial" w:hAnsi="Arial"/>
                  <w:sz w:val="18"/>
                  <w:szCs w:val="18"/>
                  <w:color w:val="0000EE"/>
                  <w:w w:val="91"/>
                </w:rPr>
                <w:t>Certificate of Amendment to the Restated Certificate of Incorporation (incorporated by reference to the Company’s Current Report on Form 8-K</w:t>
              </w:r>
            </w:hyperlink>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60" w:type="dxa"/>
            <w:vAlign w:val="bottom"/>
            <w:tcBorders>
              <w:bottom w:val="single" w:sz="8" w:color="0000EE"/>
            </w:tcBorders>
            <w:gridSpan w:val="3"/>
          </w:tcPr>
          <w:p>
            <w:pPr>
              <w:spacing w:after="0" w:line="196" w:lineRule="exact"/>
              <w:rPr>
                <w:rFonts w:ascii="Arial" w:cs="Arial" w:eastAsia="Arial" w:hAnsi="Arial"/>
                <w:sz w:val="18"/>
                <w:szCs w:val="18"/>
                <w:color w:val="0000EE"/>
                <w:w w:val="89"/>
              </w:rPr>
            </w:pPr>
            <w:hyperlink r:id="rId45">
              <w:r>
                <w:rPr>
                  <w:rFonts w:ascii="Arial" w:cs="Arial" w:eastAsia="Arial" w:hAnsi="Arial"/>
                  <w:sz w:val="18"/>
                  <w:szCs w:val="18"/>
                  <w:color w:val="0000EE"/>
                  <w:w w:val="89"/>
                </w:rPr>
                <w:t>filed on September 4, 2018).</w:t>
              </w:r>
            </w:hyperlink>
          </w:p>
        </w:tc>
        <w:tc>
          <w:tcPr>
            <w:tcW w:w="8400" w:type="dxa"/>
            <w:vAlign w:val="bottom"/>
            <w:gridSpan w:val="4"/>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0460" w:type="dxa"/>
            <w:vAlign w:val="bottom"/>
            <w:tcBorders>
              <w:bottom w:val="single" w:sz="8" w:color="0000EE"/>
            </w:tcBorders>
            <w:gridSpan w:val="7"/>
          </w:tcPr>
          <w:p>
            <w:pPr>
              <w:spacing w:after="0"/>
              <w:rPr>
                <w:rFonts w:ascii="Arial" w:cs="Arial" w:eastAsia="Arial" w:hAnsi="Arial"/>
                <w:sz w:val="18"/>
                <w:szCs w:val="18"/>
                <w:color w:val="0000EE"/>
                <w:w w:val="91"/>
              </w:rPr>
            </w:pPr>
            <w:hyperlink r:id="rId46">
              <w:r>
                <w:rPr>
                  <w:rFonts w:ascii="Arial" w:cs="Arial" w:eastAsia="Arial" w:hAnsi="Arial"/>
                  <w:sz w:val="18"/>
                  <w:szCs w:val="18"/>
                  <w:color w:val="0000EE"/>
                  <w:w w:val="91"/>
                </w:rPr>
                <w:t>Certificate of Amendment to the Restated Certificate of Incorporation (incorporated by reference to the Company’s Current Report on Form 8-K</w:t>
              </w:r>
            </w:hyperlink>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tcBorders>
              <w:bottom w:val="single" w:sz="8" w:color="0000EE"/>
            </w:tcBorders>
            <w:gridSpan w:val="4"/>
          </w:tcPr>
          <w:p>
            <w:pPr>
              <w:spacing w:after="0" w:line="196" w:lineRule="exact"/>
              <w:rPr>
                <w:rFonts w:ascii="Arial" w:cs="Arial" w:eastAsia="Arial" w:hAnsi="Arial"/>
                <w:sz w:val="18"/>
                <w:szCs w:val="18"/>
                <w:color w:val="0000EE"/>
                <w:w w:val="89"/>
              </w:rPr>
            </w:pPr>
            <w:hyperlink r:id="rId46">
              <w:r>
                <w:rPr>
                  <w:rFonts w:ascii="Arial" w:cs="Arial" w:eastAsia="Arial" w:hAnsi="Arial"/>
                  <w:sz w:val="18"/>
                  <w:szCs w:val="18"/>
                  <w:color w:val="0000EE"/>
                  <w:w w:val="89"/>
                </w:rPr>
                <w:t>filed on September 11, 2019).</w:t>
              </w:r>
            </w:hyperlink>
          </w:p>
        </w:tc>
        <w:tc>
          <w:tcPr>
            <w:tcW w:w="8320" w:type="dxa"/>
            <w:vAlign w:val="bottom"/>
            <w:gridSpan w:val="3"/>
          </w:tcPr>
          <w:p>
            <w:pPr>
              <w:spacing w:after="0"/>
              <w:rPr>
                <w:sz w:val="17"/>
                <w:szCs w:val="17"/>
                <w:color w:val="auto"/>
              </w:rPr>
            </w:pPr>
          </w:p>
        </w:tc>
      </w:tr>
      <w:tr>
        <w:trPr>
          <w:trHeight w:val="412"/>
        </w:trPr>
        <w:tc>
          <w:tcPr>
            <w:tcW w:w="660" w:type="dxa"/>
            <w:vAlign w:val="bottom"/>
          </w:tcPr>
          <w:p>
            <w:pPr>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color w:val="0000EE"/>
                <w:w w:val="94"/>
              </w:rPr>
            </w:pPr>
            <w:hyperlink r:id="rId47">
              <w:r>
                <w:rPr>
                  <w:rFonts w:ascii="Arial" w:cs="Arial" w:eastAsia="Arial" w:hAnsi="Arial"/>
                  <w:sz w:val="18"/>
                  <w:szCs w:val="18"/>
                  <w:color w:val="0000EE"/>
                  <w:w w:val="94"/>
                </w:rPr>
                <w:t>Amended and Restated By-Laws of the Company (incorporated by reference to the Company’s Current Report on Form 8-K filed on May 3,</w:t>
              </w:r>
            </w:hyperlink>
          </w:p>
        </w:tc>
      </w:tr>
      <w:tr>
        <w:trPr>
          <w:trHeight w:val="196"/>
        </w:trPr>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6"/>
              </w:rPr>
            </w:pPr>
            <w:hyperlink r:id="rId47">
              <w:r>
                <w:rPr>
                  <w:rFonts w:ascii="Arial" w:cs="Arial" w:eastAsia="Arial" w:hAnsi="Arial"/>
                  <w:sz w:val="18"/>
                  <w:szCs w:val="18"/>
                  <w:color w:val="0000EE"/>
                  <w:w w:val="86"/>
                </w:rPr>
                <w:t>2016).</w:t>
              </w:r>
            </w:hyperlink>
          </w:p>
        </w:tc>
        <w:tc>
          <w:tcPr>
            <w:tcW w:w="1340" w:type="dxa"/>
            <w:vAlign w:val="bottom"/>
            <w:tcBorders>
              <w:top w:val="single" w:sz="8" w:color="0000EE"/>
            </w:tcBorders>
          </w:tcPr>
          <w:p>
            <w:pPr>
              <w:spacing w:after="0"/>
              <w:rPr>
                <w:sz w:val="17"/>
                <w:szCs w:val="17"/>
                <w:color w:val="auto"/>
              </w:rPr>
            </w:pPr>
          </w:p>
        </w:tc>
        <w:tc>
          <w:tcPr>
            <w:tcW w:w="26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1520" w:type="dxa"/>
            <w:vAlign w:val="bottom"/>
            <w:tcBorders>
              <w:top w:val="single" w:sz="8" w:color="0000EE"/>
            </w:tcBorders>
          </w:tcPr>
          <w:p>
            <w:pPr>
              <w:spacing w:after="0"/>
              <w:rPr>
                <w:sz w:val="17"/>
                <w:szCs w:val="17"/>
                <w:color w:val="auto"/>
              </w:rPr>
            </w:pPr>
          </w:p>
        </w:tc>
        <w:tc>
          <w:tcPr>
            <w:tcW w:w="678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453"/>
        </w:trPr>
        <w:tc>
          <w:tcPr>
            <w:tcW w:w="660" w:type="dxa"/>
            <w:vAlign w:val="bottom"/>
          </w:tcPr>
          <w:p>
            <w:pPr>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24"/>
                <w:szCs w:val="24"/>
                <w:color w:val="auto"/>
              </w:rPr>
            </w:pPr>
          </w:p>
        </w:tc>
        <w:tc>
          <w:tcPr>
            <w:tcW w:w="10460" w:type="dxa"/>
            <w:vAlign w:val="bottom"/>
            <w:gridSpan w:val="7"/>
          </w:tcPr>
          <w:p>
            <w:pPr>
              <w:spacing w:after="0"/>
              <w:rPr>
                <w:sz w:val="20"/>
                <w:szCs w:val="20"/>
                <w:color w:val="auto"/>
              </w:rPr>
            </w:pPr>
            <w:r>
              <w:rPr>
                <w:rFonts w:ascii="Arial" w:cs="Arial" w:eastAsia="Arial" w:hAnsi="Arial"/>
                <w:sz w:val="18"/>
                <w:szCs w:val="18"/>
                <w:color w:val="auto"/>
              </w:rPr>
              <w:t>Form of Common Stock Warrant Agreement and Warrant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4"/>
                <w:szCs w:val="24"/>
                <w:color w:val="auto"/>
              </w:rPr>
            </w:pPr>
          </w:p>
        </w:tc>
        <w:tc>
          <w:tcPr>
            <w:tcW w:w="10460" w:type="dxa"/>
            <w:vAlign w:val="bottom"/>
            <w:gridSpan w:val="7"/>
          </w:tcPr>
          <w:p>
            <w:pPr>
              <w:spacing w:after="0"/>
              <w:rPr>
                <w:sz w:val="20"/>
                <w:szCs w:val="20"/>
                <w:color w:val="auto"/>
              </w:rPr>
            </w:pPr>
            <w:r>
              <w:rPr>
                <w:rFonts w:ascii="Arial" w:cs="Arial" w:eastAsia="Arial" w:hAnsi="Arial"/>
                <w:sz w:val="18"/>
                <w:szCs w:val="18"/>
                <w:color w:val="auto"/>
              </w:rPr>
              <w:t>Form of Preferred Stock Warrant Agreement and Warrant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4.3*</w:t>
            </w:r>
          </w:p>
        </w:tc>
        <w:tc>
          <w:tcPr>
            <w:tcW w:w="120" w:type="dxa"/>
            <w:vAlign w:val="bottom"/>
          </w:tcPr>
          <w:p>
            <w:pPr>
              <w:spacing w:after="0"/>
              <w:rPr>
                <w:sz w:val="24"/>
                <w:szCs w:val="24"/>
                <w:color w:val="auto"/>
              </w:rPr>
            </w:pPr>
          </w:p>
        </w:tc>
        <w:tc>
          <w:tcPr>
            <w:tcW w:w="10460" w:type="dxa"/>
            <w:vAlign w:val="bottom"/>
            <w:gridSpan w:val="7"/>
          </w:tcPr>
          <w:p>
            <w:pPr>
              <w:spacing w:after="0"/>
              <w:rPr>
                <w:sz w:val="20"/>
                <w:szCs w:val="20"/>
                <w:color w:val="auto"/>
              </w:rPr>
            </w:pPr>
            <w:r>
              <w:rPr>
                <w:rFonts w:ascii="Arial" w:cs="Arial" w:eastAsia="Arial" w:hAnsi="Arial"/>
                <w:sz w:val="18"/>
                <w:szCs w:val="18"/>
                <w:color w:val="auto"/>
              </w:rPr>
              <w:t>Form of Debt Securities Warrant Agreement and Warrant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u w:val="single" w:color="auto"/>
                <w:color w:val="0000EE"/>
              </w:rPr>
            </w:pPr>
            <w:hyperlink w:anchor="page34">
              <w:r>
                <w:rPr>
                  <w:rFonts w:ascii="Arial" w:cs="Arial" w:eastAsia="Arial" w:hAnsi="Arial"/>
                  <w:sz w:val="18"/>
                  <w:szCs w:val="18"/>
                  <w:u w:val="single" w:color="auto"/>
                  <w:color w:val="0000EE"/>
                </w:rPr>
                <w:t>Form of Senior Indenture</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u w:val="single" w:color="auto"/>
                <w:color w:val="0000EE"/>
              </w:rPr>
            </w:pPr>
            <w:hyperlink w:anchor="page73">
              <w:r>
                <w:rPr>
                  <w:rFonts w:ascii="Arial" w:cs="Arial" w:eastAsia="Arial" w:hAnsi="Arial"/>
                  <w:sz w:val="18"/>
                  <w:szCs w:val="18"/>
                  <w:u w:val="single" w:color="auto"/>
                  <w:color w:val="0000EE"/>
                </w:rPr>
                <w:t>Form of Subordinated Indenture</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4.6*</w:t>
            </w:r>
          </w:p>
        </w:tc>
        <w:tc>
          <w:tcPr>
            <w:tcW w:w="120" w:type="dxa"/>
            <w:vAlign w:val="bottom"/>
          </w:tcPr>
          <w:p>
            <w:pPr>
              <w:spacing w:after="0"/>
              <w:rPr>
                <w:sz w:val="24"/>
                <w:szCs w:val="24"/>
                <w:color w:val="auto"/>
              </w:rPr>
            </w:pPr>
          </w:p>
        </w:tc>
        <w:tc>
          <w:tcPr>
            <w:tcW w:w="10460" w:type="dxa"/>
            <w:vAlign w:val="bottom"/>
            <w:gridSpan w:val="7"/>
          </w:tcPr>
          <w:p>
            <w:pPr>
              <w:spacing w:after="0"/>
              <w:rPr>
                <w:sz w:val="20"/>
                <w:szCs w:val="20"/>
                <w:color w:val="auto"/>
              </w:rPr>
            </w:pPr>
            <w:r>
              <w:rPr>
                <w:rFonts w:ascii="Arial" w:cs="Arial" w:eastAsia="Arial" w:hAnsi="Arial"/>
                <w:sz w:val="18"/>
                <w:szCs w:val="18"/>
                <w:color w:val="auto"/>
              </w:rPr>
              <w:t>Form of Rights Agreement and Right Certificate</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24"/>
                <w:szCs w:val="24"/>
                <w:color w:val="auto"/>
              </w:rPr>
            </w:pPr>
          </w:p>
        </w:tc>
        <w:tc>
          <w:tcPr>
            <w:tcW w:w="10460" w:type="dxa"/>
            <w:vAlign w:val="bottom"/>
            <w:gridSpan w:val="7"/>
          </w:tcPr>
          <w:p>
            <w:pPr>
              <w:spacing w:after="0"/>
              <w:rPr>
                <w:sz w:val="20"/>
                <w:szCs w:val="20"/>
                <w:color w:val="auto"/>
              </w:rPr>
            </w:pPr>
            <w:r>
              <w:rPr>
                <w:rFonts w:ascii="Arial" w:cs="Arial" w:eastAsia="Arial" w:hAnsi="Arial"/>
                <w:sz w:val="18"/>
                <w:szCs w:val="18"/>
                <w:color w:val="auto"/>
              </w:rPr>
              <w:t>Form of Unit Agreement and Unit</w:t>
            </w:r>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Opinion of Mintz, Levin, Cohn, Ferris, Glovsky and Popeo, P.C.</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u w:val="single" w:color="auto"/>
                <w:color w:val="0000EE"/>
              </w:rPr>
            </w:pPr>
            <w:hyperlink w:anchor="page114">
              <w:r>
                <w:rPr>
                  <w:rFonts w:ascii="Arial" w:cs="Arial" w:eastAsia="Arial" w:hAnsi="Arial"/>
                  <w:sz w:val="18"/>
                  <w:szCs w:val="18"/>
                  <w:u w:val="single" w:color="auto"/>
                  <w:color w:val="0000EE"/>
                </w:rPr>
                <w:t>Consent of Mintz, Levin, Cohn, Ferris, Glovsky and Popeo, P.C. (included in Exhibit 5.1)</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23.2**</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Consent of Brightman Almagor Zohar &amp; Co., a firm in the Deloitte Global Network</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24.1</w:t>
            </w:r>
          </w:p>
        </w:tc>
        <w:tc>
          <w:tcPr>
            <w:tcW w:w="120" w:type="dxa"/>
            <w:vAlign w:val="bottom"/>
          </w:tcPr>
          <w:p>
            <w:pPr>
              <w:spacing w:after="0"/>
              <w:rPr>
                <w:sz w:val="24"/>
                <w:szCs w:val="24"/>
                <w:color w:val="auto"/>
              </w:rPr>
            </w:pPr>
          </w:p>
        </w:tc>
        <w:tc>
          <w:tcPr>
            <w:tcW w:w="10460" w:type="dxa"/>
            <w:vAlign w:val="bottom"/>
            <w:gridSpan w:val="7"/>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Power of attorney—included on the signature page</w:t>
              </w:r>
            </w:hyperlink>
          </w:p>
        </w:tc>
      </w:tr>
      <w:tr>
        <w:trPr>
          <w:trHeight w:val="432"/>
        </w:trPr>
        <w:tc>
          <w:tcPr>
            <w:tcW w:w="660" w:type="dxa"/>
            <w:vAlign w:val="bottom"/>
          </w:tcPr>
          <w:p>
            <w:pPr>
              <w:spacing w:after="0"/>
              <w:rPr>
                <w:sz w:val="20"/>
                <w:szCs w:val="20"/>
                <w:color w:val="auto"/>
              </w:rPr>
            </w:pPr>
            <w:r>
              <w:rPr>
                <w:rFonts w:ascii="Arial" w:cs="Arial" w:eastAsia="Arial" w:hAnsi="Arial"/>
                <w:sz w:val="18"/>
                <w:szCs w:val="18"/>
                <w:color w:val="auto"/>
              </w:rPr>
              <w:t>25.1***</w:t>
            </w:r>
          </w:p>
        </w:tc>
        <w:tc>
          <w:tcPr>
            <w:tcW w:w="120" w:type="dxa"/>
            <w:vAlign w:val="bottom"/>
          </w:tcPr>
          <w:p>
            <w:pPr>
              <w:spacing w:after="0"/>
              <w:rPr>
                <w:sz w:val="24"/>
                <w:szCs w:val="24"/>
                <w:color w:val="auto"/>
              </w:rPr>
            </w:pPr>
          </w:p>
        </w:tc>
        <w:tc>
          <w:tcPr>
            <w:tcW w:w="10460" w:type="dxa"/>
            <w:vAlign w:val="bottom"/>
            <w:gridSpan w:val="7"/>
          </w:tcPr>
          <w:p>
            <w:pPr>
              <w:spacing w:after="0"/>
              <w:rPr>
                <w:sz w:val="20"/>
                <w:szCs w:val="20"/>
                <w:color w:val="auto"/>
              </w:rPr>
            </w:pPr>
            <w:r>
              <w:rPr>
                <w:rFonts w:ascii="Arial" w:cs="Arial" w:eastAsia="Arial" w:hAnsi="Arial"/>
                <w:sz w:val="18"/>
                <w:szCs w:val="18"/>
                <w:color w:val="auto"/>
              </w:rPr>
              <w:t>Statement of Eligibility of Trustee Under Debt Indenture</w:t>
            </w:r>
          </w:p>
        </w:tc>
      </w:tr>
    </w:tbl>
    <w:p>
      <w:pPr>
        <w:spacing w:after="0" w:line="202" w:lineRule="exact"/>
        <w:rPr>
          <w:sz w:val="20"/>
          <w:szCs w:val="20"/>
          <w:color w:val="auto"/>
        </w:rPr>
      </w:pPr>
    </w:p>
    <w:p>
      <w:pPr>
        <w:ind w:left="340" w:hanging="332"/>
        <w:spacing w:after="0" w:line="258"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To be filed, if necessary, subsequent to the effectiveness of this registration statement by an amendment to this registration statement or incorporated by reference pursuant to a Current Report on Form 8-K in connection with an offering of securities.</w:t>
      </w:r>
    </w:p>
    <w:p>
      <w:pPr>
        <w:spacing w:after="0" w:line="1"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To be filed separately pursuant to Section 305(b)(2) of the Trust Indenture Act of 1939.</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1" w:right="3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4.4</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MICROBOT MEDICAL INC.</w:t>
      </w:r>
    </w:p>
    <w:p>
      <w:pPr>
        <w:spacing w:after="0" w:line="23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720" w:hanging="1058"/>
        <w:spacing w:after="0"/>
        <w:tabs>
          <w:tab w:leader="none" w:pos="4720" w:val="left"/>
        </w:tabs>
        <w:numPr>
          <w:ilvl w:val="0"/>
          <w:numId w:val="32"/>
        </w:numPr>
        <w:rPr>
          <w:rFonts w:ascii="Arial" w:cs="Arial" w:eastAsia="Arial" w:hAnsi="Arial"/>
          <w:sz w:val="18"/>
          <w:szCs w:val="18"/>
          <w:color w:val="auto"/>
        </w:rPr>
      </w:pPr>
      <w:r>
        <w:rPr>
          <w:rFonts w:ascii="Arial" w:cs="Arial" w:eastAsia="Arial" w:hAnsi="Arial"/>
          <w:sz w:val="18"/>
          <w:szCs w:val="18"/>
          <w:color w:val="auto"/>
        </w:rPr>
        <w:t>] 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20"/>
        <w:spacing w:after="0"/>
        <w:tabs>
          <w:tab w:leader="none" w:pos="542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100" w:type="dxa"/>
            <w:vAlign w:val="bottom"/>
            <w:gridSpan w:val="3"/>
          </w:tcPr>
          <w:p>
            <w:pPr>
              <w:jc w:val="right"/>
              <w:ind w:right="419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4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tcPr>
          <w:p>
            <w:pPr>
              <w:jc w:val="right"/>
              <w:ind w:right="270"/>
              <w:spacing w:after="0"/>
              <w:rPr>
                <w:sz w:val="20"/>
                <w:szCs w:val="20"/>
                <w:color w:val="auto"/>
              </w:rPr>
            </w:pPr>
            <w:r>
              <w:rPr>
                <w:rFonts w:ascii="Arial" w:cs="Arial" w:eastAsia="Arial" w:hAnsi="Arial"/>
                <w:sz w:val="18"/>
                <w:szCs w:val="18"/>
                <w:b w:val="1"/>
                <w:bCs w:val="1"/>
                <w:color w:val="auto"/>
              </w:rPr>
              <w:t>Section of</w:t>
            </w:r>
          </w:p>
        </w:tc>
      </w:tr>
      <w:tr>
        <w:trPr>
          <w:trHeight w:val="241"/>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Section of Trust Indenture Act of 1939, as Amended</w:t>
            </w:r>
          </w:p>
        </w:tc>
        <w:tc>
          <w:tcPr>
            <w:tcW w:w="5420" w:type="dxa"/>
            <w:vAlign w:val="bottom"/>
            <w:tcBorders>
              <w:bottom w:val="single" w:sz="8" w:color="auto"/>
            </w:tcBorders>
          </w:tcPr>
          <w:p>
            <w:pPr>
              <w:spacing w:after="0"/>
              <w:rPr>
                <w:sz w:val="20"/>
                <w:szCs w:val="20"/>
                <w:color w:val="auto"/>
              </w:rPr>
            </w:pPr>
          </w:p>
        </w:tc>
        <w:tc>
          <w:tcPr>
            <w:tcW w:w="220" w:type="dxa"/>
            <w:vAlign w:val="bottom"/>
            <w:tcBorders>
              <w:bottom w:val="single" w:sz="8" w:color="CCEEFF"/>
            </w:tcBorders>
          </w:tcPr>
          <w:p>
            <w:pPr>
              <w:spacing w:after="0"/>
              <w:rPr>
                <w:sz w:val="20"/>
                <w:szCs w:val="20"/>
                <w:color w:val="auto"/>
              </w:rPr>
            </w:pPr>
          </w:p>
        </w:tc>
        <w:tc>
          <w:tcPr>
            <w:tcW w:w="1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Indenture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310(a).</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310(b).</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4140" w:type="dxa"/>
            <w:vAlign w:val="bottom"/>
            <w:shd w:val="clear" w:color="auto" w:fill="CCEEFF"/>
          </w:tcPr>
          <w:p>
            <w:pPr>
              <w:spacing w:after="0"/>
              <w:rPr>
                <w:sz w:val="18"/>
                <w:szCs w:val="18"/>
                <w:color w:val="auto"/>
              </w:rPr>
            </w:pP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310(c).</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311(a).</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311(b).</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7.13(b)</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311(c).</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312(a)</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5.02(a)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312(b).</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5.02(b)</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312(c).</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5.02(c)</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313(a).</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313(b).</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313(c).</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5.04(a)</w:t>
            </w:r>
          </w:p>
        </w:tc>
      </w:tr>
      <w:tr>
        <w:trPr>
          <w:trHeight w:val="216"/>
        </w:trPr>
        <w:tc>
          <w:tcPr>
            <w:tcW w:w="4140" w:type="dxa"/>
            <w:vAlign w:val="bottom"/>
          </w:tcPr>
          <w:p>
            <w:pPr>
              <w:spacing w:after="0"/>
              <w:rPr>
                <w:sz w:val="18"/>
                <w:szCs w:val="18"/>
                <w:color w:val="auto"/>
              </w:rPr>
            </w:pP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5.04(b)</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313(d).</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5.04(b)</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314(a).</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314(b).</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314(c).</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314(d).</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314(e).</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314(f).</w:t>
            </w: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315(a).</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7.01(a)</w:t>
            </w:r>
          </w:p>
        </w:tc>
      </w:tr>
      <w:tr>
        <w:trPr>
          <w:trHeight w:val="216"/>
        </w:trPr>
        <w:tc>
          <w:tcPr>
            <w:tcW w:w="4140" w:type="dxa"/>
            <w:vAlign w:val="bottom"/>
            <w:shd w:val="clear" w:color="auto" w:fill="CCEEFF"/>
          </w:tcPr>
          <w:p>
            <w:pPr>
              <w:spacing w:after="0"/>
              <w:rPr>
                <w:sz w:val="18"/>
                <w:szCs w:val="18"/>
                <w:color w:val="auto"/>
              </w:rPr>
            </w:pP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315(b).</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315(c).</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315(d).</w:t>
            </w:r>
          </w:p>
        </w:tc>
        <w:tc>
          <w:tcPr>
            <w:tcW w:w="5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7.01(b)</w:t>
            </w:r>
          </w:p>
        </w:tc>
      </w:tr>
      <w:tr>
        <w:trPr>
          <w:trHeight w:val="216"/>
        </w:trPr>
        <w:tc>
          <w:tcPr>
            <w:tcW w:w="4140" w:type="dxa"/>
            <w:vAlign w:val="bottom"/>
            <w:shd w:val="clear" w:color="auto" w:fill="CCEEFF"/>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7.01(c)</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315(e).</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316(a).</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4140" w:type="dxa"/>
            <w:vAlign w:val="bottom"/>
          </w:tcPr>
          <w:p>
            <w:pPr>
              <w:spacing w:after="0"/>
              <w:rPr>
                <w:sz w:val="18"/>
                <w:szCs w:val="18"/>
                <w:color w:val="auto"/>
              </w:rPr>
            </w:pP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316(b).</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316(c).</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317(a).</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317(b).</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318(a).</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13.08</w:t>
            </w:r>
          </w:p>
        </w:tc>
      </w:tr>
    </w:tbl>
    <w:p>
      <w:pPr>
        <w:spacing w:after="0" w:line="202" w:lineRule="exact"/>
        <w:rPr>
          <w:sz w:val="20"/>
          <w:szCs w:val="20"/>
          <w:color w:val="auto"/>
        </w:rPr>
      </w:pPr>
    </w:p>
    <w:p>
      <w:pPr>
        <w:ind w:left="340" w:hanging="332"/>
        <w:spacing w:after="0" w:line="277" w:lineRule="auto"/>
        <w:tabs>
          <w:tab w:leader="none" w:pos="3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320" w:type="dxa"/>
            <w:vAlign w:val="bottom"/>
          </w:tcPr>
          <w:p>
            <w:pPr>
              <w:ind w:left="3000"/>
              <w:spacing w:after="0"/>
              <w:rPr>
                <w:sz w:val="20"/>
                <w:szCs w:val="20"/>
                <w:color w:val="auto"/>
              </w:rPr>
            </w:pPr>
            <w:r>
              <w:rPr>
                <w:rFonts w:ascii="Arial" w:cs="Arial" w:eastAsia="Arial" w:hAnsi="Arial"/>
                <w:sz w:val="18"/>
                <w:szCs w:val="18"/>
                <w:b w:val="1"/>
                <w:bCs w:val="1"/>
                <w:color w:val="auto"/>
              </w:rPr>
              <w:t>TABLE OF CONTENTS (2)</w:t>
            </w: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320" w:type="dxa"/>
            <w:vAlign w:val="bottom"/>
          </w:tcPr>
          <w:p>
            <w:pPr>
              <w:spacing w:after="0"/>
              <w:rPr>
                <w:sz w:val="24"/>
                <w:szCs w:val="24"/>
                <w:color w:val="auto"/>
              </w:rPr>
            </w:pPr>
          </w:p>
        </w:tc>
        <w:tc>
          <w:tcPr>
            <w:tcW w:w="400" w:type="dxa"/>
            <w:vAlign w:val="bottom"/>
            <w:gridSpan w:val="2"/>
          </w:tcPr>
          <w:p>
            <w:pPr>
              <w:spacing w:after="0"/>
              <w:rPr>
                <w:sz w:val="20"/>
                <w:szCs w:val="20"/>
                <w:color w:val="auto"/>
              </w:rPr>
            </w:pPr>
            <w:r>
              <w:rPr>
                <w:rFonts w:ascii="Arial" w:cs="Arial" w:eastAsia="Arial" w:hAnsi="Arial"/>
                <w:sz w:val="18"/>
                <w:szCs w:val="18"/>
                <w:b w:val="1"/>
                <w:bCs w:val="1"/>
                <w:color w:val="auto"/>
                <w:w w:val="88"/>
              </w:rPr>
              <w:t>Page</w:t>
            </w: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32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9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DEFINITIONS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1.01  Definitions of Terms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ARTICLE II ISSUE, DESCRIPTION, TERMS, EXECUTION, REGISTRATION AND EXCHANGE OF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2.01  Designation and Terms of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2.02  Form of Securities and Trustee’s Certificate</w:t>
            </w:r>
          </w:p>
        </w:tc>
        <w:tc>
          <w:tcPr>
            <w:tcW w:w="38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2.03  Denominations: Provisions for Payment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2.04  Execution and Authentications</w:t>
            </w: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2.05  Registration of Transfer and Exchange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340"/>
              <w:spacing w:after="0"/>
              <w:rPr>
                <w:sz w:val="20"/>
                <w:szCs w:val="20"/>
                <w:color w:val="auto"/>
              </w:rPr>
            </w:pPr>
            <w:r>
              <w:rPr>
                <w:rFonts w:ascii="Arial" w:cs="Arial" w:eastAsia="Arial" w:hAnsi="Arial"/>
                <w:sz w:val="18"/>
                <w:szCs w:val="18"/>
                <w:color w:val="auto"/>
                <w:w w:val="98"/>
              </w:rPr>
              <w:t>SECTION 2.06</w:t>
            </w:r>
          </w:p>
        </w:tc>
        <w:tc>
          <w:tcPr>
            <w:tcW w:w="9320" w:type="dxa"/>
            <w:vAlign w:val="bottom"/>
          </w:tcPr>
          <w:p>
            <w:pPr>
              <w:ind w:left="80"/>
              <w:spacing w:after="0"/>
              <w:rPr>
                <w:sz w:val="20"/>
                <w:szCs w:val="20"/>
                <w:color w:val="auto"/>
              </w:rPr>
            </w:pPr>
            <w:r>
              <w:rPr>
                <w:rFonts w:ascii="Arial" w:cs="Arial" w:eastAsia="Arial" w:hAnsi="Arial"/>
                <w:sz w:val="18"/>
                <w:szCs w:val="18"/>
                <w:color w:val="auto"/>
              </w:rPr>
              <w:t>Temporary Securities</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2.07  Mutilated, Destroyed, Lost or Stolen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340"/>
              <w:spacing w:after="0"/>
              <w:rPr>
                <w:sz w:val="20"/>
                <w:szCs w:val="20"/>
                <w:color w:val="auto"/>
              </w:rPr>
            </w:pPr>
            <w:r>
              <w:rPr>
                <w:rFonts w:ascii="Arial" w:cs="Arial" w:eastAsia="Arial" w:hAnsi="Arial"/>
                <w:sz w:val="18"/>
                <w:szCs w:val="18"/>
                <w:color w:val="auto"/>
                <w:w w:val="98"/>
              </w:rPr>
              <w:t>SECTION 2.08</w:t>
            </w:r>
          </w:p>
        </w:tc>
        <w:tc>
          <w:tcPr>
            <w:tcW w:w="9320" w:type="dxa"/>
            <w:vAlign w:val="bottom"/>
          </w:tcPr>
          <w:p>
            <w:pPr>
              <w:ind w:left="80"/>
              <w:spacing w:after="0"/>
              <w:rPr>
                <w:sz w:val="20"/>
                <w:szCs w:val="20"/>
                <w:color w:val="auto"/>
              </w:rPr>
            </w:pPr>
            <w:r>
              <w:rPr>
                <w:rFonts w:ascii="Arial" w:cs="Arial" w:eastAsia="Arial" w:hAnsi="Arial"/>
                <w:sz w:val="18"/>
                <w:szCs w:val="18"/>
                <w:color w:val="auto"/>
              </w:rPr>
              <w:t>Cancellation</w:t>
            </w:r>
          </w:p>
        </w:tc>
        <w:tc>
          <w:tcPr>
            <w:tcW w:w="38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2.09  Benefits of Indenture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340"/>
              <w:spacing w:after="0"/>
              <w:rPr>
                <w:sz w:val="20"/>
                <w:szCs w:val="20"/>
                <w:color w:val="auto"/>
              </w:rPr>
            </w:pPr>
            <w:r>
              <w:rPr>
                <w:rFonts w:ascii="Arial" w:cs="Arial" w:eastAsia="Arial" w:hAnsi="Arial"/>
                <w:sz w:val="18"/>
                <w:szCs w:val="18"/>
                <w:color w:val="auto"/>
                <w:w w:val="98"/>
              </w:rPr>
              <w:t>SECTION 2.10</w:t>
            </w:r>
          </w:p>
        </w:tc>
        <w:tc>
          <w:tcPr>
            <w:tcW w:w="9320" w:type="dxa"/>
            <w:vAlign w:val="bottom"/>
          </w:tcPr>
          <w:p>
            <w:pPr>
              <w:ind w:left="80"/>
              <w:spacing w:after="0"/>
              <w:rPr>
                <w:sz w:val="20"/>
                <w:szCs w:val="20"/>
                <w:color w:val="auto"/>
              </w:rPr>
            </w:pPr>
            <w:r>
              <w:rPr>
                <w:rFonts w:ascii="Arial" w:cs="Arial" w:eastAsia="Arial" w:hAnsi="Arial"/>
                <w:sz w:val="18"/>
                <w:szCs w:val="18"/>
                <w:color w:val="auto"/>
              </w:rPr>
              <w:t>Authenticating Agent</w:t>
            </w:r>
          </w:p>
        </w:tc>
        <w:tc>
          <w:tcPr>
            <w:tcW w:w="38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SECTION 2.11</w:t>
            </w:r>
          </w:p>
        </w:tc>
        <w:tc>
          <w:tcPr>
            <w:tcW w:w="9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Global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9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ARTICLE</w:t>
            </w:r>
          </w:p>
        </w:tc>
        <w:tc>
          <w:tcPr>
            <w:tcW w:w="99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REDEMPTION OF SECURITIES AND SINKING FUND PROVISIONS</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III</w:t>
            </w:r>
          </w:p>
        </w:tc>
        <w:tc>
          <w:tcPr>
            <w:tcW w:w="62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SECTION 3.01</w:t>
            </w:r>
          </w:p>
        </w:tc>
        <w:tc>
          <w:tcPr>
            <w:tcW w:w="9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Redemption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3.02  Notice of Redemption</w:t>
            </w: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3.03  Payment Upon Redemption</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340"/>
              <w:spacing w:after="0"/>
              <w:rPr>
                <w:sz w:val="20"/>
                <w:szCs w:val="20"/>
                <w:color w:val="auto"/>
              </w:rPr>
            </w:pPr>
            <w:r>
              <w:rPr>
                <w:rFonts w:ascii="Arial" w:cs="Arial" w:eastAsia="Arial" w:hAnsi="Arial"/>
                <w:sz w:val="18"/>
                <w:szCs w:val="18"/>
                <w:color w:val="auto"/>
                <w:w w:val="98"/>
              </w:rPr>
              <w:t>SECTION 3.04</w:t>
            </w:r>
          </w:p>
        </w:tc>
        <w:tc>
          <w:tcPr>
            <w:tcW w:w="9320" w:type="dxa"/>
            <w:vAlign w:val="bottom"/>
          </w:tcPr>
          <w:p>
            <w:pPr>
              <w:ind w:left="80"/>
              <w:spacing w:after="0"/>
              <w:rPr>
                <w:sz w:val="20"/>
                <w:szCs w:val="20"/>
                <w:color w:val="auto"/>
              </w:rPr>
            </w:pPr>
            <w:r>
              <w:rPr>
                <w:rFonts w:ascii="Arial" w:cs="Arial" w:eastAsia="Arial" w:hAnsi="Arial"/>
                <w:sz w:val="18"/>
                <w:szCs w:val="18"/>
                <w:color w:val="auto"/>
              </w:rPr>
              <w:t>Sinking Fund</w:t>
            </w:r>
          </w:p>
        </w:tc>
        <w:tc>
          <w:tcPr>
            <w:tcW w:w="38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3.05  Satisfaction of Sinking Fund Payments with Securities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3.06  Redemption of Securities for Sinking Fund</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shd w:val="clear" w:color="auto" w:fill="CCEEFF"/>
          </w:tcPr>
          <w:p>
            <w:pPr>
              <w:spacing w:after="0"/>
              <w:rPr>
                <w:sz w:val="18"/>
                <w:szCs w:val="18"/>
                <w:color w:val="auto"/>
              </w:rPr>
            </w:pPr>
          </w:p>
        </w:tc>
        <w:tc>
          <w:tcPr>
            <w:tcW w:w="9940" w:type="dxa"/>
            <w:vAlign w:val="bottom"/>
            <w:gridSpan w:val="2"/>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tcPr>
          <w:p>
            <w:pPr>
              <w:spacing w:after="0" w:line="201" w:lineRule="exact"/>
              <w:rPr>
                <w:sz w:val="20"/>
                <w:szCs w:val="20"/>
                <w:color w:val="auto"/>
              </w:rPr>
            </w:pPr>
            <w:r>
              <w:rPr>
                <w:rFonts w:ascii="Arial" w:cs="Arial" w:eastAsia="Arial" w:hAnsi="Arial"/>
                <w:sz w:val="18"/>
                <w:szCs w:val="18"/>
                <w:color w:val="auto"/>
              </w:rPr>
              <w:t>ARTICLE</w:t>
            </w:r>
          </w:p>
        </w:tc>
        <w:tc>
          <w:tcPr>
            <w:tcW w:w="9940" w:type="dxa"/>
            <w:vAlign w:val="bottom"/>
            <w:gridSpan w:val="2"/>
          </w:tcPr>
          <w:p>
            <w:pPr>
              <w:ind w:left="60"/>
              <w:spacing w:after="0" w:line="201" w:lineRule="exact"/>
              <w:rPr>
                <w:sz w:val="20"/>
                <w:szCs w:val="20"/>
                <w:color w:val="auto"/>
              </w:rPr>
            </w:pPr>
            <w:r>
              <w:rPr>
                <w:rFonts w:ascii="Arial" w:cs="Arial" w:eastAsia="Arial" w:hAnsi="Arial"/>
                <w:sz w:val="18"/>
                <w:szCs w:val="18"/>
                <w:color w:val="auto"/>
              </w:rPr>
              <w:t>COVENANTS</w:t>
            </w:r>
          </w:p>
        </w:tc>
        <w:tc>
          <w:tcPr>
            <w:tcW w:w="380" w:type="dxa"/>
            <w:vAlign w:val="bottom"/>
          </w:tcPr>
          <w:p>
            <w:pPr>
              <w:jc w:val="right"/>
              <w:spacing w:after="0" w:line="201" w:lineRule="exact"/>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tcPr>
          <w:p>
            <w:pPr>
              <w:spacing w:after="0"/>
              <w:rPr>
                <w:sz w:val="20"/>
                <w:szCs w:val="20"/>
                <w:color w:val="auto"/>
              </w:rPr>
            </w:pPr>
            <w:r>
              <w:rPr>
                <w:rFonts w:ascii="Arial" w:cs="Arial" w:eastAsia="Arial" w:hAnsi="Arial"/>
                <w:sz w:val="18"/>
                <w:szCs w:val="18"/>
                <w:color w:val="auto"/>
              </w:rPr>
              <w:t>IV</w:t>
            </w:r>
          </w:p>
        </w:tc>
        <w:tc>
          <w:tcPr>
            <w:tcW w:w="620" w:type="dxa"/>
            <w:vAlign w:val="bottom"/>
          </w:tcPr>
          <w:p>
            <w:pPr>
              <w:spacing w:after="0"/>
              <w:rPr>
                <w:sz w:val="20"/>
                <w:szCs w:val="20"/>
                <w:color w:val="auto"/>
              </w:rPr>
            </w:pPr>
          </w:p>
        </w:tc>
        <w:tc>
          <w:tcPr>
            <w:tcW w:w="93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4.01  Payment of Principal, Premium and Interest</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4.02  Maintenance of Office or Agency</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ind w:left="340"/>
              <w:spacing w:after="0"/>
              <w:rPr>
                <w:sz w:val="20"/>
                <w:szCs w:val="20"/>
                <w:color w:val="auto"/>
              </w:rPr>
            </w:pPr>
            <w:r>
              <w:rPr>
                <w:rFonts w:ascii="Arial" w:cs="Arial" w:eastAsia="Arial" w:hAnsi="Arial"/>
                <w:sz w:val="18"/>
                <w:szCs w:val="18"/>
                <w:color w:val="auto"/>
                <w:w w:val="98"/>
              </w:rPr>
              <w:t>SECTION 4.03</w:t>
            </w:r>
          </w:p>
        </w:tc>
        <w:tc>
          <w:tcPr>
            <w:tcW w:w="9320" w:type="dxa"/>
            <w:vAlign w:val="bottom"/>
          </w:tcPr>
          <w:p>
            <w:pPr>
              <w:ind w:left="80"/>
              <w:spacing w:after="0"/>
              <w:rPr>
                <w:sz w:val="20"/>
                <w:szCs w:val="20"/>
                <w:color w:val="auto"/>
              </w:rPr>
            </w:pPr>
            <w:r>
              <w:rPr>
                <w:rFonts w:ascii="Arial" w:cs="Arial" w:eastAsia="Arial" w:hAnsi="Arial"/>
                <w:sz w:val="18"/>
                <w:szCs w:val="18"/>
                <w:color w:val="auto"/>
              </w:rPr>
              <w:t>Paying Agents</w:t>
            </w:r>
          </w:p>
        </w:tc>
        <w:tc>
          <w:tcPr>
            <w:tcW w:w="38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4.04  Appointment to Fill Vacancy in Office of Trustee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4.05  Compliance with Consolidation Provisions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spacing w:after="0"/>
              <w:rPr>
                <w:sz w:val="20"/>
                <w:szCs w:val="20"/>
                <w:color w:val="auto"/>
              </w:rPr>
            </w:pPr>
            <w:r>
              <w:rPr>
                <w:rFonts w:ascii="Arial" w:cs="Arial" w:eastAsia="Arial" w:hAnsi="Arial"/>
                <w:sz w:val="18"/>
                <w:szCs w:val="18"/>
                <w:color w:val="auto"/>
              </w:rPr>
              <w:t>ARTICLE V SECURITYHOLDERS’ LISTS AND REPORTS BY THE COMPANY AND THE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5.01  Company to Furnish Trustee Names and Addresses of Securityholders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5.02  Preservation of Information; Communications with Securityholders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5.03  Reports by the Company</w:t>
            </w:r>
          </w:p>
        </w:tc>
        <w:tc>
          <w:tcPr>
            <w:tcW w:w="3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5.04  Reports by the Trustee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9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ARTICLE</w:t>
            </w:r>
          </w:p>
        </w:tc>
        <w:tc>
          <w:tcPr>
            <w:tcW w:w="99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REMEDIES OF THE TRUSTEE AND SECURITYHOLDERS ON EVENT OF DEFAULT</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VI</w:t>
            </w:r>
          </w:p>
        </w:tc>
        <w:tc>
          <w:tcPr>
            <w:tcW w:w="62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540" w:type="dxa"/>
            <w:vAlign w:val="bottom"/>
            <w:gridSpan w:val="2"/>
          </w:tcPr>
          <w:p>
            <w:pPr>
              <w:spacing w:after="0"/>
              <w:rPr>
                <w:sz w:val="18"/>
                <w:szCs w:val="18"/>
                <w:color w:val="auto"/>
              </w:rPr>
            </w:pPr>
          </w:p>
        </w:tc>
        <w:tc>
          <w:tcPr>
            <w:tcW w:w="93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8"/>
              </w:rPr>
              <w:t>SECTION 6.01</w:t>
            </w:r>
          </w:p>
        </w:tc>
        <w:tc>
          <w:tcPr>
            <w:tcW w:w="9320" w:type="dxa"/>
            <w:vAlign w:val="bottom"/>
            <w:shd w:val="clear" w:color="auto" w:fill="CCEEFF"/>
          </w:tcPr>
          <w:p>
            <w:pPr>
              <w:ind w:left="80"/>
              <w:spacing w:after="0"/>
              <w:rPr>
                <w:sz w:val="20"/>
                <w:szCs w:val="20"/>
                <w:color w:val="auto"/>
              </w:rPr>
            </w:pPr>
            <w:r>
              <w:rPr>
                <w:rFonts w:ascii="Arial" w:cs="Arial" w:eastAsia="Arial" w:hAnsi="Arial"/>
                <w:sz w:val="18"/>
                <w:szCs w:val="18"/>
                <w:color w:val="auto"/>
              </w:rPr>
              <w:t>Events of Default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6.02  Collection of Indebtedness and Suits for Enforcement by Trustee</w:t>
            </w:r>
          </w:p>
        </w:tc>
        <w:tc>
          <w:tcPr>
            <w:tcW w:w="38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6.03  Application of Moneys Collected</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6.04  Limitation on Suits</w:t>
            </w:r>
          </w:p>
        </w:tc>
        <w:tc>
          <w:tcPr>
            <w:tcW w:w="38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6.05  Rights and Remedies Cumulative; Delay or Omission Not Waiver</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ind w:left="340"/>
              <w:spacing w:after="0"/>
              <w:rPr>
                <w:sz w:val="20"/>
                <w:szCs w:val="20"/>
                <w:color w:val="auto"/>
              </w:rPr>
            </w:pPr>
            <w:r>
              <w:rPr>
                <w:rFonts w:ascii="Arial" w:cs="Arial" w:eastAsia="Arial" w:hAnsi="Arial"/>
                <w:sz w:val="18"/>
                <w:szCs w:val="18"/>
                <w:color w:val="auto"/>
              </w:rPr>
              <w:t>SECTION 6.06  Control by Securityholders</w:t>
            </w:r>
          </w:p>
        </w:tc>
        <w:tc>
          <w:tcPr>
            <w:tcW w:w="38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6.07  Undertaking to Pay Costs</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20" w:type="dxa"/>
            <w:vAlign w:val="bottom"/>
          </w:tcPr>
          <w:p>
            <w:pPr>
              <w:spacing w:after="0"/>
              <w:rPr>
                <w:sz w:val="18"/>
                <w:szCs w:val="18"/>
                <w:color w:val="auto"/>
              </w:rPr>
            </w:pPr>
          </w:p>
        </w:tc>
        <w:tc>
          <w:tcPr>
            <w:tcW w:w="9940" w:type="dxa"/>
            <w:vAlign w:val="bottom"/>
            <w:gridSpan w:val="2"/>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9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ARTICLE</w:t>
            </w:r>
          </w:p>
        </w:tc>
        <w:tc>
          <w:tcPr>
            <w:tcW w:w="9940" w:type="dxa"/>
            <w:vAlign w:val="bottom"/>
            <w:gridSpan w:val="2"/>
            <w:shd w:val="clear" w:color="auto" w:fill="CCEEFF"/>
          </w:tcPr>
          <w:p>
            <w:pPr>
              <w:ind w:left="60"/>
              <w:spacing w:after="0" w:line="201" w:lineRule="exact"/>
              <w:rPr>
                <w:sz w:val="20"/>
                <w:szCs w:val="20"/>
                <w:color w:val="auto"/>
              </w:rPr>
            </w:pPr>
            <w:r>
              <w:rPr>
                <w:rFonts w:ascii="Arial" w:cs="Arial" w:eastAsia="Arial" w:hAnsi="Arial"/>
                <w:sz w:val="18"/>
                <w:szCs w:val="18"/>
                <w:color w:val="auto"/>
              </w:rPr>
              <w:t>CONCERNING THE TRUSTEE</w:t>
            </w:r>
          </w:p>
        </w:tc>
        <w:tc>
          <w:tcPr>
            <w:tcW w:w="380" w:type="dxa"/>
            <w:vAlign w:val="bottom"/>
            <w:shd w:val="clear" w:color="auto" w:fill="CCEEFF"/>
          </w:tcPr>
          <w:p>
            <w:pPr>
              <w:jc w:val="right"/>
              <w:spacing w:after="0" w:line="201" w:lineRule="exact"/>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920" w:type="dxa"/>
            <w:vAlign w:val="bottom"/>
            <w:shd w:val="clear" w:color="auto" w:fill="CCEEFF"/>
          </w:tcPr>
          <w:p>
            <w:pPr>
              <w:spacing w:after="0"/>
              <w:rPr>
                <w:sz w:val="20"/>
                <w:szCs w:val="20"/>
                <w:color w:val="auto"/>
              </w:rPr>
            </w:pPr>
            <w:r>
              <w:rPr>
                <w:rFonts w:ascii="Arial" w:cs="Arial" w:eastAsia="Arial" w:hAnsi="Arial"/>
                <w:sz w:val="18"/>
                <w:szCs w:val="18"/>
                <w:color w:val="auto"/>
              </w:rPr>
              <w:t>VII</w:t>
            </w:r>
          </w:p>
        </w:tc>
        <w:tc>
          <w:tcPr>
            <w:tcW w:w="620" w:type="dxa"/>
            <w:vAlign w:val="bottom"/>
            <w:shd w:val="clear" w:color="auto" w:fill="CCEEFF"/>
          </w:tcPr>
          <w:p>
            <w:pPr>
              <w:spacing w:after="0"/>
              <w:rPr>
                <w:sz w:val="20"/>
                <w:szCs w:val="20"/>
                <w:color w:val="auto"/>
              </w:rPr>
            </w:pPr>
          </w:p>
        </w:tc>
        <w:tc>
          <w:tcPr>
            <w:tcW w:w="93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0860" w:type="dxa"/>
            <w:vAlign w:val="bottom"/>
            <w:gridSpan w:val="3"/>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860" w:type="dxa"/>
            <w:vAlign w:val="bottom"/>
            <w:gridSpan w:val="3"/>
            <w:shd w:val="clear" w:color="auto" w:fill="CCEEFF"/>
          </w:tcPr>
          <w:p>
            <w:pPr>
              <w:ind w:left="340"/>
              <w:spacing w:after="0"/>
              <w:rPr>
                <w:sz w:val="20"/>
                <w:szCs w:val="20"/>
                <w:color w:val="auto"/>
              </w:rPr>
            </w:pPr>
            <w:r>
              <w:rPr>
                <w:rFonts w:ascii="Arial" w:cs="Arial" w:eastAsia="Arial" w:hAnsi="Arial"/>
                <w:sz w:val="18"/>
                <w:szCs w:val="18"/>
                <w:color w:val="auto"/>
              </w:rPr>
              <w:t>SECTION 7.01  Certain Duties and Responsibilities of Trustee</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9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9320" w:type="dxa"/>
            <w:vAlign w:val="bottom"/>
            <w:tcBorders>
              <w:bottom w:val="single" w:sz="8" w:color="auto"/>
            </w:tcBorders>
          </w:tcPr>
          <w:p>
            <w:pPr>
              <w:ind w:left="4060"/>
              <w:spacing w:after="0"/>
              <w:rPr>
                <w:sz w:val="20"/>
                <w:szCs w:val="20"/>
                <w:color w:val="auto"/>
              </w:rPr>
            </w:pPr>
            <w:r>
              <w:rPr>
                <w:rFonts w:ascii="Arial" w:cs="Arial" w:eastAsia="Arial" w:hAnsi="Arial"/>
                <w:sz w:val="18"/>
                <w:szCs w:val="18"/>
                <w:color w:val="auto"/>
              </w:rPr>
              <w:t>i</w:t>
            </w:r>
          </w:p>
        </w:tc>
        <w:tc>
          <w:tcPr>
            <w:tcW w:w="38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36" w:name="page37"/>
    <w:bookmarkEnd w:id="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Rights of Trustee</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7.03</w:t>
            </w:r>
          </w:p>
        </w:tc>
        <w:tc>
          <w:tcPr>
            <w:tcW w:w="7920" w:type="dxa"/>
            <w:vAlign w:val="bottom"/>
          </w:tcPr>
          <w:p>
            <w:pPr>
              <w:ind w:left="40"/>
              <w:spacing w:after="0"/>
              <w:rPr>
                <w:sz w:val="20"/>
                <w:szCs w:val="20"/>
                <w:color w:val="auto"/>
              </w:rPr>
            </w:pPr>
            <w:r>
              <w:rPr>
                <w:rFonts w:ascii="Arial" w:cs="Arial" w:eastAsia="Arial" w:hAnsi="Arial"/>
                <w:sz w:val="18"/>
                <w:szCs w:val="18"/>
                <w:color w:val="auto"/>
              </w:rPr>
              <w:t>Trustee Not Responsible for Recitals or Issuance of Securities</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May Hold Securities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7.05</w:t>
            </w:r>
          </w:p>
        </w:tc>
        <w:tc>
          <w:tcPr>
            <w:tcW w:w="7920" w:type="dxa"/>
            <w:vAlign w:val="bottom"/>
          </w:tcPr>
          <w:p>
            <w:pPr>
              <w:ind w:left="40"/>
              <w:spacing w:after="0"/>
              <w:rPr>
                <w:sz w:val="20"/>
                <w:szCs w:val="20"/>
                <w:color w:val="auto"/>
              </w:rPr>
            </w:pPr>
            <w:r>
              <w:rPr>
                <w:rFonts w:ascii="Arial" w:cs="Arial" w:eastAsia="Arial" w:hAnsi="Arial"/>
                <w:sz w:val="18"/>
                <w:szCs w:val="18"/>
                <w:color w:val="auto"/>
              </w:rPr>
              <w:t>Moneys Held in Trust</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7.06</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Compensation and Reimbursement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7.07</w:t>
            </w:r>
          </w:p>
        </w:tc>
        <w:tc>
          <w:tcPr>
            <w:tcW w:w="7920" w:type="dxa"/>
            <w:vAlign w:val="bottom"/>
          </w:tcPr>
          <w:p>
            <w:pPr>
              <w:ind w:left="40"/>
              <w:spacing w:after="0"/>
              <w:rPr>
                <w:sz w:val="20"/>
                <w:szCs w:val="20"/>
                <w:color w:val="auto"/>
              </w:rPr>
            </w:pPr>
            <w:r>
              <w:rPr>
                <w:rFonts w:ascii="Arial" w:cs="Arial" w:eastAsia="Arial" w:hAnsi="Arial"/>
                <w:sz w:val="18"/>
                <w:szCs w:val="18"/>
                <w:color w:val="auto"/>
              </w:rPr>
              <w:t>Reliance on Officers’ Certificate</w:t>
            </w:r>
          </w:p>
        </w:tc>
        <w:tc>
          <w:tcPr>
            <w:tcW w:w="1740" w:type="dxa"/>
            <w:vAlign w:val="bottom"/>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7.08</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Disqualification; Conflicting Interests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7.09</w:t>
            </w:r>
          </w:p>
        </w:tc>
        <w:tc>
          <w:tcPr>
            <w:tcW w:w="7920" w:type="dxa"/>
            <w:vAlign w:val="bottom"/>
          </w:tcPr>
          <w:p>
            <w:pPr>
              <w:ind w:left="40"/>
              <w:spacing w:after="0"/>
              <w:rPr>
                <w:sz w:val="20"/>
                <w:szCs w:val="20"/>
                <w:color w:val="auto"/>
              </w:rPr>
            </w:pPr>
            <w:r>
              <w:rPr>
                <w:rFonts w:ascii="Arial" w:cs="Arial" w:eastAsia="Arial" w:hAnsi="Arial"/>
                <w:sz w:val="18"/>
                <w:szCs w:val="18"/>
                <w:color w:val="auto"/>
              </w:rPr>
              <w:t>Corporate Trustee Required; Eligibility</w:t>
            </w:r>
          </w:p>
        </w:tc>
        <w:tc>
          <w:tcPr>
            <w:tcW w:w="174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7.10</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Resignation and Removal; Appointment of Successor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7.11</w:t>
            </w:r>
          </w:p>
        </w:tc>
        <w:tc>
          <w:tcPr>
            <w:tcW w:w="7920" w:type="dxa"/>
            <w:vAlign w:val="bottom"/>
          </w:tcPr>
          <w:p>
            <w:pPr>
              <w:ind w:left="40"/>
              <w:spacing w:after="0"/>
              <w:rPr>
                <w:sz w:val="20"/>
                <w:szCs w:val="20"/>
                <w:color w:val="auto"/>
              </w:rPr>
            </w:pPr>
            <w:r>
              <w:rPr>
                <w:rFonts w:ascii="Arial" w:cs="Arial" w:eastAsia="Arial" w:hAnsi="Arial"/>
                <w:sz w:val="18"/>
                <w:szCs w:val="18"/>
                <w:color w:val="auto"/>
              </w:rPr>
              <w:t>Acceptance of Appointment By Successor</w:t>
            </w:r>
          </w:p>
        </w:tc>
        <w:tc>
          <w:tcPr>
            <w:tcW w:w="174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7.12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Merger, Conversion, Consolidation or Succession to Business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7.13</w:t>
            </w:r>
          </w:p>
        </w:tc>
        <w:tc>
          <w:tcPr>
            <w:tcW w:w="7920" w:type="dxa"/>
            <w:vAlign w:val="bottom"/>
          </w:tcPr>
          <w:p>
            <w:pPr>
              <w:ind w:left="40"/>
              <w:spacing w:after="0"/>
              <w:rPr>
                <w:sz w:val="20"/>
                <w:szCs w:val="20"/>
                <w:color w:val="auto"/>
              </w:rPr>
            </w:pPr>
            <w:r>
              <w:rPr>
                <w:rFonts w:ascii="Arial" w:cs="Arial" w:eastAsia="Arial" w:hAnsi="Arial"/>
                <w:sz w:val="18"/>
                <w:szCs w:val="18"/>
                <w:color w:val="auto"/>
              </w:rPr>
              <w:t>Preferential Collection of Claims Against the Company</w:t>
            </w: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VIII</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CONCERNING THE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8.01</w:t>
            </w:r>
          </w:p>
        </w:tc>
        <w:tc>
          <w:tcPr>
            <w:tcW w:w="7920" w:type="dxa"/>
            <w:vAlign w:val="bottom"/>
          </w:tcPr>
          <w:p>
            <w:pPr>
              <w:ind w:left="40"/>
              <w:spacing w:after="0"/>
              <w:rPr>
                <w:sz w:val="20"/>
                <w:szCs w:val="20"/>
                <w:color w:val="auto"/>
              </w:rPr>
            </w:pPr>
            <w:r>
              <w:rPr>
                <w:rFonts w:ascii="Arial" w:cs="Arial" w:eastAsia="Arial" w:hAnsi="Arial"/>
                <w:sz w:val="18"/>
                <w:szCs w:val="18"/>
                <w:color w:val="auto"/>
              </w:rPr>
              <w:t>Evidence of Action by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Proof of Execution by Securityholders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8.03</w:t>
            </w:r>
          </w:p>
        </w:tc>
        <w:tc>
          <w:tcPr>
            <w:tcW w:w="7920" w:type="dxa"/>
            <w:vAlign w:val="bottom"/>
          </w:tcPr>
          <w:p>
            <w:pPr>
              <w:ind w:left="40"/>
              <w:spacing w:after="0"/>
              <w:rPr>
                <w:sz w:val="20"/>
                <w:szCs w:val="20"/>
                <w:color w:val="auto"/>
              </w:rPr>
            </w:pPr>
            <w:r>
              <w:rPr>
                <w:rFonts w:ascii="Arial" w:cs="Arial" w:eastAsia="Arial" w:hAnsi="Arial"/>
                <w:sz w:val="18"/>
                <w:szCs w:val="18"/>
                <w:color w:val="auto"/>
              </w:rPr>
              <w:t>Who May be Deemed Owners</w:t>
            </w: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8.04</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Certain Securities Owned by Company Disregarded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8.05</w:t>
            </w:r>
          </w:p>
        </w:tc>
        <w:tc>
          <w:tcPr>
            <w:tcW w:w="7920" w:type="dxa"/>
            <w:vAlign w:val="bottom"/>
          </w:tcPr>
          <w:p>
            <w:pPr>
              <w:ind w:left="40"/>
              <w:spacing w:after="0"/>
              <w:rPr>
                <w:sz w:val="20"/>
                <w:szCs w:val="20"/>
                <w:color w:val="auto"/>
              </w:rPr>
            </w:pPr>
            <w:r>
              <w:rPr>
                <w:rFonts w:ascii="Arial" w:cs="Arial" w:eastAsia="Arial" w:hAnsi="Arial"/>
                <w:sz w:val="18"/>
                <w:szCs w:val="18"/>
                <w:color w:val="auto"/>
              </w:rPr>
              <w:t>Actions Binding on Future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8.06</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Purposes for Which Meetings May Be Called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8.07</w:t>
            </w:r>
          </w:p>
        </w:tc>
        <w:tc>
          <w:tcPr>
            <w:tcW w:w="7920" w:type="dxa"/>
            <w:vAlign w:val="bottom"/>
          </w:tcPr>
          <w:p>
            <w:pPr>
              <w:ind w:left="40"/>
              <w:spacing w:after="0"/>
              <w:rPr>
                <w:sz w:val="20"/>
                <w:szCs w:val="20"/>
                <w:color w:val="auto"/>
              </w:rPr>
            </w:pPr>
            <w:r>
              <w:rPr>
                <w:rFonts w:ascii="Arial" w:cs="Arial" w:eastAsia="Arial" w:hAnsi="Arial"/>
                <w:sz w:val="18"/>
                <w:szCs w:val="18"/>
                <w:color w:val="auto"/>
              </w:rPr>
              <w:t>Call Notice and Place of Meetings</w:t>
            </w: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8.08</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Persons Entitled To Vote at Meetings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8.09</w:t>
            </w:r>
          </w:p>
        </w:tc>
        <w:tc>
          <w:tcPr>
            <w:tcW w:w="7920" w:type="dxa"/>
            <w:vAlign w:val="bottom"/>
          </w:tcPr>
          <w:p>
            <w:pPr>
              <w:ind w:left="40"/>
              <w:spacing w:after="0"/>
              <w:rPr>
                <w:sz w:val="20"/>
                <w:szCs w:val="20"/>
                <w:color w:val="auto"/>
              </w:rPr>
            </w:pPr>
            <w:r>
              <w:rPr>
                <w:rFonts w:ascii="Arial" w:cs="Arial" w:eastAsia="Arial" w:hAnsi="Arial"/>
                <w:sz w:val="18"/>
                <w:szCs w:val="18"/>
                <w:color w:val="auto"/>
              </w:rPr>
              <w:t>Quorum; Action</w:t>
            </w:r>
          </w:p>
        </w:tc>
        <w:tc>
          <w:tcPr>
            <w:tcW w:w="174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8.10</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8.11</w:t>
            </w:r>
          </w:p>
        </w:tc>
        <w:tc>
          <w:tcPr>
            <w:tcW w:w="7920" w:type="dxa"/>
            <w:vAlign w:val="bottom"/>
          </w:tcPr>
          <w:p>
            <w:pPr>
              <w:ind w:left="40"/>
              <w:spacing w:after="0"/>
              <w:rPr>
                <w:sz w:val="20"/>
                <w:szCs w:val="20"/>
                <w:color w:val="auto"/>
              </w:rPr>
            </w:pPr>
            <w:r>
              <w:rPr>
                <w:rFonts w:ascii="Arial" w:cs="Arial" w:eastAsia="Arial" w:hAnsi="Arial"/>
                <w:sz w:val="18"/>
                <w:szCs w:val="18"/>
                <w:color w:val="auto"/>
              </w:rPr>
              <w:t>Counting Votes and Recording Action of Meetings</w:t>
            </w:r>
          </w:p>
        </w:tc>
        <w:tc>
          <w:tcPr>
            <w:tcW w:w="174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IX</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9.01</w:t>
            </w:r>
          </w:p>
        </w:tc>
        <w:tc>
          <w:tcPr>
            <w:tcW w:w="7920" w:type="dxa"/>
            <w:vAlign w:val="bottom"/>
          </w:tcPr>
          <w:p>
            <w:pPr>
              <w:ind w:left="40"/>
              <w:spacing w:after="0"/>
              <w:rPr>
                <w:sz w:val="20"/>
                <w:szCs w:val="20"/>
                <w:color w:val="auto"/>
              </w:rPr>
            </w:pPr>
            <w:r>
              <w:rPr>
                <w:rFonts w:ascii="Arial" w:cs="Arial" w:eastAsia="Arial" w:hAnsi="Arial"/>
                <w:sz w:val="18"/>
                <w:szCs w:val="18"/>
                <w:color w:val="auto"/>
              </w:rPr>
              <w:t>Supplemental Indentures Without the Consent of Securityholders</w:t>
            </w:r>
          </w:p>
        </w:tc>
        <w:tc>
          <w:tcPr>
            <w:tcW w:w="174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9.02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Supplemental Indentures With Consent of Securityholders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9.03</w:t>
            </w:r>
          </w:p>
        </w:tc>
        <w:tc>
          <w:tcPr>
            <w:tcW w:w="7920" w:type="dxa"/>
            <w:vAlign w:val="bottom"/>
          </w:tcPr>
          <w:p>
            <w:pPr>
              <w:ind w:left="40"/>
              <w:spacing w:after="0"/>
              <w:rPr>
                <w:sz w:val="20"/>
                <w:szCs w:val="20"/>
                <w:color w:val="auto"/>
              </w:rPr>
            </w:pPr>
            <w:r>
              <w:rPr>
                <w:rFonts w:ascii="Arial" w:cs="Arial" w:eastAsia="Arial" w:hAnsi="Arial"/>
                <w:sz w:val="18"/>
                <w:szCs w:val="18"/>
                <w:color w:val="auto"/>
              </w:rPr>
              <w:t>Effect of 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9.04</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Securities Affected by Supplemental Indentures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rPr>
              <w:t>SECTION 9.05</w:t>
            </w:r>
          </w:p>
        </w:tc>
        <w:tc>
          <w:tcPr>
            <w:tcW w:w="7920" w:type="dxa"/>
            <w:vAlign w:val="bottom"/>
          </w:tcPr>
          <w:p>
            <w:pPr>
              <w:ind w:left="40"/>
              <w:spacing w:after="0"/>
              <w:rPr>
                <w:sz w:val="20"/>
                <w:szCs w:val="20"/>
                <w:color w:val="auto"/>
              </w:rPr>
            </w:pPr>
            <w:r>
              <w:rPr>
                <w:rFonts w:ascii="Arial" w:cs="Arial" w:eastAsia="Arial" w:hAnsi="Arial"/>
                <w:sz w:val="18"/>
                <w:szCs w:val="18"/>
                <w:color w:val="auto"/>
              </w:rPr>
              <w:t>Execution of Supplemental Indentures</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X</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SUCCESSOR ENTITY</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10.01</w:t>
            </w:r>
          </w:p>
        </w:tc>
        <w:tc>
          <w:tcPr>
            <w:tcW w:w="7920" w:type="dxa"/>
            <w:vAlign w:val="bottom"/>
          </w:tcPr>
          <w:p>
            <w:pPr>
              <w:ind w:left="40"/>
              <w:spacing w:after="0"/>
              <w:rPr>
                <w:sz w:val="20"/>
                <w:szCs w:val="20"/>
                <w:color w:val="auto"/>
              </w:rPr>
            </w:pPr>
            <w:r>
              <w:rPr>
                <w:rFonts w:ascii="Arial" w:cs="Arial" w:eastAsia="Arial" w:hAnsi="Arial"/>
                <w:sz w:val="18"/>
                <w:szCs w:val="18"/>
                <w:color w:val="auto"/>
              </w:rPr>
              <w:t>Company May Consolidate, Etc</w:t>
            </w:r>
          </w:p>
        </w:tc>
        <w:tc>
          <w:tcPr>
            <w:tcW w:w="174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SECTION 10.02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Successor Entity Substituted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10.03</w:t>
            </w:r>
          </w:p>
        </w:tc>
        <w:tc>
          <w:tcPr>
            <w:tcW w:w="7920" w:type="dxa"/>
            <w:vAlign w:val="bottom"/>
          </w:tcPr>
          <w:p>
            <w:pPr>
              <w:ind w:left="40"/>
              <w:spacing w:after="0"/>
              <w:rPr>
                <w:sz w:val="20"/>
                <w:szCs w:val="20"/>
                <w:color w:val="auto"/>
              </w:rPr>
            </w:pPr>
            <w:r>
              <w:rPr>
                <w:rFonts w:ascii="Arial" w:cs="Arial" w:eastAsia="Arial" w:hAnsi="Arial"/>
                <w:sz w:val="18"/>
                <w:szCs w:val="18"/>
                <w:color w:val="auto"/>
              </w:rPr>
              <w:t>Evidence of Consolidation, Etc. to Trustee</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XI</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SATISFACTION AND DISCHARGE</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11.01</w:t>
            </w:r>
          </w:p>
        </w:tc>
        <w:tc>
          <w:tcPr>
            <w:tcW w:w="7920" w:type="dxa"/>
            <w:vAlign w:val="bottom"/>
          </w:tcPr>
          <w:p>
            <w:pPr>
              <w:ind w:left="40"/>
              <w:spacing w:after="0"/>
              <w:rPr>
                <w:sz w:val="20"/>
                <w:szCs w:val="20"/>
                <w:color w:val="auto"/>
              </w:rPr>
            </w:pPr>
            <w:r>
              <w:rPr>
                <w:rFonts w:ascii="Arial" w:cs="Arial" w:eastAsia="Arial" w:hAnsi="Arial"/>
                <w:sz w:val="18"/>
                <w:szCs w:val="18"/>
                <w:color w:val="auto"/>
              </w:rPr>
              <w:t>Satisfaction and Discharge of Indenture</w:t>
            </w:r>
          </w:p>
        </w:tc>
        <w:tc>
          <w:tcPr>
            <w:tcW w:w="174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SECTION 11.02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Discharge of Obligations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11.03</w:t>
            </w:r>
          </w:p>
        </w:tc>
        <w:tc>
          <w:tcPr>
            <w:tcW w:w="7920" w:type="dxa"/>
            <w:vAlign w:val="bottom"/>
          </w:tcPr>
          <w:p>
            <w:pPr>
              <w:ind w:left="40"/>
              <w:spacing w:after="0"/>
              <w:rPr>
                <w:sz w:val="20"/>
                <w:szCs w:val="20"/>
                <w:color w:val="auto"/>
              </w:rPr>
            </w:pPr>
            <w:r>
              <w:rPr>
                <w:rFonts w:ascii="Arial" w:cs="Arial" w:eastAsia="Arial" w:hAnsi="Arial"/>
                <w:sz w:val="18"/>
                <w:szCs w:val="18"/>
                <w:color w:val="auto"/>
              </w:rPr>
              <w:t>Deposited Moneys to be Held in Trust</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SECTION 11.04</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Payment of Moneys Held by Paying Agents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11.05</w:t>
            </w:r>
          </w:p>
        </w:tc>
        <w:tc>
          <w:tcPr>
            <w:tcW w:w="7920" w:type="dxa"/>
            <w:vAlign w:val="bottom"/>
          </w:tcPr>
          <w:p>
            <w:pPr>
              <w:ind w:left="40"/>
              <w:spacing w:after="0"/>
              <w:rPr>
                <w:sz w:val="20"/>
                <w:szCs w:val="20"/>
                <w:color w:val="auto"/>
              </w:rPr>
            </w:pPr>
            <w:r>
              <w:rPr>
                <w:rFonts w:ascii="Arial" w:cs="Arial" w:eastAsia="Arial" w:hAnsi="Arial"/>
                <w:sz w:val="18"/>
                <w:szCs w:val="18"/>
                <w:color w:val="auto"/>
              </w:rPr>
              <w:t>Repayment to Company</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XII</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IMMUNITY OF INCORPORATORS, STOCKHOLDERS, OFFICERS AND DIRECTORS</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12.01</w:t>
            </w:r>
          </w:p>
        </w:tc>
        <w:tc>
          <w:tcPr>
            <w:tcW w:w="7920" w:type="dxa"/>
            <w:vAlign w:val="bottom"/>
          </w:tcPr>
          <w:p>
            <w:pPr>
              <w:ind w:left="40"/>
              <w:spacing w:after="0"/>
              <w:rPr>
                <w:sz w:val="20"/>
                <w:szCs w:val="20"/>
                <w:color w:val="auto"/>
              </w:rPr>
            </w:pPr>
            <w:r>
              <w:rPr>
                <w:rFonts w:ascii="Arial" w:cs="Arial" w:eastAsia="Arial" w:hAnsi="Arial"/>
                <w:sz w:val="18"/>
                <w:szCs w:val="18"/>
                <w:color w:val="auto"/>
              </w:rPr>
              <w:t>No Recourse</w:t>
            </w:r>
          </w:p>
        </w:tc>
        <w:tc>
          <w:tcPr>
            <w:tcW w:w="174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18"/>
                <w:szCs w:val="18"/>
                <w:color w:val="auto"/>
              </w:rPr>
            </w:pPr>
          </w:p>
        </w:tc>
        <w:tc>
          <w:tcPr>
            <w:tcW w:w="8300" w:type="dxa"/>
            <w:vAlign w:val="bottom"/>
            <w:gridSpan w:val="2"/>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ARTICLE XIII</w:t>
            </w:r>
          </w:p>
        </w:tc>
        <w:tc>
          <w:tcPr>
            <w:tcW w:w="8300" w:type="dxa"/>
            <w:vAlign w:val="bottom"/>
            <w:gridSpan w:val="2"/>
          </w:tcPr>
          <w:p>
            <w:pPr>
              <w:ind w:left="100"/>
              <w:spacing w:after="0"/>
              <w:rPr>
                <w:sz w:val="20"/>
                <w:szCs w:val="20"/>
                <w:color w:val="auto"/>
              </w:rPr>
            </w:pPr>
            <w:r>
              <w:rPr>
                <w:rFonts w:ascii="Arial" w:cs="Arial" w:eastAsia="Arial" w:hAnsi="Arial"/>
                <w:sz w:val="18"/>
                <w:szCs w:val="18"/>
                <w:color w:val="auto"/>
              </w:rPr>
              <w:t>MISCELLANEOUS PROVISIONS</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spacing w:after="0"/>
              <w:rPr>
                <w:sz w:val="18"/>
                <w:szCs w:val="18"/>
                <w:color w:val="auto"/>
              </w:rPr>
            </w:pPr>
          </w:p>
        </w:tc>
        <w:tc>
          <w:tcPr>
            <w:tcW w:w="7920" w:type="dxa"/>
            <w:vAlign w:val="bottom"/>
            <w:shd w:val="clear" w:color="auto" w:fill="CCEEFF"/>
          </w:tcPr>
          <w:p>
            <w:pPr>
              <w:spacing w:after="0"/>
              <w:rPr>
                <w:sz w:val="18"/>
                <w:szCs w:val="18"/>
                <w:color w:val="auto"/>
              </w:rPr>
            </w:pPr>
          </w:p>
        </w:tc>
        <w:tc>
          <w:tcPr>
            <w:tcW w:w="17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13.01</w:t>
            </w:r>
          </w:p>
        </w:tc>
        <w:tc>
          <w:tcPr>
            <w:tcW w:w="7920" w:type="dxa"/>
            <w:vAlign w:val="bottom"/>
          </w:tcPr>
          <w:p>
            <w:pPr>
              <w:ind w:left="40"/>
              <w:spacing w:after="0"/>
              <w:rPr>
                <w:sz w:val="20"/>
                <w:szCs w:val="20"/>
                <w:color w:val="auto"/>
              </w:rPr>
            </w:pPr>
            <w:r>
              <w:rPr>
                <w:rFonts w:ascii="Arial" w:cs="Arial" w:eastAsia="Arial" w:hAnsi="Arial"/>
                <w:sz w:val="18"/>
                <w:szCs w:val="18"/>
                <w:color w:val="auto"/>
              </w:rPr>
              <w:t>Effect on Successors and Assigns</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SECTION 13.02</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Actions by Successor</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13.03</w:t>
            </w:r>
          </w:p>
        </w:tc>
        <w:tc>
          <w:tcPr>
            <w:tcW w:w="7920" w:type="dxa"/>
            <w:vAlign w:val="bottom"/>
          </w:tcPr>
          <w:p>
            <w:pPr>
              <w:ind w:left="40"/>
              <w:spacing w:after="0"/>
              <w:rPr>
                <w:sz w:val="20"/>
                <w:szCs w:val="20"/>
                <w:color w:val="auto"/>
              </w:rPr>
            </w:pPr>
            <w:r>
              <w:rPr>
                <w:rFonts w:ascii="Arial" w:cs="Arial" w:eastAsia="Arial" w:hAnsi="Arial"/>
                <w:sz w:val="18"/>
                <w:szCs w:val="18"/>
                <w:color w:val="auto"/>
              </w:rPr>
              <w:t>Surrender of Company Powers</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SECTION 13.04</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Notices</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tcPr>
          <w:p>
            <w:pPr>
              <w:ind w:left="340"/>
              <w:spacing w:after="0"/>
              <w:rPr>
                <w:sz w:val="20"/>
                <w:szCs w:val="20"/>
                <w:color w:val="auto"/>
              </w:rPr>
            </w:pPr>
            <w:r>
              <w:rPr>
                <w:rFonts w:ascii="Arial" w:cs="Arial" w:eastAsia="Arial" w:hAnsi="Arial"/>
                <w:sz w:val="18"/>
                <w:szCs w:val="18"/>
                <w:color w:val="auto"/>
                <w:w w:val="93"/>
              </w:rPr>
              <w:t>SECTION 13.05</w:t>
            </w:r>
          </w:p>
        </w:tc>
        <w:tc>
          <w:tcPr>
            <w:tcW w:w="792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174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5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3"/>
              </w:rPr>
              <w:t>SECTION 13.06</w:t>
            </w:r>
          </w:p>
        </w:tc>
        <w:tc>
          <w:tcPr>
            <w:tcW w:w="79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Treatment of Securities as Debt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7" w:name="page38"/>
    <w:bookmarkEnd w:id="37"/>
    <w:tbl>
      <w:tblPr>
        <w:tblLayout w:type="fixed"/>
        <w:tblInd w:w="0" w:type="dxa"/>
        <w:tblCellMar>
          <w:top w:w="0" w:type="dxa"/>
          <w:left w:w="0" w:type="dxa"/>
          <w:bottom w:w="0" w:type="dxa"/>
          <w:right w:w="0" w:type="dxa"/>
        </w:tblCellMar>
      </w:tblPr>
      <w:tr>
        <w:trPr>
          <w:trHeight w:val="216"/>
        </w:trPr>
        <w:tc>
          <w:tcPr>
            <w:tcW w:w="772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13.07 Compliance Certificates and Opinions</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7720" w:type="dxa"/>
            <w:vAlign w:val="bottom"/>
            <w:gridSpan w:val="2"/>
          </w:tcPr>
          <w:p>
            <w:pPr>
              <w:ind w:left="340"/>
              <w:spacing w:after="0"/>
              <w:rPr>
                <w:sz w:val="20"/>
                <w:szCs w:val="20"/>
                <w:color w:val="auto"/>
              </w:rPr>
            </w:pPr>
            <w:r>
              <w:rPr>
                <w:rFonts w:ascii="Arial" w:cs="Arial" w:eastAsia="Arial" w:hAnsi="Arial"/>
                <w:sz w:val="18"/>
                <w:szCs w:val="18"/>
                <w:color w:val="auto"/>
              </w:rPr>
              <w:t>SECTION 13.08 Payments on Business Days</w:t>
            </w:r>
          </w:p>
        </w:tc>
        <w:tc>
          <w:tcPr>
            <w:tcW w:w="3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SECTION 13.09</w:t>
            </w:r>
          </w:p>
        </w:tc>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Conflict with Trust Indenture Act</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tcPr>
          <w:p>
            <w:pPr>
              <w:ind w:left="340"/>
              <w:spacing w:after="0"/>
              <w:rPr>
                <w:sz w:val="20"/>
                <w:szCs w:val="20"/>
                <w:color w:val="auto"/>
              </w:rPr>
            </w:pPr>
            <w:r>
              <w:rPr>
                <w:rFonts w:ascii="Arial" w:cs="Arial" w:eastAsia="Arial" w:hAnsi="Arial"/>
                <w:sz w:val="18"/>
                <w:szCs w:val="18"/>
                <w:color w:val="auto"/>
                <w:w w:val="93"/>
              </w:rPr>
              <w:t>SECTION 13.10</w:t>
            </w:r>
          </w:p>
        </w:tc>
        <w:tc>
          <w:tcPr>
            <w:tcW w:w="6140" w:type="dxa"/>
            <w:vAlign w:val="bottom"/>
          </w:tcPr>
          <w:p>
            <w:pPr>
              <w:ind w:left="40"/>
              <w:spacing w:after="0"/>
              <w:rPr>
                <w:sz w:val="20"/>
                <w:szCs w:val="20"/>
                <w:color w:val="auto"/>
              </w:rPr>
            </w:pPr>
            <w:r>
              <w:rPr>
                <w:rFonts w:ascii="Arial" w:cs="Arial" w:eastAsia="Arial" w:hAnsi="Arial"/>
                <w:sz w:val="18"/>
                <w:szCs w:val="18"/>
                <w:color w:val="auto"/>
              </w:rPr>
              <w:t>Counterparts</w:t>
            </w:r>
          </w:p>
        </w:tc>
        <w:tc>
          <w:tcPr>
            <w:tcW w:w="352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580" w:type="dxa"/>
            <w:vAlign w:val="bottom"/>
            <w:shd w:val="clear" w:color="auto" w:fill="CCEEFF"/>
          </w:tcPr>
          <w:p>
            <w:pPr>
              <w:ind w:left="340"/>
              <w:spacing w:after="0"/>
              <w:rPr>
                <w:sz w:val="20"/>
                <w:szCs w:val="20"/>
                <w:color w:val="auto"/>
              </w:rPr>
            </w:pPr>
            <w:r>
              <w:rPr>
                <w:rFonts w:ascii="Arial" w:cs="Arial" w:eastAsia="Arial" w:hAnsi="Arial"/>
                <w:sz w:val="18"/>
                <w:szCs w:val="18"/>
                <w:color w:val="auto"/>
                <w:w w:val="93"/>
              </w:rPr>
              <w:t>SECTION 13.11</w:t>
            </w:r>
          </w:p>
        </w:tc>
        <w:tc>
          <w:tcPr>
            <w:tcW w:w="61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Separability</w:t>
            </w:r>
          </w:p>
        </w:tc>
        <w:tc>
          <w:tcPr>
            <w:tcW w:w="3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30"/>
        </w:trPr>
        <w:tc>
          <w:tcPr>
            <w:tcW w:w="1580" w:type="dxa"/>
            <w:vAlign w:val="bottom"/>
          </w:tcPr>
          <w:p>
            <w:pPr>
              <w:ind w:left="340"/>
              <w:spacing w:after="0"/>
              <w:rPr>
                <w:sz w:val="20"/>
                <w:szCs w:val="20"/>
                <w:color w:val="auto"/>
              </w:rPr>
            </w:pPr>
            <w:r>
              <w:rPr>
                <w:rFonts w:ascii="Arial" w:cs="Arial" w:eastAsia="Arial" w:hAnsi="Arial"/>
                <w:sz w:val="18"/>
                <w:szCs w:val="18"/>
                <w:color w:val="auto"/>
                <w:w w:val="93"/>
              </w:rPr>
              <w:t>SECTION 13.12</w:t>
            </w:r>
          </w:p>
        </w:tc>
        <w:tc>
          <w:tcPr>
            <w:tcW w:w="6140" w:type="dxa"/>
            <w:vAlign w:val="bottom"/>
          </w:tcPr>
          <w:p>
            <w:pPr>
              <w:ind w:left="40"/>
              <w:spacing w:after="0"/>
              <w:rPr>
                <w:sz w:val="20"/>
                <w:szCs w:val="20"/>
                <w:color w:val="auto"/>
              </w:rPr>
            </w:pPr>
            <w:r>
              <w:rPr>
                <w:rFonts w:ascii="Arial" w:cs="Arial" w:eastAsia="Arial" w:hAnsi="Arial"/>
                <w:sz w:val="18"/>
                <w:szCs w:val="18"/>
                <w:color w:val="auto"/>
              </w:rPr>
              <w:t>Assignment</w:t>
            </w:r>
          </w:p>
        </w:tc>
        <w:tc>
          <w:tcPr>
            <w:tcW w:w="352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187"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This Table of Contents does not constitute part of the Indenture and shall not have any bearing on the interpretation of any of its terms and provisions.</w:t>
      </w: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sectPr>
      </w:pPr>
    </w:p>
    <w:bookmarkStart w:id="38" w:name="page39"/>
    <w:bookmarkEnd w:id="38"/>
    <w:p>
      <w:pPr>
        <w:ind w:left="660"/>
        <w:spacing w:after="0"/>
        <w:rPr>
          <w:sz w:val="20"/>
          <w:szCs w:val="20"/>
          <w:color w:val="auto"/>
        </w:rPr>
      </w:pPr>
      <w:r>
        <w:rPr>
          <w:rFonts w:ascii="Arial" w:cs="Arial" w:eastAsia="Arial" w:hAnsi="Arial"/>
          <w:sz w:val="17"/>
          <w:szCs w:val="17"/>
          <w:color w:val="auto"/>
        </w:rPr>
        <w:t>INDENTURE, dated as of [</w:t>
      </w:r>
    </w:p>
    <w:p>
      <w:pPr>
        <w:spacing w:after="0" w:line="20" w:lineRule="exact"/>
        <w:rPr>
          <w:sz w:val="20"/>
          <w:szCs w:val="20"/>
          <w:color w:val="auto"/>
        </w:rPr>
      </w:pPr>
      <w:r>
        <w:rPr>
          <w:sz w:val="20"/>
          <w:szCs w:val="20"/>
          <w:color w:val="auto"/>
        </w:rPr>
        <w:br w:type="column"/>
      </w:r>
    </w:p>
    <w:p>
      <w:pPr>
        <w:jc w:val="center"/>
        <w:ind w:right="80"/>
        <w:spacing w:after="0"/>
        <w:rPr>
          <w:sz w:val="20"/>
          <w:szCs w:val="20"/>
          <w:color w:val="auto"/>
        </w:rPr>
      </w:pPr>
      <w:r>
        <w:rPr>
          <w:rFonts w:ascii="Arial" w:cs="Arial" w:eastAsia="Arial" w:hAnsi="Arial"/>
          <w:sz w:val="16"/>
          <w:szCs w:val="16"/>
          <w:color w:val="auto"/>
        </w:rPr>
        <w:t>], by and between Microbot Medical Inc., a Delaware corporation (the “Company”),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 as</w:t>
      </w:r>
    </w:p>
    <w:p>
      <w:pPr>
        <w:spacing w:after="0" w:line="46" w:lineRule="exact"/>
        <w:rPr>
          <w:sz w:val="20"/>
          <w:szCs w:val="20"/>
          <w:color w:val="auto"/>
        </w:rPr>
      </w:pPr>
    </w:p>
    <w:p>
      <w:pPr>
        <w:sectPr>
          <w:pgSz w:w="11900" w:h="16838" w:orient="portrait"/>
          <w:cols w:equalWidth="0" w:num="3">
            <w:col w:w="2800" w:space="720"/>
            <w:col w:w="6680" w:space="720"/>
            <w:col w:w="320"/>
          </w:cols>
          <w:pgMar w:left="320" w:top="692" w:right="339" w:bottom="1440" w:gutter="0" w:footer="0" w:header="0"/>
        </w:sectPr>
      </w:pPr>
    </w:p>
    <w:p>
      <w:pPr>
        <w:spacing w:after="0"/>
        <w:rPr>
          <w:sz w:val="20"/>
          <w:szCs w:val="20"/>
          <w:color w:val="auto"/>
        </w:rPr>
      </w:pPr>
      <w:r>
        <w:rPr>
          <w:rFonts w:ascii="Arial" w:cs="Arial" w:eastAsia="Arial" w:hAnsi="Arial"/>
          <w:sz w:val="16"/>
          <w:szCs w:val="16"/>
          <w:color w:val="auto"/>
        </w:rPr>
        <w:t>trustee (the “Trustee”):</w:t>
      </w:r>
    </w:p>
    <w:p>
      <w:pPr>
        <w:sectPr>
          <w:pgSz w:w="11900" w:h="16838" w:orient="portrait"/>
          <w:cols w:equalWidth="0" w:num="1">
            <w:col w:w="11240"/>
          </w:cols>
          <w:pgMar w:left="320" w:top="692" w:right="339" w:bottom="1440" w:gutter="0" w:footer="0" w:header="0"/>
          <w:type w:val="continuous"/>
        </w:sectPr>
      </w:pPr>
    </w:p>
    <w:p>
      <w:pPr>
        <w:spacing w:after="0" w:line="23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WHEREAS, for its lawful corporate purposes, the Company has duly authorized the execution and delivery of this Indenture to provide for the issuance of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6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all things necessary to make this Indenture a valid agreement of the Company, in accordance with its terms, have been done.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1.01 Definitions of Terms.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“Certificate” means a certificate signed by the principal executive officer, the principal financial officer or the principal accounting officer of the Company. The Certificate need not comply with the provisions of Section 13.07.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“Corporate Trust Office” means the office of the Trustee at which, at any particular time, its corporate trust business shall be principally</w:t>
      </w:r>
    </w:p>
    <w:p>
      <w:pPr>
        <w:spacing w:after="0" w:line="35" w:lineRule="exact"/>
        <w:rPr>
          <w:sz w:val="20"/>
          <w:szCs w:val="20"/>
          <w:color w:val="auto"/>
        </w:rPr>
      </w:pPr>
    </w:p>
    <w:p>
      <w:pPr>
        <w:spacing w:after="0" w:line="260" w:lineRule="auto"/>
        <w:rPr>
          <w:sz w:val="20"/>
          <w:szCs w:val="20"/>
          <w:color w:val="auto"/>
        </w:rPr>
      </w:pPr>
      <w:r>
        <w:rPr>
          <w:rFonts w:ascii="Arial" w:cs="Arial" w:eastAsia="Arial" w:hAnsi="Arial"/>
          <w:sz w:val="18"/>
          <w:szCs w:val="18"/>
          <w:color w:val="auto"/>
        </w:rPr>
        <w:t>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39" w:name="page40"/>
    <w:bookmarkEnd w:id="39"/>
    <w:p>
      <w:pPr>
        <w:ind w:left="660"/>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70"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w:t>
      </w:r>
    </w:p>
    <w:p>
      <w:pPr>
        <w:spacing w:after="0" w:line="2"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Securities in lieu of or in substitution for which other Securities shall have been authenticated and delivered pursuant to the terms of Section 2.07.</w:t>
      </w:r>
    </w:p>
    <w:p>
      <w:pPr>
        <w:spacing w:after="0" w:line="222" w:lineRule="exact"/>
        <w:rPr>
          <w:rFonts w:ascii="Arial" w:cs="Arial" w:eastAsia="Arial" w:hAnsi="Arial"/>
          <w:sz w:val="17"/>
          <w:szCs w:val="17"/>
          <w:color w:val="auto"/>
        </w:rPr>
      </w:pPr>
    </w:p>
    <w:p>
      <w:pPr>
        <w:ind w:left="5580"/>
        <w:spacing w:after="0"/>
        <w:rPr>
          <w:rFonts w:ascii="Arial" w:cs="Arial" w:eastAsia="Arial" w:hAnsi="Arial"/>
          <w:sz w:val="17"/>
          <w:szCs w:val="17"/>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0" w:name="page41"/>
    <w:bookmarkEnd w:id="40"/>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2.01 Designation and Terms of Securities.</w:t>
      </w:r>
    </w:p>
    <w:p>
      <w:pPr>
        <w:spacing w:after="0" w:line="225" w:lineRule="exact"/>
        <w:rPr>
          <w:sz w:val="20"/>
          <w:szCs w:val="20"/>
          <w:color w:val="auto"/>
        </w:rPr>
      </w:pPr>
    </w:p>
    <w:p>
      <w:pPr>
        <w:jc w:val="both"/>
        <w:ind w:left="1300" w:hanging="644"/>
        <w:spacing w:after="0" w:line="275" w:lineRule="auto"/>
        <w:tabs>
          <w:tab w:leader="none" w:pos="130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1" w:name="page42"/>
    <w:bookmarkEnd w:id="41"/>
    <w:p>
      <w:pPr>
        <w:ind w:left="840" w:hanging="65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840" w:hanging="656"/>
        <w:spacing w:after="0" w:line="311"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48" w:lineRule="exact"/>
        <w:rPr>
          <w:rFonts w:ascii="Arial" w:cs="Arial" w:eastAsia="Arial" w:hAnsi="Arial"/>
          <w:sz w:val="16"/>
          <w:szCs w:val="16"/>
          <w:color w:val="auto"/>
        </w:rPr>
      </w:pPr>
    </w:p>
    <w:p>
      <w:pPr>
        <w:ind w:left="840" w:hanging="656"/>
        <w:spacing w:after="0" w:line="27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840" w:hanging="65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or the manner of calculation of such rate or rates, if any;</w:t>
      </w:r>
    </w:p>
    <w:p>
      <w:pPr>
        <w:spacing w:after="0" w:line="248" w:lineRule="exact"/>
        <w:rPr>
          <w:rFonts w:ascii="Arial" w:cs="Arial" w:eastAsia="Arial" w:hAnsi="Arial"/>
          <w:sz w:val="16"/>
          <w:szCs w:val="16"/>
          <w:color w:val="auto"/>
        </w:rPr>
      </w:pPr>
    </w:p>
    <w:p>
      <w:pPr>
        <w:jc w:val="both"/>
        <w:ind w:left="840" w:hanging="656"/>
        <w:spacing w:after="0" w:line="311"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48" w:lineRule="exact"/>
        <w:rPr>
          <w:rFonts w:ascii="Arial" w:cs="Arial" w:eastAsia="Arial" w:hAnsi="Arial"/>
          <w:sz w:val="16"/>
          <w:szCs w:val="16"/>
          <w:color w:val="auto"/>
        </w:rPr>
      </w:pPr>
    </w:p>
    <w:p>
      <w:pPr>
        <w:ind w:left="840" w:hanging="656"/>
        <w:spacing w:after="0"/>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right, if any, to extend the interest payment periods or to defer the payment of interest and the duration of such extension;</w:t>
      </w:r>
    </w:p>
    <w:p>
      <w:pPr>
        <w:spacing w:after="0" w:line="248" w:lineRule="exact"/>
        <w:rPr>
          <w:rFonts w:ascii="Arial" w:cs="Arial" w:eastAsia="Arial" w:hAnsi="Arial"/>
          <w:sz w:val="16"/>
          <w:szCs w:val="16"/>
          <w:color w:val="auto"/>
        </w:rPr>
      </w:pPr>
    </w:p>
    <w:p>
      <w:pPr>
        <w:ind w:left="840" w:hanging="656"/>
        <w:spacing w:after="0" w:line="27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840" w:hanging="656"/>
        <w:spacing w:after="0" w:line="279" w:lineRule="auto"/>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1" w:lineRule="exact"/>
        <w:rPr>
          <w:rFonts w:ascii="Arial" w:cs="Arial" w:eastAsia="Arial" w:hAnsi="Arial"/>
          <w:sz w:val="17"/>
          <w:szCs w:val="17"/>
          <w:color w:val="auto"/>
        </w:rPr>
      </w:pPr>
    </w:p>
    <w:p>
      <w:pPr>
        <w:ind w:left="840" w:hanging="65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840" w:hanging="656"/>
        <w:spacing w:after="0"/>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840" w:right="20" w:hanging="656"/>
        <w:spacing w:after="0" w:line="277"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jc w:val="both"/>
        <w:ind w:left="840" w:hanging="656"/>
        <w:spacing w:after="0" w:line="263" w:lineRule="auto"/>
        <w:tabs>
          <w:tab w:leader="none" w:pos="8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3" w:lineRule="exact"/>
        <w:rPr>
          <w:rFonts w:ascii="Arial" w:cs="Arial" w:eastAsia="Arial" w:hAnsi="Arial"/>
          <w:sz w:val="18"/>
          <w:szCs w:val="18"/>
          <w:color w:val="auto"/>
        </w:rPr>
      </w:pPr>
    </w:p>
    <w:p>
      <w:pPr>
        <w:ind w:left="840" w:hanging="656"/>
        <w:spacing w:after="0"/>
        <w:tabs>
          <w:tab w:leader="none" w:pos="840" w:val="left"/>
        </w:tabs>
        <w:numPr>
          <w:ilvl w:val="0"/>
          <w:numId w:val="37"/>
        </w:numPr>
        <w:rPr>
          <w:rFonts w:ascii="Arial" w:cs="Arial" w:eastAsia="Arial" w:hAnsi="Arial"/>
          <w:sz w:val="17"/>
          <w:szCs w:val="17"/>
          <w:color w:val="auto"/>
        </w:rPr>
      </w:pPr>
      <w:r>
        <w:rPr>
          <w:rFonts w:ascii="Arial" w:cs="Arial" w:eastAsia="Arial" w:hAnsi="Arial"/>
          <w:sz w:val="17"/>
          <w:szCs w:val="17"/>
          <w:color w:val="auto"/>
        </w:rPr>
        <w:t>whether the Securities are issuable as a Global Security and, in such case, the identity of the Depositary for such series;</w:t>
      </w:r>
    </w:p>
    <w:p>
      <w:pPr>
        <w:spacing w:after="0" w:line="236" w:lineRule="exact"/>
        <w:rPr>
          <w:rFonts w:ascii="Arial" w:cs="Arial" w:eastAsia="Arial" w:hAnsi="Arial"/>
          <w:sz w:val="17"/>
          <w:szCs w:val="17"/>
          <w:color w:val="auto"/>
        </w:rPr>
      </w:pPr>
    </w:p>
    <w:p>
      <w:pPr>
        <w:ind w:left="840" w:hanging="656"/>
        <w:spacing w:after="0" w:line="342" w:lineRule="auto"/>
        <w:tabs>
          <w:tab w:leader="none" w:pos="840" w:val="left"/>
        </w:tabs>
        <w:numPr>
          <w:ilvl w:val="0"/>
          <w:numId w:val="37"/>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4"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14605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665" w:right="339" w:bottom="1440" w:gutter="0" w:footer="0" w:header="0"/>
        </w:sectPr>
      </w:pPr>
    </w:p>
    <w:bookmarkStart w:id="42" w:name="page43"/>
    <w:bookmarkEnd w:id="42"/>
    <w:p>
      <w:pPr>
        <w:ind w:left="1960" w:hanging="656"/>
        <w:spacing w:after="0" w:line="277" w:lineRule="auto"/>
        <w:tabs>
          <w:tab w:leader="none" w:pos="19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 and</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38"/>
        </w:numPr>
        <w:rPr>
          <w:rFonts w:ascii="Arial" w:cs="Arial" w:eastAsia="Arial" w:hAnsi="Arial"/>
          <w:sz w:val="17"/>
          <w:szCs w:val="17"/>
          <w:color w:val="auto"/>
        </w:rPr>
      </w:pPr>
      <w:r>
        <w:rPr>
          <w:rFonts w:ascii="Arial" w:cs="Arial" w:eastAsia="Arial" w:hAnsi="Arial"/>
          <w:sz w:val="17"/>
          <w:szCs w:val="17"/>
          <w:color w:val="auto"/>
        </w:rPr>
        <w:t>any additional or different Events of Default or restrictive covenants provided for with respect to the Securities of the series.</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2.02 Form of Securities and Trustee’s Certificate.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2.03 Denominations: Provisions for Payment.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6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3" w:name="page44"/>
    <w:bookmarkEnd w:id="43"/>
    <w:p>
      <w:pPr>
        <w:jc w:val="both"/>
        <w:ind w:left="1300" w:hanging="644"/>
        <w:spacing w:after="0" w:line="268" w:lineRule="auto"/>
        <w:tabs>
          <w:tab w:leader="none" w:pos="13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2.04 Execution and Authentications.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4" w:name="page45"/>
    <w:bookmarkEnd w:id="44"/>
    <w:p>
      <w:pPr>
        <w:jc w:val="both"/>
        <w:ind w:firstLine="648"/>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2.05 Registration of Transfer and Exchange.</w:t>
      </w:r>
    </w:p>
    <w:p>
      <w:pPr>
        <w:spacing w:after="0" w:line="225" w:lineRule="exact"/>
        <w:rPr>
          <w:sz w:val="20"/>
          <w:szCs w:val="20"/>
          <w:color w:val="auto"/>
        </w:rPr>
      </w:pPr>
    </w:p>
    <w:p>
      <w:pPr>
        <w:jc w:val="both"/>
        <w:ind w:left="1300" w:hanging="644"/>
        <w:spacing w:after="0" w:line="293"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4" w:lineRule="exact"/>
        <w:rPr>
          <w:rFonts w:ascii="Arial" w:cs="Arial" w:eastAsia="Arial" w:hAnsi="Arial"/>
          <w:sz w:val="16"/>
          <w:szCs w:val="16"/>
          <w:color w:val="auto"/>
        </w:rPr>
      </w:pPr>
    </w:p>
    <w:p>
      <w:pPr>
        <w:jc w:val="both"/>
        <w:ind w:left="1300" w:hanging="644"/>
        <w:spacing w:after="0" w:line="255"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92"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5" w:lineRule="exact"/>
        <w:rPr>
          <w:rFonts w:ascii="Arial" w:cs="Arial" w:eastAsia="Arial" w:hAnsi="Arial"/>
          <w:sz w:val="18"/>
          <w:szCs w:val="18"/>
          <w:color w:val="auto"/>
        </w:rPr>
      </w:pPr>
    </w:p>
    <w:p>
      <w:pPr>
        <w:jc w:val="both"/>
        <w:ind w:left="1300"/>
        <w:spacing w:after="0" w:line="286" w:lineRule="auto"/>
        <w:rPr>
          <w:rFonts w:ascii="Arial" w:cs="Arial" w:eastAsia="Arial" w:hAnsi="Arial"/>
          <w:sz w:val="18"/>
          <w:szCs w:val="18"/>
          <w:color w:val="auto"/>
        </w:rPr>
      </w:pPr>
      <w:r>
        <w:rPr>
          <w:rFonts w:ascii="Arial" w:cs="Arial" w:eastAsia="Arial" w:hAnsi="Arial"/>
          <w:sz w:val="17"/>
          <w:szCs w:val="17"/>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6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48"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SECTION 2.06 Temporary Securities.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SECTION 2.07 Mutilated, Destroyed, Lost or Stolen Securities.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SECTION 2.08 Cancellation.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6" w:name="page47"/>
    <w:bookmarkEnd w:id="46"/>
    <w:p>
      <w:pPr>
        <w:spacing w:after="0"/>
        <w:rPr>
          <w:sz w:val="20"/>
          <w:szCs w:val="20"/>
          <w:color w:val="auto"/>
        </w:rPr>
      </w:pPr>
      <w:r>
        <w:rPr>
          <w:rFonts w:ascii="Arial" w:cs="Arial" w:eastAsia="Arial" w:hAnsi="Arial"/>
          <w:sz w:val="18"/>
          <w:szCs w:val="18"/>
          <w:color w:val="auto"/>
        </w:rPr>
        <w:t>SECTION 2.09 Benefits of Indenture.</w:t>
      </w:r>
    </w:p>
    <w:p>
      <w:pPr>
        <w:spacing w:after="0" w:line="225"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Nothing in this Indenture or in the Securities, express or implied, shall give or be construed to give to any Person, other than the parties hereto and the holders of the Securities any legal or equitable right, remedy or claim under or in respect of this Indenture, or under any covenant, condition or provision herein contained; all such covenants, conditions and provisions being for the sole benefit of the parties hereto and of the holders of the Securities.</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2.10 Authenticating Agent.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2.11 Global Securities</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w:t>
      </w:r>
    </w:p>
    <w:p>
      <w:pPr>
        <w:spacing w:after="0" w:line="1" w:lineRule="exact"/>
        <w:rPr>
          <w:rFonts w:ascii="Arial" w:cs="Arial" w:eastAsia="Arial" w:hAnsi="Arial"/>
          <w:sz w:val="16"/>
          <w:szCs w:val="16"/>
          <w:color w:val="auto"/>
        </w:rPr>
      </w:pPr>
    </w:p>
    <w:p>
      <w:pPr>
        <w:jc w:val="both"/>
        <w:ind w:left="1300" w:firstLine="4"/>
        <w:spacing w:after="0" w:line="253" w:lineRule="auto"/>
        <w:tabs>
          <w:tab w:leader="none" w:pos="1658" w:val="left"/>
        </w:tabs>
        <w:numPr>
          <w:ilvl w:val="1"/>
          <w:numId w:val="41"/>
        </w:numPr>
        <w:rPr>
          <w:rFonts w:ascii="Arial" w:cs="Arial" w:eastAsia="Arial" w:hAnsi="Arial"/>
          <w:sz w:val="18"/>
          <w:szCs w:val="18"/>
          <w:color w:val="auto"/>
        </w:rPr>
      </w:pPr>
      <w:r>
        <w:rPr>
          <w:rFonts w:ascii="Arial" w:cs="Arial" w:eastAsia="Arial" w:hAnsi="Arial"/>
          <w:sz w:val="18"/>
          <w:szCs w:val="18"/>
          <w:color w:val="auto"/>
        </w:rPr>
        <w:t>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92"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7" w:name="page48"/>
    <w:bookmarkEnd w:id="47"/>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SINKING FUND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3.01 Redemption.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3.02 Notice of Redemption.</w:t>
      </w:r>
    </w:p>
    <w:p>
      <w:pPr>
        <w:spacing w:after="0" w:line="225" w:lineRule="exact"/>
        <w:rPr>
          <w:sz w:val="20"/>
          <w:szCs w:val="20"/>
          <w:color w:val="auto"/>
        </w:rPr>
      </w:pPr>
    </w:p>
    <w:p>
      <w:pPr>
        <w:jc w:val="both"/>
        <w:ind w:left="1300" w:hanging="644"/>
        <w:spacing w:after="0" w:line="269" w:lineRule="auto"/>
        <w:tabs>
          <w:tab w:leader="none" w:pos="1300" w:val="left"/>
        </w:tabs>
        <w:numPr>
          <w:ilvl w:val="0"/>
          <w:numId w:val="42"/>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5" w:lineRule="exact"/>
        <w:rPr>
          <w:sz w:val="20"/>
          <w:szCs w:val="20"/>
          <w:color w:val="auto"/>
        </w:rPr>
      </w:pPr>
    </w:p>
    <w:p>
      <w:pPr>
        <w:jc w:val="both"/>
        <w:ind w:left="1300" w:hanging="644"/>
        <w:spacing w:after="0" w:line="268" w:lineRule="auto"/>
        <w:tabs>
          <w:tab w:leader="none" w:pos="13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color w:val="auto"/>
        </w:rPr>
        <w:t>SECTION 3.03 Payment Upon Redemption.</w:t>
      </w:r>
    </w:p>
    <w:p>
      <w:pPr>
        <w:spacing w:after="0" w:line="225" w:lineRule="exact"/>
        <w:rPr>
          <w:sz w:val="20"/>
          <w:szCs w:val="20"/>
          <w:color w:val="auto"/>
        </w:rPr>
      </w:pPr>
    </w:p>
    <w:p>
      <w:pPr>
        <w:jc w:val="both"/>
        <w:ind w:left="1300" w:hanging="644"/>
        <w:spacing w:after="0" w:line="270" w:lineRule="auto"/>
        <w:tabs>
          <w:tab w:leader="none" w:pos="1300" w:val="left"/>
        </w:tabs>
        <w:numPr>
          <w:ilvl w:val="0"/>
          <w:numId w:val="44"/>
        </w:numPr>
        <w:rPr>
          <w:rFonts w:ascii="Arial" w:cs="Arial" w:eastAsia="Arial" w:hAnsi="Arial"/>
          <w:sz w:val="17"/>
          <w:szCs w:val="17"/>
          <w:color w:val="auto"/>
        </w:rPr>
      </w:pPr>
      <w:r>
        <w:rPr>
          <w:rFonts w:ascii="Arial" w:cs="Arial" w:eastAsia="Arial" w:hAnsi="Arial"/>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80"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44"/>
        </w:numPr>
        <w:rPr>
          <w:rFonts w:ascii="Arial" w:cs="Arial" w:eastAsia="Arial" w:hAnsi="Arial"/>
          <w:sz w:val="18"/>
          <w:szCs w:val="18"/>
          <w:color w:val="auto"/>
        </w:rPr>
      </w:pPr>
      <w:r>
        <w:rPr>
          <w:rFonts w:ascii="Arial" w:cs="Arial" w:eastAsia="Arial" w:hAnsi="Arial"/>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3.04 Sinking Fund.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3.05 Satisfaction of Sinking Fund Payments with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49" w:name="page50"/>
    <w:bookmarkEnd w:id="49"/>
    <w:p>
      <w:pPr>
        <w:spacing w:after="0"/>
        <w:rPr>
          <w:sz w:val="20"/>
          <w:szCs w:val="20"/>
          <w:color w:val="auto"/>
        </w:rPr>
      </w:pPr>
      <w:r>
        <w:rPr>
          <w:rFonts w:ascii="Arial" w:cs="Arial" w:eastAsia="Arial" w:hAnsi="Arial"/>
          <w:sz w:val="18"/>
          <w:szCs w:val="18"/>
          <w:color w:val="auto"/>
        </w:rPr>
        <w:t>SECTION 3.06 Redemption of Securities for Sinking Fund.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4.01 Payment of Principal, Premium and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4.02 Maintenance of Office or Agency.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4.03 Paying Agents.</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83" w:lineRule="exact"/>
        <w:rPr>
          <w:rFonts w:ascii="Arial" w:cs="Arial" w:eastAsia="Arial" w:hAnsi="Arial"/>
          <w:sz w:val="18"/>
          <w:szCs w:val="18"/>
          <w:color w:val="auto"/>
        </w:rPr>
      </w:pPr>
    </w:p>
    <w:p>
      <w:pPr>
        <w:ind w:left="1960" w:hanging="656"/>
        <w:spacing w:after="0" w:line="308" w:lineRule="auto"/>
        <w:tabs>
          <w:tab w:leader="none" w:pos="1960" w:val="left"/>
        </w:tabs>
        <w:numPr>
          <w:ilvl w:val="1"/>
          <w:numId w:val="45"/>
        </w:numPr>
        <w:rPr>
          <w:rFonts w:ascii="Arial" w:cs="Arial" w:eastAsia="Arial" w:hAnsi="Arial"/>
          <w:sz w:val="17"/>
          <w:szCs w:val="17"/>
          <w:color w:val="auto"/>
        </w:rPr>
      </w:pPr>
      <w:r>
        <w:rPr>
          <w:rFonts w:ascii="Arial" w:cs="Arial" w:eastAsia="Arial" w:hAnsi="Arial"/>
          <w:sz w:val="17"/>
          <w:szCs w:val="17"/>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45"/>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0" w:name="page51"/>
    <w:bookmarkEnd w:id="50"/>
    <w:p>
      <w:pPr>
        <w:jc w:val="both"/>
        <w:ind w:left="1300" w:hanging="644"/>
        <w:spacing w:after="0" w:line="253"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4" w:lineRule="exact"/>
        <w:rPr>
          <w:rFonts w:ascii="Arial" w:cs="Arial" w:eastAsia="Arial" w:hAnsi="Arial"/>
          <w:sz w:val="18"/>
          <w:szCs w:val="18"/>
          <w:color w:val="auto"/>
        </w:rPr>
      </w:pPr>
    </w:p>
    <w:p>
      <w:pPr>
        <w:jc w:val="both"/>
        <w:ind w:left="1300" w:hanging="644"/>
        <w:spacing w:after="0" w:line="255" w:lineRule="auto"/>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4.04 Appointment to Fill Vacancy in Office of Trustee.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4.05 Compliance with Consolidation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5.01 Company to Furnish Trustee Names and Addresses of Securityholders.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5.02 Preservation of Information; Communications with Securityholders.</w:t>
      </w:r>
    </w:p>
    <w:p>
      <w:pPr>
        <w:spacing w:after="0" w:line="225" w:lineRule="exact"/>
        <w:rPr>
          <w:sz w:val="20"/>
          <w:szCs w:val="20"/>
          <w:color w:val="auto"/>
        </w:rPr>
      </w:pPr>
    </w:p>
    <w:p>
      <w:pPr>
        <w:jc w:val="both"/>
        <w:ind w:left="1500" w:right="100" w:hanging="750"/>
        <w:spacing w:after="0" w:line="259" w:lineRule="auto"/>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86" w:lineRule="exact"/>
        <w:rPr>
          <w:rFonts w:ascii="Arial" w:cs="Arial" w:eastAsia="Arial" w:hAnsi="Arial"/>
          <w:sz w:val="18"/>
          <w:szCs w:val="18"/>
          <w:color w:val="auto"/>
        </w:rPr>
      </w:pPr>
    </w:p>
    <w:p>
      <w:pPr>
        <w:ind w:left="1500" w:hanging="750"/>
        <w:spacing w:after="0"/>
        <w:tabs>
          <w:tab w:leader="none" w:pos="150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1" w:name="page52"/>
    <w:bookmarkEnd w:id="51"/>
    <w:p>
      <w:pPr>
        <w:ind w:left="1300" w:hanging="644"/>
        <w:spacing w:after="0" w:line="277" w:lineRule="auto"/>
        <w:tabs>
          <w:tab w:leader="none" w:pos="130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5.03 Reports by the Company.</w:t>
      </w:r>
    </w:p>
    <w:p>
      <w:pPr>
        <w:spacing w:after="0" w:line="225" w:lineRule="exact"/>
        <w:rPr>
          <w:sz w:val="20"/>
          <w:szCs w:val="20"/>
          <w:color w:val="auto"/>
        </w:rPr>
      </w:pPr>
    </w:p>
    <w:p>
      <w:pPr>
        <w:jc w:val="both"/>
        <w:ind w:left="1300" w:hanging="644"/>
        <w:spacing w:after="0" w:line="288"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68" w:lineRule="exact"/>
        <w:rPr>
          <w:rFonts w:ascii="Arial" w:cs="Arial" w:eastAsia="Arial" w:hAnsi="Arial"/>
          <w:sz w:val="16"/>
          <w:szCs w:val="16"/>
          <w:color w:val="auto"/>
        </w:rPr>
      </w:pPr>
    </w:p>
    <w:p>
      <w:pPr>
        <w:jc w:val="both"/>
        <w:ind w:left="1300" w:hanging="644"/>
        <w:spacing w:after="0" w:line="31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48" w:lineRule="exact"/>
        <w:rPr>
          <w:rFonts w:ascii="Arial" w:cs="Arial" w:eastAsia="Arial" w:hAnsi="Arial"/>
          <w:sz w:val="16"/>
          <w:szCs w:val="16"/>
          <w:color w:val="auto"/>
        </w:rPr>
      </w:pPr>
    </w:p>
    <w:p>
      <w:pPr>
        <w:jc w:val="both"/>
        <w:ind w:left="1300" w:hanging="644"/>
        <w:spacing w:after="0" w:line="301" w:lineRule="auto"/>
        <w:tabs>
          <w:tab w:leader="none" w:pos="1300"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5.04 Reports by the Trustee.</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83"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6.01 Events of Default.</w:t>
      </w:r>
    </w:p>
    <w:p>
      <w:pPr>
        <w:spacing w:after="0" w:line="225" w:lineRule="exact"/>
        <w:rPr>
          <w:sz w:val="20"/>
          <w:szCs w:val="20"/>
          <w:color w:val="auto"/>
        </w:rPr>
      </w:pPr>
    </w:p>
    <w:p>
      <w:pPr>
        <w:ind w:left="1300" w:right="20" w:hanging="644"/>
        <w:spacing w:after="0" w:line="277" w:lineRule="auto"/>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sz w:val="20"/>
          <w:szCs w:val="20"/>
          <w:color w:val="auto"/>
        </w:rPr>
      </w:pPr>
    </w:p>
    <w:p>
      <w:pPr>
        <w:jc w:val="both"/>
        <w:ind w:left="1960" w:hanging="656"/>
        <w:spacing w:after="0" w:line="259" w:lineRule="auto"/>
        <w:tabs>
          <w:tab w:leader="none" w:pos="19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2" w:name="page53"/>
    <w:bookmarkEnd w:id="52"/>
    <w:p>
      <w:pPr>
        <w:jc w:val="both"/>
        <w:ind w:left="1304" w:hanging="656"/>
        <w:spacing w:after="0" w:line="257" w:lineRule="auto"/>
        <w:tabs>
          <w:tab w:leader="none" w:pos="1304" w:val="left"/>
        </w:tabs>
        <w:numPr>
          <w:ilvl w:val="1"/>
          <w:numId w:val="53"/>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7" w:lineRule="exact"/>
        <w:rPr>
          <w:rFonts w:ascii="Arial" w:cs="Arial" w:eastAsia="Arial" w:hAnsi="Arial"/>
          <w:sz w:val="18"/>
          <w:szCs w:val="18"/>
          <w:color w:val="auto"/>
        </w:rPr>
      </w:pPr>
    </w:p>
    <w:p>
      <w:pPr>
        <w:jc w:val="both"/>
        <w:ind w:left="1304" w:hanging="656"/>
        <w:spacing w:after="0" w:line="272" w:lineRule="auto"/>
        <w:tabs>
          <w:tab w:leader="none" w:pos="1304"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77"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53"/>
        </w:numPr>
        <w:rPr>
          <w:rFonts w:ascii="Arial" w:cs="Arial" w:eastAsia="Arial" w:hAnsi="Arial"/>
          <w:sz w:val="17"/>
          <w:szCs w:val="17"/>
          <w:color w:val="auto"/>
        </w:rPr>
      </w:pPr>
      <w:r>
        <w:rPr>
          <w:rFonts w:ascii="Arial" w:cs="Arial" w:eastAsia="Arial" w:hAnsi="Arial"/>
          <w:sz w:val="17"/>
          <w:szCs w:val="17"/>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5"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53"/>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65" w:lineRule="exact"/>
        <w:rPr>
          <w:rFonts w:ascii="Arial" w:cs="Arial" w:eastAsia="Arial" w:hAnsi="Arial"/>
          <w:sz w:val="17"/>
          <w:szCs w:val="17"/>
          <w:color w:val="auto"/>
        </w:rPr>
      </w:pPr>
    </w:p>
    <w:p>
      <w:pPr>
        <w:jc w:val="both"/>
        <w:ind w:left="644" w:hanging="644"/>
        <w:spacing w:after="0" w:line="293" w:lineRule="auto"/>
        <w:tabs>
          <w:tab w:leader="none" w:pos="644"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w:t>
      </w:r>
    </w:p>
    <w:p>
      <w:pPr>
        <w:spacing w:after="0" w:line="164" w:lineRule="exact"/>
        <w:rPr>
          <w:rFonts w:ascii="Arial" w:cs="Arial" w:eastAsia="Arial" w:hAnsi="Arial"/>
          <w:sz w:val="16"/>
          <w:szCs w:val="16"/>
          <w:color w:val="auto"/>
        </w:rPr>
      </w:pPr>
    </w:p>
    <w:p>
      <w:pPr>
        <w:jc w:val="both"/>
        <w:ind w:left="644" w:hanging="644"/>
        <w:spacing w:after="0" w:line="269" w:lineRule="auto"/>
        <w:tabs>
          <w:tab w:leader="none" w:pos="644" w:val="left"/>
        </w:tabs>
        <w:numPr>
          <w:ilvl w:val="0"/>
          <w:numId w:val="54"/>
        </w:numPr>
        <w:rPr>
          <w:rFonts w:ascii="Arial" w:cs="Arial" w:eastAsia="Arial" w:hAnsi="Arial"/>
          <w:sz w:val="17"/>
          <w:szCs w:val="17"/>
          <w:color w:val="auto"/>
        </w:rPr>
      </w:pPr>
      <w:r>
        <w:rPr>
          <w:rFonts w:ascii="Arial" w:cs="Arial" w:eastAsia="Arial" w:hAnsi="Arial"/>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79"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65" w:right="339" w:bottom="1440" w:gutter="0" w:footer="0" w:header="0"/>
        </w:sectPr>
      </w:pPr>
    </w:p>
    <w:bookmarkStart w:id="53" w:name="page54"/>
    <w:bookmarkEnd w:id="53"/>
    <w:p>
      <w:pPr>
        <w:jc w:val="both"/>
        <w:ind w:left="1300" w:hanging="644"/>
        <w:spacing w:after="0" w:line="275" w:lineRule="auto"/>
        <w:tabs>
          <w:tab w:leader="none" w:pos="1300" w:val="left"/>
        </w:tabs>
        <w:numPr>
          <w:ilvl w:val="0"/>
          <w:numId w:val="55"/>
        </w:numPr>
        <w:rPr>
          <w:rFonts w:ascii="Arial" w:cs="Arial" w:eastAsia="Arial" w:hAnsi="Arial"/>
          <w:sz w:val="17"/>
          <w:szCs w:val="17"/>
          <w:color w:val="auto"/>
        </w:rPr>
      </w:pPr>
      <w:r>
        <w:rPr>
          <w:rFonts w:ascii="Arial" w:cs="Arial" w:eastAsia="Arial" w:hAnsi="Arial"/>
          <w:sz w:val="17"/>
          <w:szCs w:val="17"/>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6.02 Collection of Indebtedness and Suits for Enforcement by Trustee.</w:t>
      </w:r>
    </w:p>
    <w:p>
      <w:pPr>
        <w:spacing w:after="0" w:line="225" w:lineRule="exact"/>
        <w:rPr>
          <w:sz w:val="20"/>
          <w:szCs w:val="20"/>
          <w:color w:val="auto"/>
        </w:rPr>
      </w:pPr>
    </w:p>
    <w:p>
      <w:pPr>
        <w:jc w:val="both"/>
        <w:ind w:left="1300" w:hanging="644"/>
        <w:spacing w:after="0" w:line="288"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68" w:lineRule="exact"/>
        <w:rPr>
          <w:rFonts w:ascii="Arial" w:cs="Arial" w:eastAsia="Arial" w:hAnsi="Arial"/>
          <w:sz w:val="16"/>
          <w:szCs w:val="16"/>
          <w:color w:val="auto"/>
        </w:rPr>
      </w:pPr>
    </w:p>
    <w:p>
      <w:pPr>
        <w:jc w:val="both"/>
        <w:ind w:left="1300" w:hanging="644"/>
        <w:spacing w:after="0" w:line="296" w:lineRule="auto"/>
        <w:tabs>
          <w:tab w:leader="none" w:pos="13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61"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1"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4" w:name="page55"/>
    <w:bookmarkEnd w:id="54"/>
    <w:p>
      <w:pPr>
        <w:jc w:val="both"/>
        <w:ind w:firstLine="648"/>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6.03 Application of Moneys Collected.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pacing w:after="0" w:line="165" w:lineRule="exact"/>
        <w:rPr>
          <w:sz w:val="20"/>
          <w:szCs w:val="20"/>
          <w:color w:val="auto"/>
        </w:rPr>
      </w:pPr>
    </w:p>
    <w:p>
      <w:pPr>
        <w:ind w:left="660"/>
        <w:spacing w:after="0"/>
        <w:tabs>
          <w:tab w:leader="none" w:pos="1600" w:val="left"/>
        </w:tabs>
        <w:rPr>
          <w:sz w:val="20"/>
          <w:szCs w:val="20"/>
          <w:color w:val="auto"/>
        </w:rPr>
      </w:pPr>
      <w:r>
        <w:rPr>
          <w:rFonts w:ascii="Arial" w:cs="Arial" w:eastAsia="Arial" w:hAnsi="Arial"/>
          <w:sz w:val="18"/>
          <w:szCs w:val="18"/>
          <w:color w:val="auto"/>
        </w:rPr>
        <w:t>FIRST:</w:t>
      </w:r>
      <w:r>
        <w:rPr>
          <w:sz w:val="20"/>
          <w:szCs w:val="20"/>
          <w:color w:val="auto"/>
        </w:rPr>
        <w:tab/>
      </w:r>
      <w:r>
        <w:rPr>
          <w:rFonts w:ascii="Arial" w:cs="Arial" w:eastAsia="Arial" w:hAnsi="Arial"/>
          <w:sz w:val="18"/>
          <w:szCs w:val="18"/>
          <w:color w:val="auto"/>
        </w:rPr>
        <w:t>To the payment of costs and expenses of collection and of all amounts payable to the Trustee under Section 7.06; and</w:t>
      </w:r>
    </w:p>
    <w:p>
      <w:pPr>
        <w:spacing w:after="0" w:line="225" w:lineRule="exact"/>
        <w:rPr>
          <w:sz w:val="20"/>
          <w:szCs w:val="20"/>
          <w:color w:val="auto"/>
        </w:rPr>
      </w:pPr>
    </w:p>
    <w:p>
      <w:pPr>
        <w:jc w:val="both"/>
        <w:ind w:left="1620" w:hanging="959"/>
        <w:spacing w:after="0" w:line="311" w:lineRule="auto"/>
        <w:tabs>
          <w:tab w:leader="none" w:pos="1600" w:val="left"/>
        </w:tabs>
        <w:rPr>
          <w:sz w:val="20"/>
          <w:szCs w:val="20"/>
          <w:color w:val="auto"/>
        </w:rPr>
      </w:pPr>
      <w:r>
        <w:rPr>
          <w:rFonts w:ascii="Arial" w:cs="Arial" w:eastAsia="Arial" w:hAnsi="Arial"/>
          <w:sz w:val="16"/>
          <w:szCs w:val="16"/>
          <w:color w:val="auto"/>
        </w:rPr>
        <w:t>SECOND:</w:t>
        <w:tab/>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6.04 Limitation on Suits.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5" w:name="page56"/>
    <w:bookmarkEnd w:id="55"/>
    <w:p>
      <w:pPr>
        <w:spacing w:after="0"/>
        <w:rPr>
          <w:sz w:val="20"/>
          <w:szCs w:val="20"/>
          <w:color w:val="auto"/>
        </w:rPr>
      </w:pPr>
      <w:r>
        <w:rPr>
          <w:rFonts w:ascii="Arial" w:cs="Arial" w:eastAsia="Arial" w:hAnsi="Arial"/>
          <w:sz w:val="18"/>
          <w:szCs w:val="18"/>
          <w:color w:val="auto"/>
        </w:rPr>
        <w:t>SECTION 6.05 Rights and Remedies Cumulative; Delay or Omission Not Waiver.</w:t>
      </w:r>
    </w:p>
    <w:p>
      <w:pPr>
        <w:spacing w:after="0" w:line="225" w:lineRule="exact"/>
        <w:rPr>
          <w:sz w:val="20"/>
          <w:szCs w:val="20"/>
          <w:color w:val="auto"/>
        </w:rPr>
      </w:pPr>
    </w:p>
    <w:p>
      <w:pPr>
        <w:jc w:val="both"/>
        <w:ind w:left="1300" w:hanging="644"/>
        <w:spacing w:after="0" w:line="279" w:lineRule="auto"/>
        <w:tabs>
          <w:tab w:leader="none" w:pos="1300" w:val="left"/>
        </w:tabs>
        <w:numPr>
          <w:ilvl w:val="0"/>
          <w:numId w:val="57"/>
        </w:numPr>
        <w:rPr>
          <w:rFonts w:ascii="Arial" w:cs="Arial" w:eastAsia="Arial" w:hAnsi="Arial"/>
          <w:sz w:val="17"/>
          <w:szCs w:val="17"/>
          <w:color w:val="auto"/>
        </w:rPr>
      </w:pPr>
      <w:r>
        <w:rPr>
          <w:rFonts w:ascii="Arial" w:cs="Arial" w:eastAsia="Arial" w:hAnsi="Arial"/>
          <w:sz w:val="17"/>
          <w:szCs w:val="17"/>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1"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6.06 Control by Securityholders.</w:t>
      </w:r>
    </w:p>
    <w:p>
      <w:pPr>
        <w:spacing w:after="0" w:line="225"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 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SECTION 6.07 Undertaking to Pay Costs.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7.01 Certain Duties and Responsibilities of Trustee.</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94"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58"/>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jc w:val="both"/>
        <w:ind w:left="2600" w:hanging="648"/>
        <w:spacing w:after="0" w:line="279" w:lineRule="auto"/>
        <w:tabs>
          <w:tab w:leader="none" w:pos="2600" w:val="left"/>
        </w:tabs>
        <w:numPr>
          <w:ilvl w:val="2"/>
          <w:numId w:val="58"/>
        </w:numPr>
        <w:rPr>
          <w:rFonts w:ascii="Arial" w:cs="Arial" w:eastAsia="Arial" w:hAnsi="Arial"/>
          <w:sz w:val="17"/>
          <w:szCs w:val="17"/>
          <w:color w:val="auto"/>
        </w:rPr>
      </w:pPr>
      <w:r>
        <w:rPr>
          <w:rFonts w:ascii="Arial" w:cs="Arial" w:eastAsia="Arial" w:hAnsi="Arial"/>
          <w:sz w:val="17"/>
          <w:szCs w:val="17"/>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1" w:lineRule="exact"/>
        <w:rPr>
          <w:rFonts w:ascii="Arial" w:cs="Arial" w:eastAsia="Arial" w:hAnsi="Arial"/>
          <w:sz w:val="17"/>
          <w:szCs w:val="17"/>
          <w:color w:val="auto"/>
        </w:rPr>
      </w:pPr>
    </w:p>
    <w:p>
      <w:pPr>
        <w:jc w:val="both"/>
        <w:ind w:left="2600" w:hanging="648"/>
        <w:spacing w:after="0" w:line="255" w:lineRule="auto"/>
        <w:tabs>
          <w:tab w:leader="none" w:pos="2600" w:val="left"/>
        </w:tabs>
        <w:numPr>
          <w:ilvl w:val="2"/>
          <w:numId w:val="58"/>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92"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rFonts w:ascii="Arial" w:cs="Arial" w:eastAsia="Arial" w:hAnsi="Arial"/>
          <w:sz w:val="18"/>
          <w:szCs w:val="18"/>
          <w:color w:val="auto"/>
        </w:rPr>
      </w:pPr>
    </w:p>
    <w:p>
      <w:pPr>
        <w:jc w:val="both"/>
        <w:ind w:left="1960" w:hanging="656"/>
        <w:spacing w:after="0" w:line="301" w:lineRule="auto"/>
        <w:tabs>
          <w:tab w:leader="none" w:pos="19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57" w:lineRule="exact"/>
        <w:rPr>
          <w:rFonts w:ascii="Arial" w:cs="Arial" w:eastAsia="Arial" w:hAnsi="Arial"/>
          <w:sz w:val="16"/>
          <w:szCs w:val="16"/>
          <w:color w:val="auto"/>
        </w:rPr>
      </w:pPr>
    </w:p>
    <w:p>
      <w:pPr>
        <w:jc w:val="both"/>
        <w:ind w:left="1960" w:hanging="656"/>
        <w:spacing w:after="0" w:line="279" w:lineRule="auto"/>
        <w:tabs>
          <w:tab w:leader="none" w:pos="1960" w:val="left"/>
        </w:tabs>
        <w:numPr>
          <w:ilvl w:val="1"/>
          <w:numId w:val="58"/>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7" w:name="page58"/>
    <w:bookmarkEnd w:id="57"/>
    <w:p>
      <w:pPr>
        <w:spacing w:after="0"/>
        <w:rPr>
          <w:sz w:val="20"/>
          <w:szCs w:val="20"/>
          <w:color w:val="auto"/>
        </w:rPr>
      </w:pPr>
      <w:r>
        <w:rPr>
          <w:rFonts w:ascii="Arial" w:cs="Arial" w:eastAsia="Arial" w:hAnsi="Arial"/>
          <w:sz w:val="18"/>
          <w:szCs w:val="18"/>
          <w:color w:val="auto"/>
        </w:rPr>
        <w:t>SECTION 7.02 Certain Rights of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48" w:lineRule="exact"/>
        <w:rPr>
          <w:rFonts w:ascii="Arial" w:cs="Arial" w:eastAsia="Arial" w:hAnsi="Arial"/>
          <w:sz w:val="16"/>
          <w:szCs w:val="16"/>
          <w:color w:val="auto"/>
        </w:rPr>
      </w:pPr>
    </w:p>
    <w:p>
      <w:pPr>
        <w:ind w:left="1300" w:hanging="644"/>
        <w:spacing w:after="0" w:line="308"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46"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jc w:val="both"/>
        <w:ind w:left="1300" w:hanging="644"/>
        <w:spacing w:after="0" w:line="290" w:lineRule="auto"/>
        <w:tabs>
          <w:tab w:leader="none" w:pos="130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65"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8" w:name="page59"/>
    <w:bookmarkEnd w:id="58"/>
    <w:p>
      <w:pPr>
        <w:spacing w:after="0"/>
        <w:rPr>
          <w:sz w:val="20"/>
          <w:szCs w:val="20"/>
          <w:color w:val="auto"/>
        </w:rPr>
      </w:pPr>
      <w:r>
        <w:rPr>
          <w:rFonts w:ascii="Arial" w:cs="Arial" w:eastAsia="Arial" w:hAnsi="Arial"/>
          <w:sz w:val="18"/>
          <w:szCs w:val="18"/>
          <w:color w:val="auto"/>
        </w:rPr>
        <w:t>SECTION 7.03 Trustee Not Responsible for Recitals or Issuance of Securities.</w:t>
      </w:r>
    </w:p>
    <w:p>
      <w:pPr>
        <w:spacing w:after="0" w:line="225" w:lineRule="exact"/>
        <w:rPr>
          <w:sz w:val="20"/>
          <w:szCs w:val="20"/>
          <w:color w:val="auto"/>
        </w:rPr>
      </w:pPr>
    </w:p>
    <w:p>
      <w:pPr>
        <w:ind w:left="1300" w:hanging="644"/>
        <w:spacing w:after="0" w:line="277" w:lineRule="auto"/>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7.04 May Hold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7.05 Moneys Held in Trust.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7.06 Compensation and Reimbursement.</w:t>
      </w:r>
    </w:p>
    <w:p>
      <w:pPr>
        <w:spacing w:after="0" w:line="225" w:lineRule="exact"/>
        <w:rPr>
          <w:sz w:val="20"/>
          <w:szCs w:val="20"/>
          <w:color w:val="auto"/>
        </w:rPr>
      </w:pPr>
    </w:p>
    <w:p>
      <w:pPr>
        <w:jc w:val="both"/>
        <w:ind w:left="1300" w:hanging="644"/>
        <w:spacing w:after="0" w:line="269" w:lineRule="auto"/>
        <w:tabs>
          <w:tab w:leader="none" w:pos="1300" w:val="left"/>
        </w:tabs>
        <w:numPr>
          <w:ilvl w:val="0"/>
          <w:numId w:val="61"/>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8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7.07 Reliance on Officers’ Certificate.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59" w:name="page60"/>
    <w:bookmarkEnd w:id="59"/>
    <w:p>
      <w:pPr>
        <w:spacing w:after="0"/>
        <w:rPr>
          <w:sz w:val="20"/>
          <w:szCs w:val="20"/>
          <w:color w:val="auto"/>
        </w:rPr>
      </w:pPr>
      <w:r>
        <w:rPr>
          <w:rFonts w:ascii="Arial" w:cs="Arial" w:eastAsia="Arial" w:hAnsi="Arial"/>
          <w:sz w:val="18"/>
          <w:szCs w:val="18"/>
          <w:color w:val="auto"/>
        </w:rPr>
        <w:t>SECTION 7.08 Disqualification; Conflicting Interests.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7.09 Corporate Trustee Required; Eligibility.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7.10 Resignation and Removal; Appointment of Successor.</w:t>
      </w:r>
    </w:p>
    <w:p>
      <w:pPr>
        <w:spacing w:after="0" w:line="225" w:lineRule="exact"/>
        <w:rPr>
          <w:sz w:val="20"/>
          <w:szCs w:val="20"/>
          <w:color w:val="auto"/>
        </w:rPr>
      </w:pPr>
    </w:p>
    <w:p>
      <w:pPr>
        <w:jc w:val="both"/>
        <w:ind w:left="1300" w:hanging="644"/>
        <w:spacing w:after="0" w:line="288" w:lineRule="auto"/>
        <w:tabs>
          <w:tab w:leader="none" w:pos="1300" w:val="left"/>
        </w:tabs>
        <w:numPr>
          <w:ilvl w:val="0"/>
          <w:numId w:val="62"/>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62"/>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rFonts w:ascii="Arial" w:cs="Arial" w:eastAsia="Arial" w:hAnsi="Arial"/>
          <w:sz w:val="18"/>
          <w:szCs w:val="18"/>
          <w:color w:val="auto"/>
        </w:rPr>
      </w:pPr>
    </w:p>
    <w:p>
      <w:pPr>
        <w:jc w:val="both"/>
        <w:ind w:left="1960" w:hanging="656"/>
        <w:spacing w:after="0" w:line="269" w:lineRule="auto"/>
        <w:tabs>
          <w:tab w:leader="none" w:pos="1960" w:val="left"/>
        </w:tabs>
        <w:numPr>
          <w:ilvl w:val="1"/>
          <w:numId w:val="62"/>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0" w:name="page61"/>
    <w:bookmarkEnd w:id="60"/>
    <w:p>
      <w:pPr>
        <w:jc w:val="both"/>
        <w:ind w:left="1300" w:right="20" w:hanging="644"/>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3"/>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8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SECTION 7.11 Acceptance of Appointment By Successor.</w:t>
      </w:r>
    </w:p>
    <w:p>
      <w:pPr>
        <w:spacing w:after="0" w:line="225" w:lineRule="exact"/>
        <w:rPr>
          <w:sz w:val="20"/>
          <w:szCs w:val="20"/>
          <w:color w:val="auto"/>
        </w:rPr>
      </w:pPr>
    </w:p>
    <w:p>
      <w:pPr>
        <w:jc w:val="both"/>
        <w:ind w:left="1300" w:hanging="644"/>
        <w:spacing w:after="0" w:line="272" w:lineRule="auto"/>
        <w:tabs>
          <w:tab w:leader="none" w:pos="1300" w:val="left"/>
        </w:tabs>
        <w:numPr>
          <w:ilvl w:val="0"/>
          <w:numId w:val="64"/>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rFonts w:ascii="Arial" w:cs="Arial" w:eastAsia="Arial" w:hAnsi="Arial"/>
          <w:sz w:val="17"/>
          <w:szCs w:val="17"/>
          <w:color w:val="auto"/>
        </w:rPr>
      </w:pPr>
    </w:p>
    <w:p>
      <w:pPr>
        <w:jc w:val="both"/>
        <w:ind w:left="1300" w:hanging="644"/>
        <w:spacing w:after="0" w:line="284" w:lineRule="auto"/>
        <w:tabs>
          <w:tab w:leader="none" w:pos="1300" w:val="left"/>
        </w:tabs>
        <w:numPr>
          <w:ilvl w:val="0"/>
          <w:numId w:val="64"/>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1" w:name="page62"/>
    <w:bookmarkEnd w:id="61"/>
    <w:p>
      <w:pPr>
        <w:jc w:val="both"/>
        <w:ind w:left="1300" w:hanging="644"/>
        <w:spacing w:after="0" w:line="263"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65"/>
        </w:numPr>
        <w:rPr>
          <w:rFonts w:ascii="Arial" w:cs="Arial" w:eastAsia="Arial" w:hAnsi="Arial"/>
          <w:sz w:val="17"/>
          <w:szCs w:val="17"/>
          <w:color w:val="auto"/>
        </w:rPr>
      </w:pPr>
      <w:r>
        <w:rPr>
          <w:rFonts w:ascii="Arial" w:cs="Arial" w:eastAsia="Arial" w:hAnsi="Arial"/>
          <w:sz w:val="17"/>
          <w:szCs w:val="17"/>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7.12 Merger, Conversion, Consolidation or Succession to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7.13 Preferential Collection of Claims Against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8.01 Evidence of Action by Securityholders.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2" w:name="page63"/>
    <w:bookmarkEnd w:id="62"/>
    <w:p>
      <w:pPr>
        <w:spacing w:after="0"/>
        <w:rPr>
          <w:sz w:val="20"/>
          <w:szCs w:val="20"/>
          <w:color w:val="auto"/>
        </w:rPr>
      </w:pPr>
      <w:r>
        <w:rPr>
          <w:rFonts w:ascii="Arial" w:cs="Arial" w:eastAsia="Arial" w:hAnsi="Arial"/>
          <w:sz w:val="18"/>
          <w:szCs w:val="18"/>
          <w:color w:val="auto"/>
        </w:rPr>
        <w:t>SECTION 8.02 Proof of Execution by Securityholders.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6" w:lineRule="exact"/>
        <w:rPr>
          <w:sz w:val="20"/>
          <w:szCs w:val="20"/>
          <w:color w:val="auto"/>
        </w:rPr>
      </w:pPr>
    </w:p>
    <w:p>
      <w:pPr>
        <w:ind w:left="13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fact and date of the execution by any such Person of any instrument may be proved in any reasonable manner acceptable to the Trustee.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8.03 Who May be Deemed Owners.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8.04 Certain Securities Owned by Company Disregarded.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8.05 Actions Binding on Future Securityholders.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3" w:name="page64"/>
    <w:bookmarkEnd w:id="63"/>
    <w:p>
      <w:pPr>
        <w:spacing w:after="0"/>
        <w:rPr>
          <w:sz w:val="20"/>
          <w:szCs w:val="20"/>
          <w:color w:val="auto"/>
        </w:rPr>
      </w:pPr>
      <w:r>
        <w:rPr>
          <w:rFonts w:ascii="Arial" w:cs="Arial" w:eastAsia="Arial" w:hAnsi="Arial"/>
          <w:sz w:val="18"/>
          <w:szCs w:val="18"/>
          <w:color w:val="auto"/>
        </w:rPr>
        <w:t>SECTION 8.06 Purposes for Which Meetings May Be Called.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8.07 Call Notice and Place of Meetings.</w:t>
      </w:r>
    </w:p>
    <w:p>
      <w:pPr>
        <w:spacing w:after="0" w:line="225" w:lineRule="exact"/>
        <w:rPr>
          <w:sz w:val="20"/>
          <w:szCs w:val="20"/>
          <w:color w:val="auto"/>
        </w:rPr>
      </w:pPr>
    </w:p>
    <w:p>
      <w:pPr>
        <w:jc w:val="both"/>
        <w:ind w:left="1300" w:hanging="644"/>
        <w:spacing w:after="0" w:line="273" w:lineRule="auto"/>
        <w:tabs>
          <w:tab w:leader="none" w:pos="1300" w:val="left"/>
        </w:tabs>
        <w:numPr>
          <w:ilvl w:val="0"/>
          <w:numId w:val="67"/>
        </w:numPr>
        <w:rPr>
          <w:rFonts w:ascii="Arial" w:cs="Arial" w:eastAsia="Arial" w:hAnsi="Arial"/>
          <w:sz w:val="17"/>
          <w:szCs w:val="17"/>
          <w:color w:val="auto"/>
        </w:rPr>
      </w:pPr>
      <w:r>
        <w:rPr>
          <w:rFonts w:ascii="Arial" w:cs="Arial" w:eastAsia="Arial" w:hAnsi="Arial"/>
          <w:sz w:val="17"/>
          <w:szCs w:val="17"/>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77"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0"/>
          <w:numId w:val="67"/>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8.08 Persons Entitled To Vote at Meetings.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8.09 Quorum; Action.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9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4" w:name="page65"/>
    <w:bookmarkEnd w:id="64"/>
    <w:p>
      <w:pPr>
        <w:ind w:right="20" w:firstLine="648"/>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8.10 Determination of Voting Rights; Conduct and Adjournment of Meetings.</w:t>
      </w:r>
    </w:p>
    <w:p>
      <w:pPr>
        <w:spacing w:after="0" w:line="225" w:lineRule="exact"/>
        <w:rPr>
          <w:sz w:val="20"/>
          <w:szCs w:val="20"/>
          <w:color w:val="auto"/>
        </w:rPr>
      </w:pPr>
    </w:p>
    <w:p>
      <w:pPr>
        <w:jc w:val="both"/>
        <w:ind w:left="1300" w:hanging="644"/>
        <w:spacing w:after="0" w:line="279"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71" w:lineRule="exact"/>
        <w:rPr>
          <w:rFonts w:ascii="Arial" w:cs="Arial" w:eastAsia="Arial" w:hAnsi="Arial"/>
          <w:sz w:val="17"/>
          <w:szCs w:val="17"/>
          <w:color w:val="auto"/>
        </w:rPr>
      </w:pPr>
    </w:p>
    <w:p>
      <w:pPr>
        <w:jc w:val="both"/>
        <w:ind w:left="1300" w:hanging="644"/>
        <w:spacing w:after="0" w:line="275"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6"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87"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68"/>
        </w:numPr>
        <w:rPr>
          <w:rFonts w:ascii="Arial" w:cs="Arial" w:eastAsia="Arial" w:hAnsi="Arial"/>
          <w:sz w:val="17"/>
          <w:szCs w:val="17"/>
          <w:color w:val="auto"/>
        </w:rPr>
      </w:pPr>
      <w:r>
        <w:rPr>
          <w:rFonts w:ascii="Arial" w:cs="Arial" w:eastAsia="Arial" w:hAnsi="Arial"/>
          <w:sz w:val="17"/>
          <w:szCs w:val="17"/>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8.11 Counting Votes and Recording Action of Meetings.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5" w:name="page66"/>
    <w:bookmarkEnd w:id="65"/>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9.01 Supplemental Indentures Without the Consent of Securityholders.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4" w:lineRule="exact"/>
        <w:rPr>
          <w:sz w:val="20"/>
          <w:szCs w:val="20"/>
          <w:color w:val="auto"/>
        </w:rPr>
      </w:pPr>
    </w:p>
    <w:p>
      <w:pPr>
        <w:jc w:val="both"/>
        <w:ind w:left="1300" w:hanging="644"/>
        <w:spacing w:after="0" w:line="311" w:lineRule="auto"/>
        <w:tabs>
          <w:tab w:leader="none" w:pos="13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comply with the requirements of the Commission in order to effect or maintain the qualification of this Indenture under the Trust Indenture Act.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9.02 Supplemental Indentures With Consent of Securityholders.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6" w:name="page67"/>
    <w:bookmarkEnd w:id="66"/>
    <w:p>
      <w:pPr>
        <w:jc w:val="both"/>
        <w:ind w:firstLine="648"/>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9.03 Effect of Supplemental Indentures.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9.04 Securities Affected by Supplemental Indentures.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9.05 Execution of Supplemental Indentures.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10.01 Company May Consolidate, Etc.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7" w:name="page68"/>
    <w:bookmarkEnd w:id="67"/>
    <w:p>
      <w:pPr>
        <w:spacing w:after="0"/>
        <w:rPr>
          <w:sz w:val="20"/>
          <w:szCs w:val="20"/>
          <w:color w:val="auto"/>
        </w:rPr>
      </w:pPr>
      <w:r>
        <w:rPr>
          <w:rFonts w:ascii="Arial" w:cs="Arial" w:eastAsia="Arial" w:hAnsi="Arial"/>
          <w:sz w:val="18"/>
          <w:szCs w:val="18"/>
          <w:color w:val="auto"/>
        </w:rPr>
        <w:t>SECTION 10.02 Successor Entity Substituted.</w:t>
      </w:r>
    </w:p>
    <w:p>
      <w:pPr>
        <w:spacing w:after="0" w:line="225" w:lineRule="exact"/>
        <w:rPr>
          <w:sz w:val="20"/>
          <w:szCs w:val="20"/>
          <w:color w:val="auto"/>
        </w:rPr>
      </w:pPr>
    </w:p>
    <w:p>
      <w:pPr>
        <w:jc w:val="both"/>
        <w:ind w:left="1300" w:hanging="644"/>
        <w:spacing w:after="0" w:line="272" w:lineRule="auto"/>
        <w:tabs>
          <w:tab w:leader="none" w:pos="1300" w:val="left"/>
        </w:tabs>
        <w:numPr>
          <w:ilvl w:val="0"/>
          <w:numId w:val="70"/>
        </w:numPr>
        <w:rPr>
          <w:rFonts w:ascii="Arial" w:cs="Arial" w:eastAsia="Arial" w:hAnsi="Arial"/>
          <w:sz w:val="17"/>
          <w:szCs w:val="17"/>
          <w:color w:val="auto"/>
        </w:rPr>
      </w:pPr>
      <w:r>
        <w:rPr>
          <w:rFonts w:ascii="Arial" w:cs="Arial" w:eastAsia="Arial" w:hAnsi="Arial"/>
          <w:sz w:val="17"/>
          <w:szCs w:val="17"/>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70"/>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10.03 Evidence of Consolidation, Etc. to Trustee.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11.01 Satisfaction and Discharge of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8" w:name="page69"/>
    <w:bookmarkEnd w:id="68"/>
    <w:p>
      <w:pPr>
        <w:spacing w:after="0"/>
        <w:rPr>
          <w:sz w:val="20"/>
          <w:szCs w:val="20"/>
          <w:color w:val="auto"/>
        </w:rPr>
      </w:pPr>
      <w:r>
        <w:rPr>
          <w:rFonts w:ascii="Arial" w:cs="Arial" w:eastAsia="Arial" w:hAnsi="Arial"/>
          <w:sz w:val="18"/>
          <w:szCs w:val="18"/>
          <w:color w:val="auto"/>
        </w:rPr>
        <w:t>SECTION 11.02 Discharge of Obligations.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11.03 Deposited Moneys to be Held in Trust.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11.04 Payment of Moneys Held by Paying Agents.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11.05 Repayment to Company.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69" w:name="page70"/>
    <w:bookmarkEnd w:id="69"/>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13.01 Effect on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13.03 Surrender of Company Powers.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Microbot Medical Inc., Attn: [ ], 25 Recreation Park Drive, Unit 108, Hingham, MA 02043.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w:t>
      </w:r>
    </w:p>
    <w:p>
      <w:pPr>
        <w:spacing w:after="0" w:line="16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13.05 Governing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13.06 Treatment of Securities as Debt.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13.07 Compliance Certificates and Opinions.</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65" w:right="339" w:bottom="1440" w:gutter="0" w:footer="0" w:header="0"/>
        </w:sectPr>
      </w:pPr>
    </w:p>
    <w:bookmarkStart w:id="70" w:name="page71"/>
    <w:bookmarkEnd w:id="70"/>
    <w:p>
      <w:pPr>
        <w:jc w:val="both"/>
        <w:ind w:left="1300" w:hanging="644"/>
        <w:spacing w:after="0" w:line="254" w:lineRule="auto"/>
        <w:tabs>
          <w:tab w:leader="none" w:pos="13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13.09 Conflict with Trust Indenture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13.10 Counterparts.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13.11 Separability.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81"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14605</wp:posOffset>
            </wp:positionV>
            <wp:extent cx="3206115"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w:t>
            </w:r>
          </w:p>
        </w:tc>
        <w:tc>
          <w:tcPr>
            <w:tcW w:w="660" w:type="dxa"/>
            <w:vAlign w:val="bottom"/>
          </w:tcPr>
          <w:p>
            <w:pPr>
              <w:spacing w:after="0"/>
              <w:rPr>
                <w:sz w:val="18"/>
                <w:szCs w:val="18"/>
                <w:color w:val="auto"/>
              </w:rPr>
            </w:pPr>
          </w:p>
        </w:tc>
        <w:tc>
          <w:tcPr>
            <w:tcW w:w="4380" w:type="dxa"/>
            <w:vAlign w:val="bottom"/>
          </w:tcPr>
          <w:p>
            <w:pPr>
              <w:jc w:val="right"/>
              <w:ind w:right="3730"/>
              <w:spacing w:after="0"/>
              <w:rPr>
                <w:sz w:val="20"/>
                <w:szCs w:val="20"/>
                <w:color w:val="auto"/>
              </w:rPr>
            </w:pPr>
            <w:r>
              <w:rPr>
                <w:rFonts w:ascii="Arial" w:cs="Arial" w:eastAsia="Arial" w:hAnsi="Arial"/>
                <w:sz w:val="18"/>
                <w:szCs w:val="18"/>
                <w:color w:val="auto"/>
              </w:rPr>
              <w:t>],</w:t>
            </w:r>
          </w:p>
        </w:tc>
      </w:tr>
      <w:tr>
        <w:trPr>
          <w:trHeight w:val="230"/>
        </w:trPr>
        <w:tc>
          <w:tcPr>
            <w:tcW w:w="6860" w:type="dxa"/>
            <w:vAlign w:val="bottom"/>
            <w:gridSpan w:val="2"/>
          </w:tcPr>
          <w:p>
            <w:pPr>
              <w:ind w:left="5640"/>
              <w:spacing w:after="0"/>
              <w:rPr>
                <w:sz w:val="20"/>
                <w:szCs w:val="20"/>
                <w:color w:val="auto"/>
              </w:rPr>
            </w:pPr>
            <w:r>
              <w:rPr>
                <w:rFonts w:ascii="Arial" w:cs="Arial" w:eastAsia="Arial" w:hAnsi="Arial"/>
                <w:sz w:val="18"/>
                <w:szCs w:val="18"/>
                <w:color w:val="auto"/>
              </w:rPr>
              <w:t>As Trustee</w:t>
            </w:r>
          </w:p>
        </w:tc>
        <w:tc>
          <w:tcPr>
            <w:tcW w:w="4380" w:type="dxa"/>
            <w:vAlign w:val="bottom"/>
          </w:tcPr>
          <w:p>
            <w:pPr>
              <w:spacing w:after="0"/>
              <w:rPr>
                <w:sz w:val="20"/>
                <w:szCs w:val="20"/>
                <w:color w:val="auto"/>
              </w:rPr>
            </w:pPr>
          </w:p>
        </w:tc>
      </w:tr>
      <w:tr>
        <w:trPr>
          <w:trHeight w:val="453"/>
        </w:trPr>
        <w:tc>
          <w:tcPr>
            <w:tcW w:w="6860" w:type="dxa"/>
            <w:vAlign w:val="bottom"/>
            <w:gridSpan w:val="2"/>
          </w:tcPr>
          <w:p>
            <w:pPr>
              <w:ind w:left="5640"/>
              <w:spacing w:after="0"/>
              <w:rPr>
                <w:sz w:val="20"/>
                <w:szCs w:val="20"/>
                <w:color w:val="auto"/>
              </w:rPr>
            </w:pPr>
            <w:r>
              <w:rPr>
                <w:rFonts w:ascii="Arial" w:cs="Arial" w:eastAsia="Arial" w:hAnsi="Arial"/>
                <w:sz w:val="18"/>
                <w:szCs w:val="18"/>
                <w:color w:val="auto"/>
              </w:rPr>
              <w:t>By:</w:t>
            </w:r>
          </w:p>
        </w:tc>
        <w:tc>
          <w:tcPr>
            <w:tcW w:w="4380" w:type="dxa"/>
            <w:vAlign w:val="bottom"/>
          </w:tcPr>
          <w:p>
            <w:pPr>
              <w:spacing w:after="0"/>
              <w:rPr>
                <w:sz w:val="24"/>
                <w:szCs w:val="24"/>
                <w:color w:val="auto"/>
              </w:rPr>
            </w:pPr>
          </w:p>
        </w:tc>
      </w:tr>
      <w:tr>
        <w:trPr>
          <w:trHeight w:val="188"/>
        </w:trPr>
        <w:tc>
          <w:tcPr>
            <w:tcW w:w="6200" w:type="dxa"/>
            <w:vAlign w:val="bottom"/>
          </w:tcPr>
          <w:p>
            <w:pPr>
              <w:ind w:left="5640"/>
              <w:spacing w:after="0" w:line="189" w:lineRule="exact"/>
              <w:rPr>
                <w:sz w:val="20"/>
                <w:szCs w:val="20"/>
                <w:color w:val="auto"/>
              </w:rPr>
            </w:pPr>
            <w:r>
              <w:rPr>
                <w:rFonts w:ascii="Arial" w:cs="Arial" w:eastAsia="Arial" w:hAnsi="Arial"/>
                <w:sz w:val="18"/>
                <w:szCs w:val="18"/>
                <w:color w:val="auto"/>
              </w:rPr>
              <w:t>Name:</w:t>
            </w:r>
          </w:p>
        </w:tc>
        <w:tc>
          <w:tcPr>
            <w:tcW w:w="660" w:type="dxa"/>
            <w:vAlign w:val="bottom"/>
            <w:tcBorders>
              <w:top w:val="single" w:sz="8" w:color="auto"/>
            </w:tcBorders>
          </w:tcPr>
          <w:p>
            <w:pPr>
              <w:spacing w:after="0"/>
              <w:rPr>
                <w:sz w:val="16"/>
                <w:szCs w:val="16"/>
                <w:color w:val="auto"/>
              </w:rPr>
            </w:pPr>
          </w:p>
        </w:tc>
        <w:tc>
          <w:tcPr>
            <w:tcW w:w="4380" w:type="dxa"/>
            <w:vAlign w:val="bottom"/>
            <w:tcBorders>
              <w:top w:val="single" w:sz="8" w:color="auto"/>
            </w:tcBorders>
          </w:tcPr>
          <w:p>
            <w:pPr>
              <w:spacing w:after="0"/>
              <w:rPr>
                <w:sz w:val="16"/>
                <w:szCs w:val="16"/>
                <w:color w:val="auto"/>
              </w:rPr>
            </w:pPr>
          </w:p>
        </w:tc>
      </w:tr>
      <w:tr>
        <w:trPr>
          <w:trHeight w:val="230"/>
        </w:trPr>
        <w:tc>
          <w:tcPr>
            <w:tcW w:w="6860" w:type="dxa"/>
            <w:vAlign w:val="bottom"/>
            <w:gridSpan w:val="2"/>
          </w:tcPr>
          <w:p>
            <w:pPr>
              <w:ind w:left="5640"/>
              <w:spacing w:after="0"/>
              <w:rPr>
                <w:sz w:val="20"/>
                <w:szCs w:val="20"/>
                <w:color w:val="auto"/>
              </w:rPr>
            </w:pPr>
            <w:r>
              <w:rPr>
                <w:rFonts w:ascii="Arial" w:cs="Arial" w:eastAsia="Arial" w:hAnsi="Arial"/>
                <w:sz w:val="18"/>
                <w:szCs w:val="18"/>
                <w:color w:val="auto"/>
              </w:rPr>
              <w:t>Title:</w:t>
            </w:r>
          </w:p>
        </w:tc>
        <w:tc>
          <w:tcPr>
            <w:tcW w:w="4380" w:type="dxa"/>
            <w:vAlign w:val="bottom"/>
          </w:tcPr>
          <w:p>
            <w:pPr>
              <w:spacing w:after="0"/>
              <w:rPr>
                <w:sz w:val="20"/>
                <w:szCs w:val="20"/>
                <w:color w:val="auto"/>
              </w:rPr>
            </w:pPr>
          </w:p>
        </w:tc>
      </w:tr>
      <w:tr>
        <w:trPr>
          <w:trHeight w:val="439"/>
        </w:trPr>
        <w:tc>
          <w:tcPr>
            <w:tcW w:w="62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34</w:t>
            </w:r>
          </w:p>
        </w:tc>
        <w:tc>
          <w:tcPr>
            <w:tcW w:w="66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65" w:right="339" w:bottom="1440" w:gutter="0" w:footer="0" w:header="0"/>
        </w:sectPr>
      </w:pPr>
    </w:p>
    <w:bookmarkStart w:id="72" w:name="page73"/>
    <w:bookmarkEnd w:id="72"/>
    <w:p>
      <w:pPr>
        <w:jc w:val="right"/>
        <w:spacing w:after="0"/>
        <w:rPr>
          <w:sz w:val="20"/>
          <w:szCs w:val="20"/>
          <w:color w:val="auto"/>
        </w:rPr>
      </w:pPr>
      <w:r>
        <w:rPr>
          <w:rFonts w:ascii="Arial" w:cs="Arial" w:eastAsia="Arial" w:hAnsi="Arial"/>
          <w:sz w:val="18"/>
          <w:szCs w:val="18"/>
          <w:b w:val="1"/>
          <w:bCs w:val="1"/>
          <w:color w:val="auto"/>
        </w:rPr>
        <w:t>Exhibit 4.5</w:t>
      </w:r>
    </w:p>
    <w:p>
      <w:pPr>
        <w:spacing w:after="0" w:line="229" w:lineRule="exact"/>
        <w:rPr>
          <w:sz w:val="20"/>
          <w:szCs w:val="20"/>
          <w:color w:val="auto"/>
        </w:rPr>
      </w:pPr>
    </w:p>
    <w:p>
      <w:pPr>
        <w:jc w:val="center"/>
        <w:ind w:right="1120"/>
        <w:spacing w:after="0"/>
        <w:rPr>
          <w:sz w:val="20"/>
          <w:szCs w:val="20"/>
          <w:color w:val="auto"/>
        </w:rPr>
      </w:pPr>
      <w:r>
        <w:rPr>
          <w:rFonts w:ascii="Arial" w:cs="Arial" w:eastAsia="Arial" w:hAnsi="Arial"/>
          <w:sz w:val="17"/>
          <w:szCs w:val="17"/>
          <w:color w:val="auto"/>
        </w:rPr>
        <w:t>MICROBOT MEDICAL INC.</w:t>
      </w:r>
    </w:p>
    <w:p>
      <w:pPr>
        <w:spacing w:after="0" w:line="237" w:lineRule="exact"/>
        <w:rPr>
          <w:sz w:val="20"/>
          <w:szCs w:val="20"/>
          <w:color w:val="auto"/>
        </w:rPr>
      </w:pPr>
    </w:p>
    <w:p>
      <w:pPr>
        <w:ind w:left="4280"/>
        <w:spacing w:after="0"/>
        <w:rPr>
          <w:sz w:val="20"/>
          <w:szCs w:val="20"/>
          <w:color w:val="auto"/>
        </w:rPr>
      </w:pPr>
      <w:r>
        <w:rPr>
          <w:rFonts w:ascii="Arial" w:cs="Arial" w:eastAsia="Arial" w:hAnsi="Arial"/>
          <w:sz w:val="18"/>
          <w:szCs w:val="18"/>
          <w:color w:val="auto"/>
        </w:rPr>
        <w:t>Issuer</w:t>
      </w:r>
    </w:p>
    <w:p>
      <w:pPr>
        <w:spacing w:after="0" w:line="225"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ind w:left="4660" w:hanging="955"/>
        <w:spacing w:after="0"/>
        <w:tabs>
          <w:tab w:leader="none" w:pos="466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Trustee</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INDENTURE</w:t>
      </w:r>
    </w:p>
    <w:p>
      <w:pPr>
        <w:spacing w:after="0" w:line="225" w:lineRule="exact"/>
        <w:rPr>
          <w:sz w:val="20"/>
          <w:szCs w:val="20"/>
          <w:color w:val="auto"/>
        </w:rPr>
      </w:pPr>
    </w:p>
    <w:p>
      <w:pPr>
        <w:ind w:left="3560"/>
        <w:spacing w:after="0"/>
        <w:tabs>
          <w:tab w:leader="none" w:pos="53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25" w:lineRule="exact"/>
        <w:rPr>
          <w:sz w:val="20"/>
          <w:szCs w:val="20"/>
          <w:color w:val="auto"/>
        </w:rPr>
      </w:pPr>
    </w:p>
    <w:p>
      <w:pPr>
        <w:ind w:left="3440"/>
        <w:spacing w:after="0"/>
        <w:rPr>
          <w:sz w:val="20"/>
          <w:szCs w:val="20"/>
          <w:color w:val="auto"/>
        </w:rPr>
      </w:pPr>
      <w:r>
        <w:rPr>
          <w:rFonts w:ascii="Arial" w:cs="Arial" w:eastAsia="Arial" w:hAnsi="Arial"/>
          <w:sz w:val="18"/>
          <w:szCs w:val="18"/>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288925</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73" w:name="page74"/>
    <w:bookmarkEnd w:id="73"/>
    <w:tbl>
      <w:tblPr>
        <w:tblLayout w:type="fixed"/>
        <w:tblInd w:w="0" w:type="dxa"/>
        <w:tblCellMar>
          <w:top w:w="0" w:type="dxa"/>
          <w:left w:w="0" w:type="dxa"/>
          <w:bottom w:w="0" w:type="dxa"/>
          <w:right w:w="0" w:type="dxa"/>
        </w:tblCellMar>
      </w:tblPr>
      <w:tr>
        <w:trPr>
          <w:trHeight w:val="234"/>
        </w:trPr>
        <w:tc>
          <w:tcPr>
            <w:tcW w:w="4140" w:type="dxa"/>
            <w:vAlign w:val="bottom"/>
          </w:tcPr>
          <w:p>
            <w:pPr>
              <w:spacing w:after="0"/>
              <w:rPr>
                <w:sz w:val="20"/>
                <w:szCs w:val="20"/>
                <w:color w:val="auto"/>
              </w:rPr>
            </w:pPr>
          </w:p>
        </w:tc>
        <w:tc>
          <w:tcPr>
            <w:tcW w:w="7100" w:type="dxa"/>
            <w:vAlign w:val="bottom"/>
            <w:gridSpan w:val="3"/>
          </w:tcPr>
          <w:p>
            <w:pPr>
              <w:jc w:val="right"/>
              <w:ind w:right="4190"/>
              <w:spacing w:after="0"/>
              <w:rPr>
                <w:sz w:val="20"/>
                <w:szCs w:val="20"/>
                <w:color w:val="auto"/>
              </w:rPr>
            </w:pPr>
            <w:r>
              <w:rPr>
                <w:rFonts w:ascii="Arial" w:cs="Arial" w:eastAsia="Arial" w:hAnsi="Arial"/>
                <w:sz w:val="18"/>
                <w:szCs w:val="18"/>
                <w:b w:val="1"/>
                <w:bCs w:val="1"/>
                <w:color w:val="auto"/>
              </w:rPr>
              <w:t>CROSS-REFERENCE TABLE (1)</w:t>
            </w:r>
          </w:p>
        </w:tc>
      </w:tr>
      <w:tr>
        <w:trPr>
          <w:trHeight w:val="414"/>
        </w:trPr>
        <w:tc>
          <w:tcPr>
            <w:tcW w:w="414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b w:val="1"/>
                <w:bCs w:val="1"/>
                <w:color w:val="auto"/>
              </w:rPr>
              <w:t>Section of</w:t>
            </w:r>
          </w:p>
        </w:tc>
      </w:tr>
      <w:tr>
        <w:trPr>
          <w:trHeight w:val="241"/>
        </w:trPr>
        <w:tc>
          <w:tcPr>
            <w:tcW w:w="4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3"/>
              </w:rPr>
              <w:t>Section of Trust Indenture Act of 1939, as Amended</w:t>
            </w:r>
          </w:p>
        </w:tc>
        <w:tc>
          <w:tcPr>
            <w:tcW w:w="56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Indenture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310(a).</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7.09</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310(b).</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7.08</w:t>
            </w:r>
          </w:p>
        </w:tc>
      </w:tr>
      <w:tr>
        <w:trPr>
          <w:trHeight w:val="216"/>
        </w:trPr>
        <w:tc>
          <w:tcPr>
            <w:tcW w:w="4140" w:type="dxa"/>
            <w:vAlign w:val="bottom"/>
            <w:shd w:val="clear" w:color="auto" w:fill="CCEEFF"/>
          </w:tcPr>
          <w:p>
            <w:pPr>
              <w:spacing w:after="0"/>
              <w:rPr>
                <w:sz w:val="18"/>
                <w:szCs w:val="18"/>
                <w:color w:val="auto"/>
              </w:rPr>
            </w:pP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7.10</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310(c).</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311(a).</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7.13(a)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311(b).</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7.13(b)</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311(c).</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312(a)</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312(b).</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5.02(b)</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312(c).</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5.02(c)</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313(a).</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5.04(a)</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313(b).</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5.04(a)</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313(c).</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5.04(a)</w:t>
            </w:r>
          </w:p>
        </w:tc>
      </w:tr>
      <w:tr>
        <w:trPr>
          <w:trHeight w:val="216"/>
        </w:trPr>
        <w:tc>
          <w:tcPr>
            <w:tcW w:w="414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5.04(b)</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313(d).</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5.04(b)</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314(a).</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5.03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314(b).</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314(c).</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314(d).</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314(e).</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13.06</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314(f).</w:t>
            </w: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Inapplicable</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315(a).</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7.01(a)</w:t>
            </w:r>
          </w:p>
        </w:tc>
      </w:tr>
      <w:tr>
        <w:trPr>
          <w:trHeight w:val="216"/>
        </w:trPr>
        <w:tc>
          <w:tcPr>
            <w:tcW w:w="4140" w:type="dxa"/>
            <w:vAlign w:val="bottom"/>
            <w:shd w:val="clear" w:color="auto" w:fill="CCEEFF"/>
          </w:tcPr>
          <w:p>
            <w:pPr>
              <w:spacing w:after="0"/>
              <w:rPr>
                <w:sz w:val="18"/>
                <w:szCs w:val="18"/>
                <w:color w:val="auto"/>
              </w:rPr>
            </w:pP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315(b).</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315(c).</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7.01</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315(d).</w:t>
            </w: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7.01(b)</w:t>
            </w:r>
          </w:p>
        </w:tc>
      </w:tr>
      <w:tr>
        <w:trPr>
          <w:trHeight w:val="216"/>
        </w:trPr>
        <w:tc>
          <w:tcPr>
            <w:tcW w:w="4140" w:type="dxa"/>
            <w:vAlign w:val="bottom"/>
            <w:shd w:val="clear" w:color="auto" w:fill="CCEEFF"/>
          </w:tcPr>
          <w:p>
            <w:pPr>
              <w:spacing w:after="0"/>
              <w:rPr>
                <w:sz w:val="18"/>
                <w:szCs w:val="18"/>
                <w:color w:val="auto"/>
              </w:rPr>
            </w:pPr>
          </w:p>
        </w:tc>
        <w:tc>
          <w:tcPr>
            <w:tcW w:w="5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7.01(c)</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315(e).</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6.07</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316(a).</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6.06</w:t>
            </w:r>
          </w:p>
        </w:tc>
      </w:tr>
      <w:tr>
        <w:trPr>
          <w:trHeight w:val="216"/>
        </w:trPr>
        <w:tc>
          <w:tcPr>
            <w:tcW w:w="4140" w:type="dxa"/>
            <w:vAlign w:val="bottom"/>
          </w:tcPr>
          <w:p>
            <w:pPr>
              <w:spacing w:after="0"/>
              <w:rPr>
                <w:sz w:val="18"/>
                <w:szCs w:val="18"/>
                <w:color w:val="auto"/>
              </w:rPr>
            </w:pP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8.04</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316(b).</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6.04</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316(c).</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8.01</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317(a).</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6.02</w:t>
            </w: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317(b).</w:t>
            </w:r>
          </w:p>
        </w:tc>
        <w:tc>
          <w:tcPr>
            <w:tcW w:w="7100" w:type="dxa"/>
            <w:vAlign w:val="bottom"/>
            <w:gridSpan w:val="3"/>
          </w:tcPr>
          <w:p>
            <w:pPr>
              <w:jc w:val="right"/>
              <w:spacing w:after="0"/>
              <w:rPr>
                <w:sz w:val="20"/>
                <w:szCs w:val="20"/>
                <w:color w:val="auto"/>
              </w:rPr>
            </w:pPr>
            <w:r>
              <w:rPr>
                <w:rFonts w:ascii="Arial" w:cs="Arial" w:eastAsia="Arial" w:hAnsi="Arial"/>
                <w:sz w:val="18"/>
                <w:szCs w:val="18"/>
                <w:color w:val="auto"/>
              </w:rPr>
              <w:t>4.03</w:t>
            </w: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318(a).</w:t>
            </w:r>
          </w:p>
        </w:tc>
        <w:tc>
          <w:tcPr>
            <w:tcW w:w="71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13.08</w:t>
            </w:r>
          </w:p>
        </w:tc>
      </w:tr>
    </w:tbl>
    <w:p>
      <w:pPr>
        <w:spacing w:after="0" w:line="202" w:lineRule="exact"/>
        <w:rPr>
          <w:sz w:val="20"/>
          <w:szCs w:val="20"/>
          <w:color w:val="auto"/>
        </w:rPr>
      </w:pPr>
    </w:p>
    <w:p>
      <w:pPr>
        <w:ind w:left="340" w:hanging="332"/>
        <w:spacing w:after="0" w:line="277" w:lineRule="auto"/>
        <w:tabs>
          <w:tab w:leader="none" w:pos="34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This Cross-Reference Table does not constitute part of the Indenture and shall not have any bearing on the interpretation of any of its terms or provisions.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74" w:name="page75"/>
    <w:bookmarkEnd w:id="74"/>
    <w:tbl>
      <w:tblPr>
        <w:tblLayout w:type="fixed"/>
        <w:tblInd w:w="0" w:type="dxa"/>
        <w:tblCellMar>
          <w:top w:w="0" w:type="dxa"/>
          <w:left w:w="0" w:type="dxa"/>
          <w:bottom w:w="0" w:type="dxa"/>
          <w:right w:w="0" w:type="dxa"/>
        </w:tblCellMar>
      </w:tblPr>
      <w:tr>
        <w:trPr>
          <w:trHeight w:val="234"/>
        </w:trPr>
        <w:tc>
          <w:tcPr>
            <w:tcW w:w="1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140" w:type="dxa"/>
            <w:vAlign w:val="bottom"/>
          </w:tcPr>
          <w:p>
            <w:pPr>
              <w:ind w:left="3080"/>
              <w:spacing w:after="0"/>
              <w:rPr>
                <w:sz w:val="20"/>
                <w:szCs w:val="20"/>
                <w:color w:val="auto"/>
              </w:rPr>
            </w:pPr>
            <w:r>
              <w:rPr>
                <w:rFonts w:ascii="Arial" w:cs="Arial" w:eastAsia="Arial" w:hAnsi="Arial"/>
                <w:sz w:val="18"/>
                <w:szCs w:val="18"/>
                <w:b w:val="1"/>
                <w:bCs w:val="1"/>
                <w:color w:val="auto"/>
              </w:rPr>
              <w:t>TABLE OF CONTENTS (2)</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3"/>
        </w:trPr>
        <w:tc>
          <w:tcPr>
            <w:tcW w:w="1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140" w:type="dxa"/>
            <w:vAlign w:val="bottom"/>
          </w:tcPr>
          <w:p>
            <w:pPr>
              <w:spacing w:after="0"/>
              <w:rPr>
                <w:sz w:val="24"/>
                <w:szCs w:val="24"/>
                <w:color w:val="auto"/>
              </w:rPr>
            </w:pPr>
          </w:p>
        </w:tc>
        <w:tc>
          <w:tcPr>
            <w:tcW w:w="6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I</w:t>
            </w:r>
          </w:p>
        </w:tc>
        <w:tc>
          <w:tcPr>
            <w:tcW w:w="9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DEFINITIONS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1.01</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Definitions of Terms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4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II</w:t>
            </w:r>
          </w:p>
        </w:tc>
        <w:tc>
          <w:tcPr>
            <w:tcW w:w="94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ISSUE, DESCRIPTION, TERMS, EXECUTION, REGISTRATION AND EXCHANGE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2.01</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Designation and Terms of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2.02</w:t>
            </w:r>
          </w:p>
        </w:tc>
        <w:tc>
          <w:tcPr>
            <w:tcW w:w="9140" w:type="dxa"/>
            <w:vAlign w:val="bottom"/>
          </w:tcPr>
          <w:p>
            <w:pPr>
              <w:ind w:left="500"/>
              <w:spacing w:after="0"/>
              <w:rPr>
                <w:sz w:val="20"/>
                <w:szCs w:val="20"/>
                <w:color w:val="auto"/>
              </w:rPr>
            </w:pPr>
            <w:r>
              <w:rPr>
                <w:rFonts w:ascii="Arial" w:cs="Arial" w:eastAsia="Arial" w:hAnsi="Arial"/>
                <w:sz w:val="18"/>
                <w:szCs w:val="18"/>
                <w:color w:val="auto"/>
              </w:rPr>
              <w:t>Form of Securities and Trustee’s Certificate</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2.03</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Denominations: Provisions for Payment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2.04</w:t>
            </w:r>
          </w:p>
        </w:tc>
        <w:tc>
          <w:tcPr>
            <w:tcW w:w="9140" w:type="dxa"/>
            <w:vAlign w:val="bottom"/>
          </w:tcPr>
          <w:p>
            <w:pPr>
              <w:ind w:left="500"/>
              <w:spacing w:after="0"/>
              <w:rPr>
                <w:sz w:val="20"/>
                <w:szCs w:val="20"/>
                <w:color w:val="auto"/>
              </w:rPr>
            </w:pPr>
            <w:r>
              <w:rPr>
                <w:rFonts w:ascii="Arial" w:cs="Arial" w:eastAsia="Arial" w:hAnsi="Arial"/>
                <w:sz w:val="18"/>
                <w:szCs w:val="18"/>
                <w:color w:val="auto"/>
              </w:rPr>
              <w:t>Execution and Authentications</w:t>
            </w:r>
          </w:p>
        </w:tc>
        <w:tc>
          <w:tcPr>
            <w:tcW w:w="64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2.05</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Registration of Transfer and Exchange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2.06</w:t>
            </w:r>
          </w:p>
        </w:tc>
        <w:tc>
          <w:tcPr>
            <w:tcW w:w="9140" w:type="dxa"/>
            <w:vAlign w:val="bottom"/>
          </w:tcPr>
          <w:p>
            <w:pPr>
              <w:ind w:left="500"/>
              <w:spacing w:after="0"/>
              <w:rPr>
                <w:sz w:val="20"/>
                <w:szCs w:val="20"/>
                <w:color w:val="auto"/>
              </w:rPr>
            </w:pPr>
            <w:r>
              <w:rPr>
                <w:rFonts w:ascii="Arial" w:cs="Arial" w:eastAsia="Arial" w:hAnsi="Arial"/>
                <w:sz w:val="18"/>
                <w:szCs w:val="18"/>
                <w:color w:val="auto"/>
              </w:rPr>
              <w:t>Temporary Securities</w:t>
            </w:r>
          </w:p>
        </w:tc>
        <w:tc>
          <w:tcPr>
            <w:tcW w:w="64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2.07</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Mutilated, Destroyed, Lost or Stolen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2.08</w:t>
            </w:r>
          </w:p>
        </w:tc>
        <w:tc>
          <w:tcPr>
            <w:tcW w:w="9140" w:type="dxa"/>
            <w:vAlign w:val="bottom"/>
          </w:tcPr>
          <w:p>
            <w:pPr>
              <w:ind w:left="500"/>
              <w:spacing w:after="0"/>
              <w:rPr>
                <w:sz w:val="20"/>
                <w:szCs w:val="20"/>
                <w:color w:val="auto"/>
              </w:rPr>
            </w:pPr>
            <w:r>
              <w:rPr>
                <w:rFonts w:ascii="Arial" w:cs="Arial" w:eastAsia="Arial" w:hAnsi="Arial"/>
                <w:sz w:val="18"/>
                <w:szCs w:val="18"/>
                <w:color w:val="auto"/>
              </w:rPr>
              <w:t>Cancellation</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2.09</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Benefits of Indenture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2.10</w:t>
            </w:r>
          </w:p>
        </w:tc>
        <w:tc>
          <w:tcPr>
            <w:tcW w:w="9140" w:type="dxa"/>
            <w:vAlign w:val="bottom"/>
          </w:tcPr>
          <w:p>
            <w:pPr>
              <w:ind w:left="500"/>
              <w:spacing w:after="0"/>
              <w:rPr>
                <w:sz w:val="20"/>
                <w:szCs w:val="20"/>
                <w:color w:val="auto"/>
              </w:rPr>
            </w:pPr>
            <w:r>
              <w:rPr>
                <w:rFonts w:ascii="Arial" w:cs="Arial" w:eastAsia="Arial" w:hAnsi="Arial"/>
                <w:sz w:val="18"/>
                <w:szCs w:val="18"/>
                <w:color w:val="auto"/>
              </w:rPr>
              <w:t>Authenticating Agent</w:t>
            </w:r>
          </w:p>
        </w:tc>
        <w:tc>
          <w:tcPr>
            <w:tcW w:w="64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2.11</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Global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4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III</w:t>
            </w:r>
          </w:p>
        </w:tc>
        <w:tc>
          <w:tcPr>
            <w:tcW w:w="942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REDEMPTION OF SECURITIES AND SINKING FUND PROVISIONS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3.01</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Redemption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3.02</w:t>
            </w:r>
          </w:p>
        </w:tc>
        <w:tc>
          <w:tcPr>
            <w:tcW w:w="9140" w:type="dxa"/>
            <w:vAlign w:val="bottom"/>
          </w:tcPr>
          <w:p>
            <w:pPr>
              <w:ind w:left="500"/>
              <w:spacing w:after="0"/>
              <w:rPr>
                <w:sz w:val="20"/>
                <w:szCs w:val="20"/>
                <w:color w:val="auto"/>
              </w:rPr>
            </w:pPr>
            <w:r>
              <w:rPr>
                <w:rFonts w:ascii="Arial" w:cs="Arial" w:eastAsia="Arial" w:hAnsi="Arial"/>
                <w:sz w:val="18"/>
                <w:szCs w:val="18"/>
                <w:color w:val="auto"/>
              </w:rPr>
              <w:t>Notice of Redemption</w:t>
            </w:r>
          </w:p>
        </w:tc>
        <w:tc>
          <w:tcPr>
            <w:tcW w:w="64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3.03</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Payment Upon Redemption</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3.04</w:t>
            </w:r>
          </w:p>
        </w:tc>
        <w:tc>
          <w:tcPr>
            <w:tcW w:w="9140" w:type="dxa"/>
            <w:vAlign w:val="bottom"/>
          </w:tcPr>
          <w:p>
            <w:pPr>
              <w:ind w:left="500"/>
              <w:spacing w:after="0"/>
              <w:rPr>
                <w:sz w:val="20"/>
                <w:szCs w:val="20"/>
                <w:color w:val="auto"/>
              </w:rPr>
            </w:pPr>
            <w:r>
              <w:rPr>
                <w:rFonts w:ascii="Arial" w:cs="Arial" w:eastAsia="Arial" w:hAnsi="Arial"/>
                <w:sz w:val="18"/>
                <w:szCs w:val="18"/>
                <w:color w:val="auto"/>
              </w:rPr>
              <w:t>Sinking Fund</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3.05</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Satisfaction of Sinking Fund Payments with Securities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3.06</w:t>
            </w:r>
          </w:p>
        </w:tc>
        <w:tc>
          <w:tcPr>
            <w:tcW w:w="9140" w:type="dxa"/>
            <w:vAlign w:val="bottom"/>
          </w:tcPr>
          <w:p>
            <w:pPr>
              <w:ind w:left="500"/>
              <w:spacing w:after="0"/>
              <w:rPr>
                <w:sz w:val="20"/>
                <w:szCs w:val="20"/>
                <w:color w:val="auto"/>
              </w:rPr>
            </w:pPr>
            <w:r>
              <w:rPr>
                <w:rFonts w:ascii="Arial" w:cs="Arial" w:eastAsia="Arial" w:hAnsi="Arial"/>
                <w:sz w:val="18"/>
                <w:szCs w:val="18"/>
                <w:color w:val="auto"/>
              </w:rPr>
              <w:t>Redemption of Securities for Sinking Fund</w:t>
            </w:r>
          </w:p>
        </w:tc>
        <w:tc>
          <w:tcPr>
            <w:tcW w:w="64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IV</w:t>
            </w:r>
          </w:p>
        </w:tc>
        <w:tc>
          <w:tcPr>
            <w:tcW w:w="9420" w:type="dxa"/>
            <w:vAlign w:val="bottom"/>
            <w:gridSpan w:val="2"/>
          </w:tcPr>
          <w:p>
            <w:pPr>
              <w:ind w:left="260"/>
              <w:spacing w:after="0"/>
              <w:rPr>
                <w:sz w:val="20"/>
                <w:szCs w:val="20"/>
                <w:color w:val="auto"/>
              </w:rPr>
            </w:pPr>
            <w:r>
              <w:rPr>
                <w:rFonts w:ascii="Arial" w:cs="Arial" w:eastAsia="Arial" w:hAnsi="Arial"/>
                <w:sz w:val="18"/>
                <w:szCs w:val="18"/>
                <w:color w:val="auto"/>
              </w:rPr>
              <w:t>COVENANTS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4.01</w:t>
            </w:r>
          </w:p>
        </w:tc>
        <w:tc>
          <w:tcPr>
            <w:tcW w:w="9140" w:type="dxa"/>
            <w:vAlign w:val="bottom"/>
          </w:tcPr>
          <w:p>
            <w:pPr>
              <w:ind w:left="500"/>
              <w:spacing w:after="0"/>
              <w:rPr>
                <w:sz w:val="20"/>
                <w:szCs w:val="20"/>
                <w:color w:val="auto"/>
              </w:rPr>
            </w:pPr>
            <w:r>
              <w:rPr>
                <w:rFonts w:ascii="Arial" w:cs="Arial" w:eastAsia="Arial" w:hAnsi="Arial"/>
                <w:sz w:val="18"/>
                <w:szCs w:val="18"/>
                <w:color w:val="auto"/>
              </w:rPr>
              <w:t>Payment of Principal, Premium and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4.02</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Maintenance of Office or Agency</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4.03</w:t>
            </w:r>
          </w:p>
        </w:tc>
        <w:tc>
          <w:tcPr>
            <w:tcW w:w="9140" w:type="dxa"/>
            <w:vAlign w:val="bottom"/>
          </w:tcPr>
          <w:p>
            <w:pPr>
              <w:ind w:left="500"/>
              <w:spacing w:after="0"/>
              <w:rPr>
                <w:sz w:val="20"/>
                <w:szCs w:val="20"/>
                <w:color w:val="auto"/>
              </w:rPr>
            </w:pPr>
            <w:r>
              <w:rPr>
                <w:rFonts w:ascii="Arial" w:cs="Arial" w:eastAsia="Arial" w:hAnsi="Arial"/>
                <w:sz w:val="18"/>
                <w:szCs w:val="18"/>
                <w:color w:val="auto"/>
              </w:rPr>
              <w:t>Paying Agents</w:t>
            </w:r>
          </w:p>
        </w:tc>
        <w:tc>
          <w:tcPr>
            <w:tcW w:w="64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4.04</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Appointment to Fill Vacancy in Office of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4.05</w:t>
            </w:r>
          </w:p>
        </w:tc>
        <w:tc>
          <w:tcPr>
            <w:tcW w:w="9140" w:type="dxa"/>
            <w:vAlign w:val="bottom"/>
          </w:tcPr>
          <w:p>
            <w:pPr>
              <w:ind w:left="500"/>
              <w:spacing w:after="0"/>
              <w:rPr>
                <w:sz w:val="20"/>
                <w:szCs w:val="20"/>
                <w:color w:val="auto"/>
              </w:rPr>
            </w:pPr>
            <w:r>
              <w:rPr>
                <w:rFonts w:ascii="Arial" w:cs="Arial" w:eastAsia="Arial" w:hAnsi="Arial"/>
                <w:sz w:val="18"/>
                <w:szCs w:val="18"/>
                <w:color w:val="auto"/>
              </w:rPr>
              <w:t>Compliance with Consolidation Provisions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18"/>
                <w:szCs w:val="18"/>
                <w:color w:val="auto"/>
              </w:rPr>
            </w:pPr>
          </w:p>
        </w:tc>
        <w:tc>
          <w:tcPr>
            <w:tcW w:w="9420" w:type="dxa"/>
            <w:vAlign w:val="bottom"/>
            <w:gridSpan w:val="2"/>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ARTICLE V</w:t>
            </w:r>
          </w:p>
        </w:tc>
        <w:tc>
          <w:tcPr>
            <w:tcW w:w="9420" w:type="dxa"/>
            <w:vAlign w:val="bottom"/>
            <w:gridSpan w:val="2"/>
          </w:tcPr>
          <w:p>
            <w:pPr>
              <w:ind w:left="160"/>
              <w:spacing w:after="0"/>
              <w:rPr>
                <w:sz w:val="20"/>
                <w:szCs w:val="20"/>
                <w:color w:val="auto"/>
              </w:rPr>
            </w:pPr>
            <w:r>
              <w:rPr>
                <w:rFonts w:ascii="Arial" w:cs="Arial" w:eastAsia="Arial" w:hAnsi="Arial"/>
                <w:sz w:val="18"/>
                <w:szCs w:val="18"/>
                <w:color w:val="auto"/>
              </w:rPr>
              <w:t>SECURITYHOLDERS’ LISTS AND REPORTS BY THE COMPANY AND THE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spacing w:after="0"/>
              <w:rPr>
                <w:sz w:val="18"/>
                <w:szCs w:val="18"/>
                <w:color w:val="auto"/>
              </w:rPr>
            </w:pPr>
          </w:p>
        </w:tc>
        <w:tc>
          <w:tcPr>
            <w:tcW w:w="9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5.01</w:t>
            </w:r>
          </w:p>
        </w:tc>
        <w:tc>
          <w:tcPr>
            <w:tcW w:w="9140" w:type="dxa"/>
            <w:vAlign w:val="bottom"/>
          </w:tcPr>
          <w:p>
            <w:pPr>
              <w:ind w:left="500"/>
              <w:spacing w:after="0"/>
              <w:rPr>
                <w:sz w:val="20"/>
                <w:szCs w:val="20"/>
                <w:color w:val="auto"/>
              </w:rPr>
            </w:pPr>
            <w:r>
              <w:rPr>
                <w:rFonts w:ascii="Arial" w:cs="Arial" w:eastAsia="Arial" w:hAnsi="Arial"/>
                <w:sz w:val="18"/>
                <w:szCs w:val="18"/>
                <w:color w:val="auto"/>
              </w:rPr>
              <w:t>Company to Furnish Trustee Names and Addresses of Securityholders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5.02</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Preservation of Information; Communications with Securityholders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5.03</w:t>
            </w:r>
          </w:p>
        </w:tc>
        <w:tc>
          <w:tcPr>
            <w:tcW w:w="9140" w:type="dxa"/>
            <w:vAlign w:val="bottom"/>
          </w:tcPr>
          <w:p>
            <w:pPr>
              <w:ind w:left="500"/>
              <w:spacing w:after="0"/>
              <w:rPr>
                <w:sz w:val="20"/>
                <w:szCs w:val="20"/>
                <w:color w:val="auto"/>
              </w:rPr>
            </w:pPr>
            <w:r>
              <w:rPr>
                <w:rFonts w:ascii="Arial" w:cs="Arial" w:eastAsia="Arial" w:hAnsi="Arial"/>
                <w:sz w:val="18"/>
                <w:szCs w:val="18"/>
                <w:color w:val="auto"/>
              </w:rPr>
              <w:t>Reports by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5.04</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Reports by the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9420" w:type="dxa"/>
            <w:vAlign w:val="bottom"/>
            <w:gridSpan w:val="2"/>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VI</w:t>
            </w:r>
          </w:p>
        </w:tc>
        <w:tc>
          <w:tcPr>
            <w:tcW w:w="94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REMEDIES OF THE TRUSTEE AND SECURITYHOLDERS ON EVENT OF DEFAULT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6.01</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Events of Default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6.02</w:t>
            </w:r>
          </w:p>
        </w:tc>
        <w:tc>
          <w:tcPr>
            <w:tcW w:w="9140" w:type="dxa"/>
            <w:vAlign w:val="bottom"/>
          </w:tcPr>
          <w:p>
            <w:pPr>
              <w:ind w:left="500"/>
              <w:spacing w:after="0"/>
              <w:rPr>
                <w:sz w:val="20"/>
                <w:szCs w:val="20"/>
                <w:color w:val="auto"/>
              </w:rPr>
            </w:pPr>
            <w:r>
              <w:rPr>
                <w:rFonts w:ascii="Arial" w:cs="Arial" w:eastAsia="Arial" w:hAnsi="Arial"/>
                <w:sz w:val="18"/>
                <w:szCs w:val="18"/>
                <w:color w:val="auto"/>
              </w:rPr>
              <w:t>Collection of Indebtedness and Suits for Enforcement by Trustee</w:t>
            </w:r>
          </w:p>
        </w:tc>
        <w:tc>
          <w:tcPr>
            <w:tcW w:w="64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6.03</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Application of Moneys Collected</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6.04</w:t>
            </w:r>
          </w:p>
        </w:tc>
        <w:tc>
          <w:tcPr>
            <w:tcW w:w="9140" w:type="dxa"/>
            <w:vAlign w:val="bottom"/>
          </w:tcPr>
          <w:p>
            <w:pPr>
              <w:ind w:left="500"/>
              <w:spacing w:after="0"/>
              <w:rPr>
                <w:sz w:val="20"/>
                <w:szCs w:val="20"/>
                <w:color w:val="auto"/>
              </w:rPr>
            </w:pPr>
            <w:r>
              <w:rPr>
                <w:rFonts w:ascii="Arial" w:cs="Arial" w:eastAsia="Arial" w:hAnsi="Arial"/>
                <w:sz w:val="18"/>
                <w:szCs w:val="18"/>
                <w:color w:val="auto"/>
              </w:rPr>
              <w:t>Limitation on Suits</w:t>
            </w: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6.05</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Rights and Remedies Cumulative; Delay or Omission Not Waiver</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ind w:left="340"/>
              <w:spacing w:after="0"/>
              <w:rPr>
                <w:sz w:val="20"/>
                <w:szCs w:val="20"/>
                <w:color w:val="auto"/>
              </w:rPr>
            </w:pPr>
            <w:r>
              <w:rPr>
                <w:rFonts w:ascii="Arial" w:cs="Arial" w:eastAsia="Arial" w:hAnsi="Arial"/>
                <w:sz w:val="18"/>
                <w:szCs w:val="18"/>
                <w:color w:val="auto"/>
                <w:w w:val="91"/>
              </w:rPr>
              <w:t>SECTION 6.06</w:t>
            </w:r>
          </w:p>
        </w:tc>
        <w:tc>
          <w:tcPr>
            <w:tcW w:w="9140" w:type="dxa"/>
            <w:vAlign w:val="bottom"/>
          </w:tcPr>
          <w:p>
            <w:pPr>
              <w:ind w:left="500"/>
              <w:spacing w:after="0"/>
              <w:rPr>
                <w:sz w:val="20"/>
                <w:szCs w:val="20"/>
                <w:color w:val="auto"/>
              </w:rPr>
            </w:pPr>
            <w:r>
              <w:rPr>
                <w:rFonts w:ascii="Arial" w:cs="Arial" w:eastAsia="Arial" w:hAnsi="Arial"/>
                <w:sz w:val="18"/>
                <w:szCs w:val="18"/>
                <w:color w:val="auto"/>
              </w:rPr>
              <w:t>Control by Securityholders</w:t>
            </w:r>
          </w:p>
        </w:tc>
        <w:tc>
          <w:tcPr>
            <w:tcW w:w="64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6.07</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Undertaking to Pay Costs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80" w:type="dxa"/>
            <w:vAlign w:val="bottom"/>
            <w:shd w:val="clear" w:color="auto" w:fill="CCEEFF"/>
          </w:tcPr>
          <w:p>
            <w:pPr>
              <w:spacing w:after="0"/>
              <w:rPr>
                <w:sz w:val="20"/>
                <w:szCs w:val="20"/>
                <w:color w:val="auto"/>
              </w:rPr>
            </w:pPr>
            <w:r>
              <w:rPr>
                <w:rFonts w:ascii="Arial" w:cs="Arial" w:eastAsia="Arial" w:hAnsi="Arial"/>
                <w:sz w:val="18"/>
                <w:szCs w:val="18"/>
                <w:color w:val="auto"/>
              </w:rPr>
              <w:t>ARTICLE VII</w:t>
            </w:r>
          </w:p>
        </w:tc>
        <w:tc>
          <w:tcPr>
            <w:tcW w:w="280" w:type="dxa"/>
            <w:vAlign w:val="bottom"/>
            <w:shd w:val="clear" w:color="auto" w:fill="CCEEFF"/>
          </w:tcPr>
          <w:p>
            <w:pPr>
              <w:spacing w:after="0"/>
              <w:rPr>
                <w:sz w:val="18"/>
                <w:szCs w:val="18"/>
                <w:color w:val="auto"/>
              </w:rPr>
            </w:pPr>
          </w:p>
        </w:tc>
        <w:tc>
          <w:tcPr>
            <w:tcW w:w="9140" w:type="dxa"/>
            <w:vAlign w:val="bottom"/>
            <w:shd w:val="clear" w:color="auto" w:fill="CCEEFF"/>
          </w:tcPr>
          <w:p>
            <w:pPr>
              <w:spacing w:after="0"/>
              <w:rPr>
                <w:sz w:val="20"/>
                <w:szCs w:val="20"/>
                <w:color w:val="auto"/>
              </w:rPr>
            </w:pPr>
            <w:r>
              <w:rPr>
                <w:rFonts w:ascii="Arial" w:cs="Arial" w:eastAsia="Arial" w:hAnsi="Arial"/>
                <w:sz w:val="18"/>
                <w:szCs w:val="18"/>
                <w:color w:val="auto"/>
              </w:rPr>
              <w:t>CONCERNING THE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tcPr>
          <w:p>
            <w:pPr>
              <w:spacing w:after="0"/>
              <w:rPr>
                <w:sz w:val="18"/>
                <w:szCs w:val="18"/>
                <w:color w:val="auto"/>
              </w:rPr>
            </w:pPr>
          </w:p>
        </w:tc>
        <w:tc>
          <w:tcPr>
            <w:tcW w:w="9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w w:val="91"/>
              </w:rPr>
              <w:t>SECTION 7.01</w:t>
            </w:r>
          </w:p>
        </w:tc>
        <w:tc>
          <w:tcPr>
            <w:tcW w:w="9140" w:type="dxa"/>
            <w:vAlign w:val="bottom"/>
            <w:shd w:val="clear" w:color="auto" w:fill="CCEEFF"/>
          </w:tcPr>
          <w:p>
            <w:pPr>
              <w:ind w:left="500"/>
              <w:spacing w:after="0"/>
              <w:rPr>
                <w:sz w:val="20"/>
                <w:szCs w:val="20"/>
                <w:color w:val="auto"/>
              </w:rPr>
            </w:pPr>
            <w:r>
              <w:rPr>
                <w:rFonts w:ascii="Arial" w:cs="Arial" w:eastAsia="Arial" w:hAnsi="Arial"/>
                <w:sz w:val="18"/>
                <w:szCs w:val="18"/>
                <w:color w:val="auto"/>
              </w:rPr>
              <w:t>Certain Duties and Responsibilities of Trustee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1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140" w:type="dxa"/>
            <w:vAlign w:val="bottom"/>
            <w:tcBorders>
              <w:bottom w:val="single" w:sz="8" w:color="auto"/>
            </w:tcBorders>
          </w:tcPr>
          <w:p>
            <w:pPr>
              <w:ind w:left="4140"/>
              <w:spacing w:after="0"/>
              <w:rPr>
                <w:sz w:val="20"/>
                <w:szCs w:val="20"/>
                <w:color w:val="auto"/>
              </w:rPr>
            </w:pPr>
            <w:r>
              <w:rPr>
                <w:rFonts w:ascii="Arial" w:cs="Arial" w:eastAsia="Arial" w:hAnsi="Arial"/>
                <w:sz w:val="18"/>
                <w:szCs w:val="18"/>
                <w:color w:val="auto"/>
              </w:rPr>
              <w:t>i</w:t>
            </w:r>
          </w:p>
        </w:tc>
        <w:tc>
          <w:tcPr>
            <w:tcW w:w="6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8" w:right="339" w:bottom="1440" w:gutter="0" w:footer="0" w:header="0"/>
        </w:sectPr>
      </w:pPr>
    </w:p>
    <w:bookmarkStart w:id="75" w:name="page76"/>
    <w:bookmarkEnd w:id="7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Rights of Trustee</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7.03</w:t>
            </w:r>
          </w:p>
        </w:tc>
        <w:tc>
          <w:tcPr>
            <w:tcW w:w="7840" w:type="dxa"/>
            <w:vAlign w:val="bottom"/>
          </w:tcPr>
          <w:p>
            <w:pPr>
              <w:ind w:left="220"/>
              <w:spacing w:after="0"/>
              <w:rPr>
                <w:sz w:val="20"/>
                <w:szCs w:val="20"/>
                <w:color w:val="auto"/>
              </w:rPr>
            </w:pPr>
            <w:r>
              <w:rPr>
                <w:rFonts w:ascii="Arial" w:cs="Arial" w:eastAsia="Arial" w:hAnsi="Arial"/>
                <w:sz w:val="18"/>
                <w:szCs w:val="18"/>
                <w:color w:val="auto"/>
              </w:rPr>
              <w:t>Trustee Not Responsible for Recitals or Issuance of Securities</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7.04</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May Hold Securities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7.05</w:t>
            </w:r>
          </w:p>
        </w:tc>
        <w:tc>
          <w:tcPr>
            <w:tcW w:w="7840" w:type="dxa"/>
            <w:vAlign w:val="bottom"/>
          </w:tcPr>
          <w:p>
            <w:pPr>
              <w:ind w:left="220"/>
              <w:spacing w:after="0"/>
              <w:rPr>
                <w:sz w:val="20"/>
                <w:szCs w:val="20"/>
                <w:color w:val="auto"/>
              </w:rPr>
            </w:pPr>
            <w:r>
              <w:rPr>
                <w:rFonts w:ascii="Arial" w:cs="Arial" w:eastAsia="Arial" w:hAnsi="Arial"/>
                <w:sz w:val="18"/>
                <w:szCs w:val="18"/>
                <w:color w:val="auto"/>
              </w:rPr>
              <w:t>Moneys Held in Trust</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7.06</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Compensation and Reimbursement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7.07</w:t>
            </w:r>
          </w:p>
        </w:tc>
        <w:tc>
          <w:tcPr>
            <w:tcW w:w="7840" w:type="dxa"/>
            <w:vAlign w:val="bottom"/>
          </w:tcPr>
          <w:p>
            <w:pPr>
              <w:ind w:left="220"/>
              <w:spacing w:after="0"/>
              <w:rPr>
                <w:sz w:val="20"/>
                <w:szCs w:val="20"/>
                <w:color w:val="auto"/>
              </w:rPr>
            </w:pPr>
            <w:r>
              <w:rPr>
                <w:rFonts w:ascii="Arial" w:cs="Arial" w:eastAsia="Arial" w:hAnsi="Arial"/>
                <w:sz w:val="18"/>
                <w:szCs w:val="18"/>
                <w:color w:val="auto"/>
              </w:rPr>
              <w:t>Reliance on Officers’ Certificate</w:t>
            </w:r>
          </w:p>
        </w:tc>
        <w:tc>
          <w:tcPr>
            <w:tcW w:w="1660" w:type="dxa"/>
            <w:vAlign w:val="bottom"/>
          </w:tcPr>
          <w:p>
            <w:pPr>
              <w:jc w:val="right"/>
              <w:spacing w:after="0"/>
              <w:rPr>
                <w:sz w:val="20"/>
                <w:szCs w:val="20"/>
                <w:color w:val="auto"/>
              </w:rPr>
            </w:pPr>
            <w:r>
              <w:rPr>
                <w:rFonts w:ascii="Arial" w:cs="Arial" w:eastAsia="Arial" w:hAnsi="Arial"/>
                <w:sz w:val="18"/>
                <w:szCs w:val="18"/>
                <w:color w:val="auto"/>
              </w:rPr>
              <w:t>22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7.08</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Disqualification; Conflicting Interests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7.09</w:t>
            </w:r>
          </w:p>
        </w:tc>
        <w:tc>
          <w:tcPr>
            <w:tcW w:w="7840" w:type="dxa"/>
            <w:vAlign w:val="bottom"/>
          </w:tcPr>
          <w:p>
            <w:pPr>
              <w:ind w:left="220"/>
              <w:spacing w:after="0"/>
              <w:rPr>
                <w:sz w:val="20"/>
                <w:szCs w:val="20"/>
                <w:color w:val="auto"/>
              </w:rPr>
            </w:pPr>
            <w:r>
              <w:rPr>
                <w:rFonts w:ascii="Arial" w:cs="Arial" w:eastAsia="Arial" w:hAnsi="Arial"/>
                <w:sz w:val="18"/>
                <w:szCs w:val="18"/>
                <w:color w:val="auto"/>
              </w:rPr>
              <w:t>Corporate Trustee Required; Eligibility</w:t>
            </w:r>
          </w:p>
        </w:tc>
        <w:tc>
          <w:tcPr>
            <w:tcW w:w="16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7.10</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Resignation and Removal; Appointment of Successor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7.11</w:t>
            </w:r>
          </w:p>
        </w:tc>
        <w:tc>
          <w:tcPr>
            <w:tcW w:w="7840" w:type="dxa"/>
            <w:vAlign w:val="bottom"/>
          </w:tcPr>
          <w:p>
            <w:pPr>
              <w:ind w:left="220"/>
              <w:spacing w:after="0"/>
              <w:rPr>
                <w:sz w:val="20"/>
                <w:szCs w:val="20"/>
                <w:color w:val="auto"/>
              </w:rPr>
            </w:pPr>
            <w:r>
              <w:rPr>
                <w:rFonts w:ascii="Arial" w:cs="Arial" w:eastAsia="Arial" w:hAnsi="Arial"/>
                <w:sz w:val="18"/>
                <w:szCs w:val="18"/>
                <w:color w:val="auto"/>
              </w:rPr>
              <w:t>Acceptance of Appointment By Successor</w:t>
            </w:r>
          </w:p>
        </w:tc>
        <w:tc>
          <w:tcPr>
            <w:tcW w:w="1660" w:type="dxa"/>
            <w:vAlign w:val="bottom"/>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7.12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Merger, Conversion, Consolidation or Succession to Business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7.13</w:t>
            </w:r>
          </w:p>
        </w:tc>
        <w:tc>
          <w:tcPr>
            <w:tcW w:w="7840" w:type="dxa"/>
            <w:vAlign w:val="bottom"/>
          </w:tcPr>
          <w:p>
            <w:pPr>
              <w:ind w:left="220"/>
              <w:spacing w:after="0"/>
              <w:rPr>
                <w:sz w:val="20"/>
                <w:szCs w:val="20"/>
                <w:color w:val="auto"/>
              </w:rPr>
            </w:pPr>
            <w:r>
              <w:rPr>
                <w:rFonts w:ascii="Arial" w:cs="Arial" w:eastAsia="Arial" w:hAnsi="Arial"/>
                <w:sz w:val="18"/>
                <w:szCs w:val="18"/>
                <w:color w:val="auto"/>
              </w:rPr>
              <w:t>Preferential Collection of Claims Against the Company</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VIII</w:t>
            </w:r>
          </w:p>
        </w:tc>
        <w:tc>
          <w:tcPr>
            <w:tcW w:w="8360" w:type="dxa"/>
            <w:vAlign w:val="bottom"/>
            <w:gridSpan w:val="2"/>
          </w:tcPr>
          <w:p>
            <w:pPr>
              <w:ind w:left="300"/>
              <w:spacing w:after="0"/>
              <w:rPr>
                <w:sz w:val="20"/>
                <w:szCs w:val="20"/>
                <w:color w:val="auto"/>
              </w:rPr>
            </w:pPr>
            <w:r>
              <w:rPr>
                <w:rFonts w:ascii="Arial" w:cs="Arial" w:eastAsia="Arial" w:hAnsi="Arial"/>
                <w:sz w:val="18"/>
                <w:szCs w:val="18"/>
                <w:color w:val="auto"/>
              </w:rPr>
              <w:t>CONCERNING THE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8.01</w:t>
            </w:r>
          </w:p>
        </w:tc>
        <w:tc>
          <w:tcPr>
            <w:tcW w:w="7840" w:type="dxa"/>
            <w:vAlign w:val="bottom"/>
          </w:tcPr>
          <w:p>
            <w:pPr>
              <w:ind w:left="220"/>
              <w:spacing w:after="0"/>
              <w:rPr>
                <w:sz w:val="20"/>
                <w:szCs w:val="20"/>
                <w:color w:val="auto"/>
              </w:rPr>
            </w:pPr>
            <w:r>
              <w:rPr>
                <w:rFonts w:ascii="Arial" w:cs="Arial" w:eastAsia="Arial" w:hAnsi="Arial"/>
                <w:sz w:val="18"/>
                <w:szCs w:val="18"/>
                <w:color w:val="auto"/>
              </w:rPr>
              <w:t>Evidence of Action by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Proof of Execution by Securityholders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8.03</w:t>
            </w:r>
          </w:p>
        </w:tc>
        <w:tc>
          <w:tcPr>
            <w:tcW w:w="7840" w:type="dxa"/>
            <w:vAlign w:val="bottom"/>
          </w:tcPr>
          <w:p>
            <w:pPr>
              <w:ind w:left="220"/>
              <w:spacing w:after="0"/>
              <w:rPr>
                <w:sz w:val="20"/>
                <w:szCs w:val="20"/>
                <w:color w:val="auto"/>
              </w:rPr>
            </w:pPr>
            <w:r>
              <w:rPr>
                <w:rFonts w:ascii="Arial" w:cs="Arial" w:eastAsia="Arial" w:hAnsi="Arial"/>
                <w:sz w:val="18"/>
                <w:szCs w:val="18"/>
                <w:color w:val="auto"/>
              </w:rPr>
              <w:t>Who May be Deemed Owners</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8.04</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Certain Securities Owned by Company Disregarded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8.05</w:t>
            </w:r>
          </w:p>
        </w:tc>
        <w:tc>
          <w:tcPr>
            <w:tcW w:w="7840" w:type="dxa"/>
            <w:vAlign w:val="bottom"/>
          </w:tcPr>
          <w:p>
            <w:pPr>
              <w:ind w:left="220"/>
              <w:spacing w:after="0"/>
              <w:rPr>
                <w:sz w:val="20"/>
                <w:szCs w:val="20"/>
                <w:color w:val="auto"/>
              </w:rPr>
            </w:pPr>
            <w:r>
              <w:rPr>
                <w:rFonts w:ascii="Arial" w:cs="Arial" w:eastAsia="Arial" w:hAnsi="Arial"/>
                <w:sz w:val="18"/>
                <w:szCs w:val="18"/>
                <w:color w:val="auto"/>
              </w:rPr>
              <w:t>Actions Binding on Future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8.06</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Purposes for Which Meetings May Be Called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8.07</w:t>
            </w:r>
          </w:p>
        </w:tc>
        <w:tc>
          <w:tcPr>
            <w:tcW w:w="7840" w:type="dxa"/>
            <w:vAlign w:val="bottom"/>
          </w:tcPr>
          <w:p>
            <w:pPr>
              <w:ind w:left="220"/>
              <w:spacing w:after="0"/>
              <w:rPr>
                <w:sz w:val="20"/>
                <w:szCs w:val="20"/>
                <w:color w:val="auto"/>
              </w:rPr>
            </w:pPr>
            <w:r>
              <w:rPr>
                <w:rFonts w:ascii="Arial" w:cs="Arial" w:eastAsia="Arial" w:hAnsi="Arial"/>
                <w:sz w:val="18"/>
                <w:szCs w:val="18"/>
                <w:color w:val="auto"/>
              </w:rPr>
              <w:t>Call Notice and Place of Meetings</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8.08</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Persons Entitled To Vote at Meetings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8.09</w:t>
            </w:r>
          </w:p>
        </w:tc>
        <w:tc>
          <w:tcPr>
            <w:tcW w:w="7840" w:type="dxa"/>
            <w:vAlign w:val="bottom"/>
          </w:tcPr>
          <w:p>
            <w:pPr>
              <w:ind w:left="220"/>
              <w:spacing w:after="0"/>
              <w:rPr>
                <w:sz w:val="20"/>
                <w:szCs w:val="20"/>
                <w:color w:val="auto"/>
              </w:rPr>
            </w:pPr>
            <w:r>
              <w:rPr>
                <w:rFonts w:ascii="Arial" w:cs="Arial" w:eastAsia="Arial" w:hAnsi="Arial"/>
                <w:sz w:val="18"/>
                <w:szCs w:val="18"/>
                <w:color w:val="auto"/>
              </w:rPr>
              <w:t>Quorum; Action</w:t>
            </w:r>
          </w:p>
        </w:tc>
        <w:tc>
          <w:tcPr>
            <w:tcW w:w="16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8.10</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Determination of Voting Rights; Conduct and Adjournment of Meetings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8.11</w:t>
            </w:r>
          </w:p>
        </w:tc>
        <w:tc>
          <w:tcPr>
            <w:tcW w:w="7840" w:type="dxa"/>
            <w:vAlign w:val="bottom"/>
          </w:tcPr>
          <w:p>
            <w:pPr>
              <w:ind w:left="220"/>
              <w:spacing w:after="0"/>
              <w:rPr>
                <w:sz w:val="20"/>
                <w:szCs w:val="20"/>
                <w:color w:val="auto"/>
              </w:rPr>
            </w:pPr>
            <w:r>
              <w:rPr>
                <w:rFonts w:ascii="Arial" w:cs="Arial" w:eastAsia="Arial" w:hAnsi="Arial"/>
                <w:sz w:val="18"/>
                <w:szCs w:val="18"/>
                <w:color w:val="auto"/>
              </w:rPr>
              <w:t>Counting Votes and Recording Action of Meetings</w:t>
            </w:r>
          </w:p>
        </w:tc>
        <w:tc>
          <w:tcPr>
            <w:tcW w:w="16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IX</w:t>
            </w:r>
          </w:p>
        </w:tc>
        <w:tc>
          <w:tcPr>
            <w:tcW w:w="8360" w:type="dxa"/>
            <w:vAlign w:val="bottom"/>
            <w:gridSpan w:val="2"/>
          </w:tcPr>
          <w:p>
            <w:pPr>
              <w:ind w:left="180"/>
              <w:spacing w:after="0"/>
              <w:rPr>
                <w:sz w:val="20"/>
                <w:szCs w:val="20"/>
                <w:color w:val="auto"/>
              </w:rPr>
            </w:pPr>
            <w:r>
              <w:rPr>
                <w:rFonts w:ascii="Arial" w:cs="Arial" w:eastAsia="Arial" w:hAnsi="Arial"/>
                <w:sz w:val="18"/>
                <w:szCs w:val="18"/>
                <w:color w:val="auto"/>
              </w:rPr>
              <w:t>SUPPLEMENTAL INDENTURES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9.01</w:t>
            </w:r>
          </w:p>
        </w:tc>
        <w:tc>
          <w:tcPr>
            <w:tcW w:w="7840" w:type="dxa"/>
            <w:vAlign w:val="bottom"/>
          </w:tcPr>
          <w:p>
            <w:pPr>
              <w:ind w:left="220"/>
              <w:spacing w:after="0"/>
              <w:rPr>
                <w:sz w:val="20"/>
                <w:szCs w:val="20"/>
                <w:color w:val="auto"/>
              </w:rPr>
            </w:pPr>
            <w:r>
              <w:rPr>
                <w:rFonts w:ascii="Arial" w:cs="Arial" w:eastAsia="Arial" w:hAnsi="Arial"/>
                <w:sz w:val="18"/>
                <w:szCs w:val="18"/>
                <w:color w:val="auto"/>
              </w:rPr>
              <w:t>Supplemental Indentures Without the Consent of Securityholders</w:t>
            </w:r>
          </w:p>
        </w:tc>
        <w:tc>
          <w:tcPr>
            <w:tcW w:w="16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9.02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Supplemental Indentures With Consent of Securityholders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9.03</w:t>
            </w:r>
          </w:p>
        </w:tc>
        <w:tc>
          <w:tcPr>
            <w:tcW w:w="7840" w:type="dxa"/>
            <w:vAlign w:val="bottom"/>
          </w:tcPr>
          <w:p>
            <w:pPr>
              <w:ind w:left="220"/>
              <w:spacing w:after="0"/>
              <w:rPr>
                <w:sz w:val="20"/>
                <w:szCs w:val="20"/>
                <w:color w:val="auto"/>
              </w:rPr>
            </w:pPr>
            <w:r>
              <w:rPr>
                <w:rFonts w:ascii="Arial" w:cs="Arial" w:eastAsia="Arial" w:hAnsi="Arial"/>
                <w:sz w:val="18"/>
                <w:szCs w:val="18"/>
                <w:color w:val="auto"/>
              </w:rPr>
              <w:t>Effect of Supplemental Indentures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9.04</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Securities Affected by Supplemental Indentures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9.05</w:t>
            </w:r>
          </w:p>
        </w:tc>
        <w:tc>
          <w:tcPr>
            <w:tcW w:w="7840" w:type="dxa"/>
            <w:vAlign w:val="bottom"/>
          </w:tcPr>
          <w:p>
            <w:pPr>
              <w:ind w:left="220"/>
              <w:spacing w:after="0"/>
              <w:rPr>
                <w:sz w:val="20"/>
                <w:szCs w:val="20"/>
                <w:color w:val="auto"/>
              </w:rPr>
            </w:pPr>
            <w:r>
              <w:rPr>
                <w:rFonts w:ascii="Arial" w:cs="Arial" w:eastAsia="Arial" w:hAnsi="Arial"/>
                <w:sz w:val="18"/>
                <w:szCs w:val="18"/>
                <w:color w:val="auto"/>
              </w:rPr>
              <w:t>Execution of Supplemental Indentures</w:t>
            </w:r>
          </w:p>
        </w:tc>
        <w:tc>
          <w:tcPr>
            <w:tcW w:w="166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X</w:t>
            </w:r>
          </w:p>
        </w:tc>
        <w:tc>
          <w:tcPr>
            <w:tcW w:w="8360" w:type="dxa"/>
            <w:vAlign w:val="bottom"/>
            <w:gridSpan w:val="2"/>
          </w:tcPr>
          <w:p>
            <w:pPr>
              <w:ind w:left="120"/>
              <w:spacing w:after="0"/>
              <w:rPr>
                <w:sz w:val="20"/>
                <w:szCs w:val="20"/>
                <w:color w:val="auto"/>
              </w:rPr>
            </w:pPr>
            <w:r>
              <w:rPr>
                <w:rFonts w:ascii="Arial" w:cs="Arial" w:eastAsia="Arial" w:hAnsi="Arial"/>
                <w:sz w:val="18"/>
                <w:szCs w:val="18"/>
                <w:color w:val="auto"/>
              </w:rPr>
              <w:t>SUCCESSOR ENTITY</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10.01</w:t>
            </w:r>
          </w:p>
        </w:tc>
        <w:tc>
          <w:tcPr>
            <w:tcW w:w="7840" w:type="dxa"/>
            <w:vAlign w:val="bottom"/>
          </w:tcPr>
          <w:p>
            <w:pPr>
              <w:ind w:left="220"/>
              <w:spacing w:after="0"/>
              <w:rPr>
                <w:sz w:val="20"/>
                <w:szCs w:val="20"/>
                <w:color w:val="auto"/>
              </w:rPr>
            </w:pPr>
            <w:r>
              <w:rPr>
                <w:rFonts w:ascii="Arial" w:cs="Arial" w:eastAsia="Arial" w:hAnsi="Arial"/>
                <w:sz w:val="18"/>
                <w:szCs w:val="18"/>
                <w:color w:val="auto"/>
              </w:rPr>
              <w:t>Company May Consolidate, Etc</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10.02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Successor Entity Substituted</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10.03</w:t>
            </w:r>
          </w:p>
        </w:tc>
        <w:tc>
          <w:tcPr>
            <w:tcW w:w="7840" w:type="dxa"/>
            <w:vAlign w:val="bottom"/>
          </w:tcPr>
          <w:p>
            <w:pPr>
              <w:ind w:left="220"/>
              <w:spacing w:after="0"/>
              <w:rPr>
                <w:sz w:val="20"/>
                <w:szCs w:val="20"/>
                <w:color w:val="auto"/>
              </w:rPr>
            </w:pPr>
            <w:r>
              <w:rPr>
                <w:rFonts w:ascii="Arial" w:cs="Arial" w:eastAsia="Arial" w:hAnsi="Arial"/>
                <w:sz w:val="18"/>
                <w:szCs w:val="18"/>
                <w:color w:val="auto"/>
              </w:rPr>
              <w:t>Evidence of Consolidation, Etc. to Trustee</w:t>
            </w:r>
          </w:p>
        </w:tc>
        <w:tc>
          <w:tcPr>
            <w:tcW w:w="1660" w:type="dxa"/>
            <w:vAlign w:val="bottom"/>
          </w:tcPr>
          <w:p>
            <w:pPr>
              <w:jc w:val="right"/>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XI</w:t>
            </w:r>
          </w:p>
        </w:tc>
        <w:tc>
          <w:tcPr>
            <w:tcW w:w="8360" w:type="dxa"/>
            <w:vAlign w:val="bottom"/>
            <w:gridSpan w:val="2"/>
          </w:tcPr>
          <w:p>
            <w:pPr>
              <w:ind w:left="180"/>
              <w:spacing w:after="0"/>
              <w:rPr>
                <w:sz w:val="20"/>
                <w:szCs w:val="20"/>
                <w:color w:val="auto"/>
              </w:rPr>
            </w:pPr>
            <w:r>
              <w:rPr>
                <w:rFonts w:ascii="Arial" w:cs="Arial" w:eastAsia="Arial" w:hAnsi="Arial"/>
                <w:sz w:val="18"/>
                <w:szCs w:val="18"/>
                <w:color w:val="auto"/>
              </w:rPr>
              <w:t>SATISFACTION AND DISCHARGE</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11.01</w:t>
            </w:r>
          </w:p>
        </w:tc>
        <w:tc>
          <w:tcPr>
            <w:tcW w:w="7840" w:type="dxa"/>
            <w:vAlign w:val="bottom"/>
          </w:tcPr>
          <w:p>
            <w:pPr>
              <w:ind w:left="220"/>
              <w:spacing w:after="0"/>
              <w:rPr>
                <w:sz w:val="20"/>
                <w:szCs w:val="20"/>
                <w:color w:val="auto"/>
              </w:rPr>
            </w:pPr>
            <w:r>
              <w:rPr>
                <w:rFonts w:ascii="Arial" w:cs="Arial" w:eastAsia="Arial" w:hAnsi="Arial"/>
                <w:sz w:val="18"/>
                <w:szCs w:val="18"/>
                <w:color w:val="auto"/>
              </w:rPr>
              <w:t>Satisfaction and Discharge of Indenture</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11.02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Discharge of Obligations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11.03</w:t>
            </w:r>
          </w:p>
        </w:tc>
        <w:tc>
          <w:tcPr>
            <w:tcW w:w="7840" w:type="dxa"/>
            <w:vAlign w:val="bottom"/>
          </w:tcPr>
          <w:p>
            <w:pPr>
              <w:ind w:left="220"/>
              <w:spacing w:after="0"/>
              <w:rPr>
                <w:sz w:val="20"/>
                <w:szCs w:val="20"/>
                <w:color w:val="auto"/>
              </w:rPr>
            </w:pPr>
            <w:r>
              <w:rPr>
                <w:rFonts w:ascii="Arial" w:cs="Arial" w:eastAsia="Arial" w:hAnsi="Arial"/>
                <w:sz w:val="18"/>
                <w:szCs w:val="18"/>
                <w:color w:val="auto"/>
              </w:rPr>
              <w:t>Deposited Moneys to be Held in Trust</w:t>
            </w:r>
          </w:p>
        </w:tc>
        <w:tc>
          <w:tcPr>
            <w:tcW w:w="166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11.04</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Payment of Moneys Held by Paying Agents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11.05</w:t>
            </w:r>
          </w:p>
        </w:tc>
        <w:tc>
          <w:tcPr>
            <w:tcW w:w="7840" w:type="dxa"/>
            <w:vAlign w:val="bottom"/>
          </w:tcPr>
          <w:p>
            <w:pPr>
              <w:ind w:left="220"/>
              <w:spacing w:after="0"/>
              <w:rPr>
                <w:sz w:val="20"/>
                <w:szCs w:val="20"/>
                <w:color w:val="auto"/>
              </w:rPr>
            </w:pPr>
            <w:r>
              <w:rPr>
                <w:rFonts w:ascii="Arial" w:cs="Arial" w:eastAsia="Arial" w:hAnsi="Arial"/>
                <w:sz w:val="18"/>
                <w:szCs w:val="18"/>
                <w:color w:val="auto"/>
              </w:rPr>
              <w:t>Repayment to Company</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XII</w:t>
            </w:r>
          </w:p>
        </w:tc>
        <w:tc>
          <w:tcPr>
            <w:tcW w:w="8360" w:type="dxa"/>
            <w:vAlign w:val="bottom"/>
            <w:gridSpan w:val="2"/>
          </w:tcPr>
          <w:p>
            <w:pPr>
              <w:ind w:left="240"/>
              <w:spacing w:after="0"/>
              <w:rPr>
                <w:sz w:val="20"/>
                <w:szCs w:val="20"/>
                <w:color w:val="auto"/>
              </w:rPr>
            </w:pPr>
            <w:r>
              <w:rPr>
                <w:rFonts w:ascii="Arial" w:cs="Arial" w:eastAsia="Arial" w:hAnsi="Arial"/>
                <w:sz w:val="18"/>
                <w:szCs w:val="18"/>
                <w:color w:val="auto"/>
              </w:rPr>
              <w:t>IMMUNITY OF INCORPORATORS, STOCKHOLDERS, OFFICERS AND DIRECTORS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12.01</w:t>
            </w:r>
          </w:p>
        </w:tc>
        <w:tc>
          <w:tcPr>
            <w:tcW w:w="7840" w:type="dxa"/>
            <w:vAlign w:val="bottom"/>
          </w:tcPr>
          <w:p>
            <w:pPr>
              <w:ind w:left="220"/>
              <w:spacing w:after="0"/>
              <w:rPr>
                <w:sz w:val="20"/>
                <w:szCs w:val="20"/>
                <w:color w:val="auto"/>
              </w:rPr>
            </w:pPr>
            <w:r>
              <w:rPr>
                <w:rFonts w:ascii="Arial" w:cs="Arial" w:eastAsia="Arial" w:hAnsi="Arial"/>
                <w:sz w:val="18"/>
                <w:szCs w:val="18"/>
                <w:color w:val="auto"/>
              </w:rPr>
              <w:t>No Recourse</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shd w:val="clear" w:color="auto" w:fill="CCEEFF"/>
          </w:tcPr>
          <w:p>
            <w:pPr>
              <w:spacing w:after="0"/>
              <w:rPr>
                <w:sz w:val="18"/>
                <w:szCs w:val="18"/>
                <w:color w:val="auto"/>
              </w:rPr>
            </w:pPr>
          </w:p>
        </w:tc>
        <w:tc>
          <w:tcPr>
            <w:tcW w:w="8360" w:type="dxa"/>
            <w:vAlign w:val="bottom"/>
            <w:gridSpan w:val="2"/>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20" w:type="dxa"/>
            <w:vAlign w:val="bottom"/>
          </w:tcPr>
          <w:p>
            <w:pPr>
              <w:spacing w:after="0"/>
              <w:rPr>
                <w:sz w:val="20"/>
                <w:szCs w:val="20"/>
                <w:color w:val="auto"/>
              </w:rPr>
            </w:pPr>
            <w:r>
              <w:rPr>
                <w:rFonts w:ascii="Arial" w:cs="Arial" w:eastAsia="Arial" w:hAnsi="Arial"/>
                <w:sz w:val="18"/>
                <w:szCs w:val="18"/>
                <w:color w:val="auto"/>
              </w:rPr>
              <w:t>ARTICLE XIII</w:t>
            </w:r>
          </w:p>
        </w:tc>
        <w:tc>
          <w:tcPr>
            <w:tcW w:w="8360" w:type="dxa"/>
            <w:vAlign w:val="bottom"/>
            <w:gridSpan w:val="2"/>
          </w:tcPr>
          <w:p>
            <w:pPr>
              <w:ind w:left="300"/>
              <w:spacing w:after="0"/>
              <w:rPr>
                <w:sz w:val="20"/>
                <w:szCs w:val="20"/>
                <w:color w:val="auto"/>
              </w:rPr>
            </w:pPr>
            <w:r>
              <w:rPr>
                <w:rFonts w:ascii="Arial" w:cs="Arial" w:eastAsia="Arial" w:hAnsi="Arial"/>
                <w:sz w:val="18"/>
                <w:szCs w:val="18"/>
                <w:color w:val="auto"/>
              </w:rPr>
              <w:t>MISCELLANEOUS PROVISIONS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7840" w:type="dxa"/>
            <w:vAlign w:val="bottom"/>
            <w:shd w:val="clear" w:color="auto" w:fill="CCEEFF"/>
          </w:tcPr>
          <w:p>
            <w:pPr>
              <w:spacing w:after="0"/>
              <w:rPr>
                <w:sz w:val="18"/>
                <w:szCs w:val="18"/>
                <w:color w:val="auto"/>
              </w:rPr>
            </w:pPr>
          </w:p>
        </w:tc>
        <w:tc>
          <w:tcPr>
            <w:tcW w:w="16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13.01</w:t>
            </w:r>
          </w:p>
        </w:tc>
        <w:tc>
          <w:tcPr>
            <w:tcW w:w="7840" w:type="dxa"/>
            <w:vAlign w:val="bottom"/>
          </w:tcPr>
          <w:p>
            <w:pPr>
              <w:ind w:left="220"/>
              <w:spacing w:after="0"/>
              <w:rPr>
                <w:sz w:val="20"/>
                <w:szCs w:val="20"/>
                <w:color w:val="auto"/>
              </w:rPr>
            </w:pPr>
            <w:r>
              <w:rPr>
                <w:rFonts w:ascii="Arial" w:cs="Arial" w:eastAsia="Arial" w:hAnsi="Arial"/>
                <w:sz w:val="18"/>
                <w:szCs w:val="18"/>
                <w:color w:val="auto"/>
              </w:rPr>
              <w:t>Effect on Successors and Assigns</w:t>
            </w:r>
          </w:p>
        </w:tc>
        <w:tc>
          <w:tcPr>
            <w:tcW w:w="166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13.02</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Actions by Successor</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13.03</w:t>
            </w:r>
          </w:p>
        </w:tc>
        <w:tc>
          <w:tcPr>
            <w:tcW w:w="7840" w:type="dxa"/>
            <w:vAlign w:val="bottom"/>
          </w:tcPr>
          <w:p>
            <w:pPr>
              <w:ind w:left="220"/>
              <w:spacing w:after="0"/>
              <w:rPr>
                <w:sz w:val="20"/>
                <w:szCs w:val="20"/>
                <w:color w:val="auto"/>
              </w:rPr>
            </w:pPr>
            <w:r>
              <w:rPr>
                <w:rFonts w:ascii="Arial" w:cs="Arial" w:eastAsia="Arial" w:hAnsi="Arial"/>
                <w:sz w:val="18"/>
                <w:szCs w:val="18"/>
                <w:color w:val="auto"/>
              </w:rPr>
              <w:t>Surrender of Company Powers</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13.04</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Notices</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13.05</w:t>
            </w:r>
          </w:p>
        </w:tc>
        <w:tc>
          <w:tcPr>
            <w:tcW w:w="7840" w:type="dxa"/>
            <w:vAlign w:val="bottom"/>
          </w:tcPr>
          <w:p>
            <w:pPr>
              <w:ind w:left="220"/>
              <w:spacing w:after="0"/>
              <w:rPr>
                <w:sz w:val="20"/>
                <w:szCs w:val="20"/>
                <w:color w:val="auto"/>
              </w:rPr>
            </w:pPr>
            <w:r>
              <w:rPr>
                <w:rFonts w:ascii="Arial" w:cs="Arial" w:eastAsia="Arial" w:hAnsi="Arial"/>
                <w:sz w:val="18"/>
                <w:szCs w:val="18"/>
                <w:color w:val="auto"/>
              </w:rPr>
              <w:t>Governing Law</w:t>
            </w:r>
          </w:p>
        </w:tc>
        <w:tc>
          <w:tcPr>
            <w:tcW w:w="166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13.06</w:t>
            </w:r>
          </w:p>
        </w:tc>
        <w:tc>
          <w:tcPr>
            <w:tcW w:w="78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Treatment of Securities as Debt</w:t>
            </w:r>
          </w:p>
        </w:tc>
        <w:tc>
          <w:tcPr>
            <w:tcW w:w="1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76" w:name="page77"/>
    <w:bookmarkEnd w:id="76"/>
    <w:tbl>
      <w:tblPr>
        <w:tblLayout w:type="fixed"/>
        <w:tblInd w:w="0" w:type="dxa"/>
        <w:tblCellMar>
          <w:top w:w="0" w:type="dxa"/>
          <w:left w:w="0" w:type="dxa"/>
          <w:bottom w:w="0" w:type="dxa"/>
          <w:right w:w="0" w:type="dxa"/>
        </w:tblCellMar>
      </w:tblP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13.07</w:t>
            </w: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Compliance Certificates and Opinions</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13.08</w:t>
            </w:r>
          </w:p>
        </w:tc>
        <w:tc>
          <w:tcPr>
            <w:tcW w:w="6140" w:type="dxa"/>
            <w:vAlign w:val="bottom"/>
          </w:tcPr>
          <w:p>
            <w:pPr>
              <w:ind w:left="220"/>
              <w:spacing w:after="0"/>
              <w:rPr>
                <w:sz w:val="20"/>
                <w:szCs w:val="20"/>
                <w:color w:val="auto"/>
              </w:rPr>
            </w:pPr>
            <w:r>
              <w:rPr>
                <w:rFonts w:ascii="Arial" w:cs="Arial" w:eastAsia="Arial" w:hAnsi="Arial"/>
                <w:sz w:val="18"/>
                <w:szCs w:val="18"/>
                <w:color w:val="auto"/>
              </w:rPr>
              <w:t>Payments on Business Days</w:t>
            </w:r>
          </w:p>
        </w:tc>
        <w:tc>
          <w:tcPr>
            <w:tcW w:w="3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13.09</w:t>
            </w: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Conflict with Trust Indenture Act</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13.10</w:t>
            </w:r>
          </w:p>
        </w:tc>
        <w:tc>
          <w:tcPr>
            <w:tcW w:w="6140" w:type="dxa"/>
            <w:vAlign w:val="bottom"/>
          </w:tcPr>
          <w:p>
            <w:pPr>
              <w:ind w:left="220"/>
              <w:spacing w:after="0"/>
              <w:rPr>
                <w:sz w:val="20"/>
                <w:szCs w:val="20"/>
                <w:color w:val="auto"/>
              </w:rPr>
            </w:pPr>
            <w:r>
              <w:rPr>
                <w:rFonts w:ascii="Arial" w:cs="Arial" w:eastAsia="Arial" w:hAnsi="Arial"/>
                <w:sz w:val="18"/>
                <w:szCs w:val="18"/>
                <w:color w:val="auto"/>
              </w:rPr>
              <w:t>Counterparts</w:t>
            </w:r>
          </w:p>
        </w:tc>
        <w:tc>
          <w:tcPr>
            <w:tcW w:w="3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SECTION 13.11</w:t>
            </w:r>
          </w:p>
        </w:tc>
        <w:tc>
          <w:tcPr>
            <w:tcW w:w="61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Separability</w:t>
            </w:r>
          </w:p>
        </w:tc>
        <w:tc>
          <w:tcPr>
            <w:tcW w:w="3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13.12</w:t>
            </w:r>
          </w:p>
        </w:tc>
        <w:tc>
          <w:tcPr>
            <w:tcW w:w="6140" w:type="dxa"/>
            <w:vAlign w:val="bottom"/>
          </w:tcPr>
          <w:p>
            <w:pPr>
              <w:ind w:left="220"/>
              <w:spacing w:after="0"/>
              <w:rPr>
                <w:sz w:val="20"/>
                <w:szCs w:val="20"/>
                <w:color w:val="auto"/>
              </w:rPr>
            </w:pPr>
            <w:r>
              <w:rPr>
                <w:rFonts w:ascii="Arial" w:cs="Arial" w:eastAsia="Arial" w:hAnsi="Arial"/>
                <w:sz w:val="18"/>
                <w:szCs w:val="18"/>
                <w:color w:val="auto"/>
              </w:rPr>
              <w:t>Assignment</w:t>
            </w:r>
          </w:p>
        </w:tc>
        <w:tc>
          <w:tcPr>
            <w:tcW w:w="3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shd w:val="clear" w:color="auto" w:fill="CCEEFF"/>
          </w:tcPr>
          <w:p>
            <w:pPr>
              <w:spacing w:after="0"/>
              <w:rPr>
                <w:sz w:val="18"/>
                <w:szCs w:val="18"/>
                <w:color w:val="auto"/>
              </w:rPr>
            </w:pPr>
          </w:p>
        </w:tc>
        <w:tc>
          <w:tcPr>
            <w:tcW w:w="6560" w:type="dxa"/>
            <w:vAlign w:val="bottom"/>
            <w:gridSpan w:val="2"/>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ARTICLE XIV</w:t>
            </w:r>
          </w:p>
        </w:tc>
        <w:tc>
          <w:tcPr>
            <w:tcW w:w="6560" w:type="dxa"/>
            <w:vAlign w:val="bottom"/>
            <w:gridSpan w:val="2"/>
          </w:tcPr>
          <w:p>
            <w:pPr>
              <w:ind w:left="200"/>
              <w:spacing w:after="0"/>
              <w:rPr>
                <w:sz w:val="20"/>
                <w:szCs w:val="20"/>
                <w:color w:val="auto"/>
              </w:rPr>
            </w:pPr>
            <w:r>
              <w:rPr>
                <w:rFonts w:ascii="Arial" w:cs="Arial" w:eastAsia="Arial" w:hAnsi="Arial"/>
                <w:sz w:val="18"/>
                <w:szCs w:val="18"/>
                <w:color w:val="auto"/>
              </w:rPr>
              <w:t>SUBORDINATION OF SECURITIES</w:t>
            </w:r>
          </w:p>
        </w:tc>
        <w:tc>
          <w:tcPr>
            <w:tcW w:w="3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40" w:type="dxa"/>
            <w:vAlign w:val="bottom"/>
            <w:gridSpan w:val="2"/>
            <w:shd w:val="clear" w:color="auto" w:fill="CCEEFF"/>
          </w:tcPr>
          <w:p>
            <w:pPr>
              <w:spacing w:after="0"/>
              <w:rPr>
                <w:sz w:val="18"/>
                <w:szCs w:val="18"/>
                <w:color w:val="auto"/>
              </w:rPr>
            </w:pPr>
          </w:p>
        </w:tc>
        <w:tc>
          <w:tcPr>
            <w:tcW w:w="6140" w:type="dxa"/>
            <w:vAlign w:val="bottom"/>
            <w:shd w:val="clear" w:color="auto" w:fill="CCEEFF"/>
          </w:tcPr>
          <w:p>
            <w:pPr>
              <w:spacing w:after="0"/>
              <w:rPr>
                <w:sz w:val="18"/>
                <w:szCs w:val="18"/>
                <w:color w:val="auto"/>
              </w:rPr>
            </w:pPr>
          </w:p>
        </w:tc>
        <w:tc>
          <w:tcPr>
            <w:tcW w:w="336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740" w:type="dxa"/>
            <w:vAlign w:val="bottom"/>
            <w:gridSpan w:val="2"/>
          </w:tcPr>
          <w:p>
            <w:pPr>
              <w:ind w:left="340"/>
              <w:spacing w:after="0"/>
              <w:rPr>
                <w:sz w:val="20"/>
                <w:szCs w:val="20"/>
                <w:color w:val="auto"/>
              </w:rPr>
            </w:pPr>
            <w:r>
              <w:rPr>
                <w:rFonts w:ascii="Arial" w:cs="Arial" w:eastAsia="Arial" w:hAnsi="Arial"/>
                <w:sz w:val="18"/>
                <w:szCs w:val="18"/>
                <w:color w:val="auto"/>
              </w:rPr>
              <w:t>SECTION 14.01</w:t>
            </w:r>
          </w:p>
        </w:tc>
        <w:tc>
          <w:tcPr>
            <w:tcW w:w="6140" w:type="dxa"/>
            <w:vAlign w:val="bottom"/>
          </w:tcPr>
          <w:p>
            <w:pPr>
              <w:ind w:left="220"/>
              <w:spacing w:after="0"/>
              <w:rPr>
                <w:sz w:val="20"/>
                <w:szCs w:val="20"/>
                <w:color w:val="auto"/>
              </w:rPr>
            </w:pPr>
            <w:r>
              <w:rPr>
                <w:rFonts w:ascii="Arial" w:cs="Arial" w:eastAsia="Arial" w:hAnsi="Arial"/>
                <w:sz w:val="18"/>
                <w:szCs w:val="18"/>
                <w:color w:val="auto"/>
              </w:rPr>
              <w:t>Subordination Terms</w:t>
            </w:r>
          </w:p>
        </w:tc>
        <w:tc>
          <w:tcPr>
            <w:tcW w:w="336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340" w:hanging="332"/>
        <w:spacing w:after="0"/>
        <w:tabs>
          <w:tab w:leader="none" w:pos="340" w:val="left"/>
        </w:tabs>
        <w:numPr>
          <w:ilvl w:val="0"/>
          <w:numId w:val="75"/>
        </w:numPr>
        <w:rPr>
          <w:rFonts w:ascii="Arial" w:cs="Arial" w:eastAsia="Arial" w:hAnsi="Arial"/>
          <w:sz w:val="16"/>
          <w:szCs w:val="16"/>
          <w:color w:val="auto"/>
        </w:rPr>
      </w:pPr>
      <w:r>
        <w:rPr>
          <w:rFonts w:ascii="Arial" w:cs="Arial" w:eastAsia="Arial" w:hAnsi="Arial"/>
          <w:sz w:val="16"/>
          <w:szCs w:val="16"/>
          <w:color w:val="auto"/>
        </w:rPr>
        <w:t>This Table of Contents does not constitute part of the Indenture and shall not have any bearing on the interpretation of any of its terms and provisions.</w:t>
      </w:r>
    </w:p>
    <w:p>
      <w:pPr>
        <w:spacing w:after="0" w:line="248" w:lineRule="exact"/>
        <w:rPr>
          <w:rFonts w:ascii="Arial" w:cs="Arial" w:eastAsia="Arial" w:hAnsi="Arial"/>
          <w:sz w:val="16"/>
          <w:szCs w:val="16"/>
          <w:color w:val="auto"/>
        </w:rPr>
      </w:pPr>
    </w:p>
    <w:p>
      <w:pPr>
        <w:ind w:left="5540"/>
        <w:spacing w:after="0"/>
        <w:rPr>
          <w:rFonts w:ascii="Arial" w:cs="Arial" w:eastAsia="Arial" w:hAnsi="Arial"/>
          <w:sz w:val="16"/>
          <w:szCs w:val="16"/>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7" w:right="339" w:bottom="1440" w:gutter="0" w:footer="0" w:header="0"/>
        </w:sectPr>
      </w:pPr>
    </w:p>
    <w:bookmarkStart w:id="77" w:name="page78"/>
    <w:bookmarkEnd w:id="77"/>
    <w:p>
      <w:pPr>
        <w:ind w:left="660"/>
        <w:spacing w:after="0"/>
        <w:rPr>
          <w:sz w:val="20"/>
          <w:szCs w:val="20"/>
          <w:color w:val="auto"/>
        </w:rPr>
      </w:pPr>
      <w:r>
        <w:rPr>
          <w:rFonts w:ascii="Arial" w:cs="Arial" w:eastAsia="Arial" w:hAnsi="Arial"/>
          <w:sz w:val="16"/>
          <w:szCs w:val="16"/>
          <w:color w:val="auto"/>
        </w:rPr>
        <w:t>INDENTURE, dated as of [</w:t>
      </w:r>
    </w:p>
    <w:p>
      <w:pPr>
        <w:spacing w:after="0" w:line="20" w:lineRule="exact"/>
        <w:rPr>
          <w:sz w:val="20"/>
          <w:szCs w:val="20"/>
          <w:color w:val="auto"/>
        </w:rPr>
      </w:pPr>
      <w:r>
        <w:rPr>
          <w:sz w:val="20"/>
          <w:szCs w:val="20"/>
          <w:color w:val="auto"/>
        </w:rPr>
        <w:br w:type="column"/>
      </w:r>
    </w:p>
    <w:p>
      <w:pPr>
        <w:jc w:val="center"/>
        <w:ind w:right="180"/>
        <w:spacing w:after="0"/>
        <w:rPr>
          <w:sz w:val="20"/>
          <w:szCs w:val="20"/>
          <w:color w:val="auto"/>
        </w:rPr>
      </w:pPr>
      <w:r>
        <w:rPr>
          <w:rFonts w:ascii="Arial" w:cs="Arial" w:eastAsia="Arial" w:hAnsi="Arial"/>
          <w:sz w:val="16"/>
          <w:szCs w:val="16"/>
          <w:color w:val="auto"/>
        </w:rPr>
        <w:t>], by and between Microbot Medical Inc., a Delaware corporation (the “Company”), and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 as</w:t>
      </w:r>
    </w:p>
    <w:p>
      <w:pPr>
        <w:spacing w:after="0" w:line="57" w:lineRule="exact"/>
        <w:rPr>
          <w:sz w:val="20"/>
          <w:szCs w:val="20"/>
          <w:color w:val="auto"/>
        </w:rPr>
      </w:pPr>
    </w:p>
    <w:p>
      <w:pPr>
        <w:sectPr>
          <w:pgSz w:w="11900" w:h="16838" w:orient="portrait"/>
          <w:cols w:equalWidth="0" w:num="3">
            <w:col w:w="2840" w:space="720"/>
            <w:col w:w="6660" w:space="720"/>
            <w:col w:w="300"/>
          </w:cols>
          <w:pgMar w:left="320" w:top="692" w:right="339" w:bottom="1440" w:gutter="0" w:footer="0" w:header="0"/>
        </w:sectPr>
      </w:pPr>
    </w:p>
    <w:p>
      <w:pPr>
        <w:spacing w:after="0"/>
        <w:rPr>
          <w:sz w:val="20"/>
          <w:szCs w:val="20"/>
          <w:color w:val="auto"/>
        </w:rPr>
      </w:pPr>
      <w:r>
        <w:rPr>
          <w:rFonts w:ascii="Arial" w:cs="Arial" w:eastAsia="Arial" w:hAnsi="Arial"/>
          <w:sz w:val="16"/>
          <w:szCs w:val="16"/>
          <w:color w:val="auto"/>
        </w:rPr>
        <w:t>trustee (the “Trustee”):</w:t>
      </w:r>
    </w:p>
    <w:p>
      <w:pPr>
        <w:sectPr>
          <w:pgSz w:w="11900" w:h="16838" w:orient="portrait"/>
          <w:cols w:equalWidth="0" w:num="1">
            <w:col w:w="11240"/>
          </w:cols>
          <w:pgMar w:left="320" w:top="692" w:right="339" w:bottom="1440" w:gutter="0" w:footer="0" w:header="0"/>
          <w:type w:val="continuous"/>
        </w:sectPr>
      </w:pPr>
    </w:p>
    <w:p>
      <w:pPr>
        <w:spacing w:after="0" w:line="234"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WHEREAS, for its lawful corporate purposes, the Company has duly authorized the execution and delivery of this Indenture to provide for the issuance of subordinated debt securities (hereinafter referred to as the “Securities”), in an unlimited aggregate principal amount to be issued from time to time in one or more series as in this Indenture provided, as registered Securities without coupons, to be authenticated by the certificate of the Trustee;</w:t>
      </w:r>
    </w:p>
    <w:p>
      <w:pPr>
        <w:spacing w:after="0" w:line="14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WHEREAS, to provide the terms and conditions upon which the Securities are to be authenticated, issued and delivered, the Company has duly authorized the execution of this Indenture; and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WHEREAS, all things necessary to make this Indenture a valid agreement of the Company, in accordance with its terms, have been done.</w:t>
      </w:r>
    </w:p>
    <w:p>
      <w:pPr>
        <w:spacing w:after="0" w:line="23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NOW, THEREFORE, in consideration of the premises and the purchase of the Securities by the holders thereof, it is mutually covenanted and agreed as follows for the equal and ratable benefit of the holders of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1.01 Definitions of Terms.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The terms defined in this Section (except as in this Indenture otherwise expressly provided or unless the context otherwise requires) for all purposes of this Indenture and of any indenture supplemental hereto shall have the respective meanings specified in this Section and shall include the plural as well as the singular. All other terms used in this Indenture that are defined in the Trust Indenture Act of 1939, as amended, or that are by reference in such Act defined in the Securities Act of 1933, as amended (except as herein otherwise expressly provided or unless the context otherwise requires), shall have the meanings assigned to such terms in said Trust Indenture Act and in said Securities Act as in force at the date of the execution of this instrument.</w:t>
      </w:r>
    </w:p>
    <w:p>
      <w:pPr>
        <w:spacing w:after="0" w:line="16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“Authenticating Agent” means an authenticating agent with respect to all or any of the series of Securities appointed with respect to all or any series of the Securities by the Trustee pursuant to Section 2.10.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“Bankruptcy Law” means Title 11, U.S. Code, or any similar federal or state law for the relief of debtors.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“Board of Directors” means the Board of Directors of the Company or any duly authorized committee of such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“Board Resolution” means a copy of a resolution certified by the Secretary or an Assistant Secretary of the Company to have been duly adopted by the Board of Directors and to be in full force and effect on the date of such certification.</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“Business Day” means, with respect to any series of Securities, any day other than a day on which Federal or State banking institutions in the Borough of Manhattan, the City and State of New York, are authorized or obligated by law, executive order or regulation to close.</w:t>
      </w:r>
    </w:p>
    <w:p>
      <w:pPr>
        <w:spacing w:after="0" w:line="14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“Certificate” means a certificate signed by the principal executive officer, the principal financial officer or the principal accounting officer of the Company. The Certificate need not comply with the provisions of Section 13.07.</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means the Securities and Exchange Commission.</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“Company” means the corporation named as the “Company” in the first paragraph of this instrument until a successor corporation shall have become such pursuant to the applicable provisions of this Indenture, and thereafter “Company” shall mean such successor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239395</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78" w:name="page79"/>
    <w:bookmarkEnd w:id="78"/>
    <w:p>
      <w:pPr>
        <w:ind w:left="660"/>
        <w:spacing w:after="0"/>
        <w:rPr>
          <w:sz w:val="20"/>
          <w:szCs w:val="20"/>
          <w:color w:val="auto"/>
        </w:rPr>
      </w:pPr>
      <w:r>
        <w:rPr>
          <w:rFonts w:ascii="Arial" w:cs="Arial" w:eastAsia="Arial" w:hAnsi="Arial"/>
          <w:sz w:val="17"/>
          <w:szCs w:val="17"/>
          <w:color w:val="auto"/>
        </w:rPr>
        <w:t>“Corporate Trust Office” means the office of the Trustee at which, at any particular time, its corporate trust business shall be principally</w:t>
      </w:r>
    </w:p>
    <w:p>
      <w:pPr>
        <w:spacing w:after="0" w:line="35"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administered, which office at the date hereof is located at [ ], except that whenever a provision herein refers to an office or agency of the Trustee in the Borough of Manhattan, the City and State of New York, such office is located, at the date hereof, at [ ].</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“Custodian” means any receiver, trustee, assignee, liquidator, or similar official under any Bankruptcy Law.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“Default” means an event which is, or after notice or lapse of time, or both, would constitute an Event of Default.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“Depositary” means, with respect to Securities of any series, for which the Company shall determine that such Securities will be issued as a Global Security, The Depository Trust Company, New York, New York, another clearing agency, or any successor registered as a clearing agency under the Exchange Act, or other applicable statute or regulation, which, in each case, shall be designated by the Company pursuant to either Section 2.01 or Section 2.11.</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“Event of Default” means, with respect to Securities of a particular series, any event specified in Section 6.01, continued for the period of time, if any, therein designated.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“Exchange Act” means the Securities Exchange Act of 1934, as amended.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“Global Security” means, with respect to any series of Securities, a Security executed by the Company and delivered by the Trustee to the Depositary or pursuant to the Depositary’s instruction, all in accordance with this Indenture, which shall be registered in the name of the Depositary or its nominee.</w:t>
      </w:r>
    </w:p>
    <w:p>
      <w:pPr>
        <w:spacing w:after="0" w:line="184"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“Governmental Obligations” means securities that are (i) direct obligations of the United States of America for the payment of which its full faith and credit is pledged or (ii) obligations of a Person controlled or supervised by and acting as an agency or instrumentality of the United States of America, the payment of which is unconditionally guaranteed as a full faith and credit obligation by the United States of America that, in either case, are non-callable at the option of the issuer thereof, and shall also include a depositary receipt issued by a bank (as defined in Section 3(a)(2) of the Securities Act of 1933, as amended) as custodian with respect to any such Governmental Obligation or a specific payment of principal of or interest on any such Governmental Obligation held by such custodian for the account of the holder of such depositary receipt; provided, however, that (except as required by law) such custodian is not authorized to make any deduction from the amount payable to the holder of such depositary receipt from any amount received by the custodian in respect of the Governmental Obligation or the specific payment of principal of or interest on the Governmental Obligation evidenced by such depositary receipt.</w:t>
      </w:r>
    </w:p>
    <w:p>
      <w:pPr>
        <w:spacing w:after="0" w:line="19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“herein,” “hereof” and “hereunder,” and other words of similar import, refer to this Indenture as a whole and not to any particular Article, Section or other subdivision.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“Indenture” means this instrument as originally executed or as it may from time to time be supplemented or amended by one or more indentures supplemental hereto entered into in accordance with the terms hereof.</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“Interest Payment Date,” when used with respect to any installment of interest on a Security of a particular series, means the date specified in such Security or in a Board Resolution or in an indenture supplemental hereto with respect to such series as the fixed date on which an installment of interest with respect to Securities of that series is due and payable.</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“Officers’ Certificate” means a certificate signed by the President or a Vice President and by the Chief Financial Officer, Vice President of Finance, the Treasurer or an Assistant Treasurer or the Controller or an Assistant Controller or the Secretary or an Assistant Secretary of the Company that is delivered to the Trustee in accordance with the terms hereof. Certificate shall include the statements provided for in Section 13.07, if and to the extent required by the provisions thereof.</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79" w:name="page80"/>
    <w:bookmarkEnd w:id="79"/>
    <w:p>
      <w:pPr>
        <w:jc w:val="both"/>
        <w:ind w:right="20" w:firstLine="648"/>
        <w:spacing w:after="0" w:line="277" w:lineRule="auto"/>
        <w:rPr>
          <w:sz w:val="20"/>
          <w:szCs w:val="20"/>
          <w:color w:val="auto"/>
        </w:rPr>
      </w:pPr>
      <w:r>
        <w:rPr>
          <w:rFonts w:ascii="Arial" w:cs="Arial" w:eastAsia="Arial" w:hAnsi="Arial"/>
          <w:sz w:val="18"/>
          <w:szCs w:val="18"/>
          <w:color w:val="auto"/>
        </w:rPr>
        <w:t>“Opinion of Counsel” means a written opinion of counsel, who may be counsel to the Company (and may include directors or employees of the Company) and which opinion is acceptable to the Trustee which acceptance shall not be unreasonably withheld.</w:t>
      </w:r>
    </w:p>
    <w:p>
      <w:pPr>
        <w:spacing w:after="0" w:line="170"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“Outstanding”, when used with reference to Securities of any series, means, subject to the provisions of Section 8.04, as of any particular time, all Securities of that series theretofore authenticated and delivered by the Trustee under this Indenture, except (a) Securities theretofore canceled by the Trustee or any paying agent, or delivered to the Trustee or any paying agent for cancellation or that have previously been canceled; (b) Securities or portions thereof for the payment or redemption of which moneys or Governmental Obligations in the necessary amount shall have been deposited in trust with the Trustee or with any paying agent (other than the Company) or shall have been set aside and segregated in trust by the Company (if the Company shall act as its own paying agent); provided, however, that if such Securities or portions of such Securities are to be redeemed prior to the maturity thereof, notice of such redemption shall have been given as in Article III provided, or provision satisfactory to the Trustee shall have been made for giving such notice; and (c) Securities in lieu of or in substitution for which other Securities shall have been authenticated and delivered pursuant to the terms of Section 2.07.</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“Person” means any individual, corporation, limited liability company, partnership, joint-venture, association, joint-stock company, trust, estate, unincorporated organization or government or any agency or political subdivision thereof.</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“Predecessor Security” of any particular Security means every previous Security evidencing all or a portion of the same debt as that evidenced by such particular Security; and, for the purposes of this definition, any Security authenticated and delivered under Section 2.07 in lieu of a mutilated, destroyed, lost or stolen Security shall be deemed to evidence the same debt as the mutilated, destroyed, lost or stolen Security.</w:t>
      </w:r>
    </w:p>
    <w:p>
      <w:pPr>
        <w:spacing w:after="0" w:line="16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“Responsible Officer,” when used with respect to the Trustee, means any officer of the Trustee, including any vice president, assistant vice president, secretary, assistant secretary, the treasurer, any assistant treasurer, the managing director or any other officer of the Trustee customarily performing functions similar to those performed by any of the above designated officers and also means, with respect to a particular corporate trust matter, any other officer to whom such matter is referred because of such officer’s knowledge of and familiarity with the particular subject.</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“Securities” means the debt Securities authenticated and delivered under this Indenture.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Register” has the meaning specified in Section 2.05.</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“Security Registrar” has the meaning specified in Section 2.05.</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“Securityholder,” “holder of Securities,” “registered holder,” or other similar term, means the Person or Persons in whose name or names a particular Security shall be registered in the Security Register.</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“Subsidiary” means, with respect to any Person, (i) any corporation at least a majority of whose outstanding Voting Stock shall at the time be owned, directly or indirectly, by such Person or by one or more of its Subsidiaries or by such Person and one or more of its Subsidiaries, (ii) any general partnership, joint venture or similar entity, at least a majority of whose outstanding partnership or similar interests shall at the time be owned by such Person, or by one or more of its Subsidiaries, or by such Person and one or more of its Subsidiaries and (iii) any limited partnership of which such Person or any of its Subsidiaries is a general partner.</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“Trustee” means the Person named as the “Trustee” in the first paragraph of this instrument until a successor Trustee shall have become such pursuant to the applicable provisions of this Indenture, and thereafter “Trustee” shall mean such successor Trustee. The term “Trustee” as used with respect to a particular series of the Securities shall mean the trustee with respect to that series.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0" w:name="page81"/>
    <w:bookmarkEnd w:id="80"/>
    <w:p>
      <w:pPr>
        <w:jc w:val="both"/>
        <w:ind w:firstLine="648"/>
        <w:spacing w:after="0" w:line="286" w:lineRule="auto"/>
        <w:rPr>
          <w:sz w:val="20"/>
          <w:szCs w:val="20"/>
          <w:color w:val="auto"/>
        </w:rPr>
      </w:pPr>
      <w:r>
        <w:rPr>
          <w:rFonts w:ascii="Arial" w:cs="Arial" w:eastAsia="Arial" w:hAnsi="Arial"/>
          <w:sz w:val="17"/>
          <w:szCs w:val="17"/>
          <w:color w:val="auto"/>
        </w:rPr>
        <w:t>“Trust Indenture Act” means the Trust Indenture Act of 1939, as amended, subject to the provisions of Sections 9.01, 9.02, and 10.01, as in effect at the date of execution of this instrument; provided, however, that in the event the Trust Indenture Act is amended after such date, Trust Indenture Act means, to the extent required by such amendment, the Trust Indenture Act of 1939, as so amended, or any successor statute.</w:t>
      </w:r>
    </w:p>
    <w:p>
      <w:pPr>
        <w:spacing w:after="0" w:line="16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“Voting Stock,” as applied to any Person, means shares, interests, participations or other equivalents in the equity interest (however designated) in such Person having ordinary voting power for the election of a majority of the directors (or the equivalent) of such Person, other than shares, interests, participations or other equivalents having such power only by reason of the occurrence of a contingency.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ISSUE, DESCRIPTION, TERMS, EXECUTION,</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REGISTRATION AND EXCHANGE OF SECURITIES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2.01 Designation and Terms of Securities.</w:t>
      </w:r>
    </w:p>
    <w:p>
      <w:pPr>
        <w:spacing w:after="0" w:line="225" w:lineRule="exact"/>
        <w:rPr>
          <w:sz w:val="20"/>
          <w:szCs w:val="20"/>
          <w:color w:val="auto"/>
        </w:rPr>
      </w:pPr>
    </w:p>
    <w:p>
      <w:pPr>
        <w:jc w:val="both"/>
        <w:ind w:left="1300" w:hanging="644"/>
        <w:spacing w:after="0" w:line="275" w:lineRule="auto"/>
        <w:tabs>
          <w:tab w:leader="none" w:pos="1300" w:val="left"/>
        </w:tabs>
        <w:numPr>
          <w:ilvl w:val="0"/>
          <w:numId w:val="76"/>
        </w:numPr>
        <w:rPr>
          <w:rFonts w:ascii="Arial" w:cs="Arial" w:eastAsia="Arial" w:hAnsi="Arial"/>
          <w:sz w:val="17"/>
          <w:szCs w:val="17"/>
          <w:color w:val="auto"/>
        </w:rPr>
      </w:pPr>
      <w:r>
        <w:rPr>
          <w:rFonts w:ascii="Arial" w:cs="Arial" w:eastAsia="Arial" w:hAnsi="Arial"/>
          <w:sz w:val="17"/>
          <w:szCs w:val="17"/>
          <w:color w:val="auto"/>
        </w:rPr>
        <w:t>The aggregate principal amount of Securities that may be authenticated and delivered under this Indenture is unlimited. The Securities may be issued in one or more series up to the aggregate principal amount of Securities of that series from time to time authorized by or pursuant to a Board Resolution of the Company or pursuant to one or more indentures supplemental hereto. Prior to the initial issuance of Securities of a given series, there shall be established in or pursuant to a Board Resolution of the Company, and set forth in an Officers’ Certificate of the Company, or established in one or more indentures supplemental hereto:</w:t>
      </w:r>
    </w:p>
    <w:p>
      <w:pPr>
        <w:spacing w:after="0" w:line="176" w:lineRule="exact"/>
        <w:rPr>
          <w:rFonts w:ascii="Arial" w:cs="Arial" w:eastAsia="Arial" w:hAnsi="Arial"/>
          <w:sz w:val="17"/>
          <w:szCs w:val="17"/>
          <w:color w:val="auto"/>
        </w:rPr>
      </w:pPr>
    </w:p>
    <w:p>
      <w:pPr>
        <w:ind w:left="1960" w:hanging="656"/>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title of the Security of the series (which shall distinguish the Securities of the series from all other Securities);</w:t>
      </w:r>
    </w:p>
    <w:p>
      <w:pPr>
        <w:spacing w:after="0" w:line="225" w:lineRule="exact"/>
        <w:rPr>
          <w:rFonts w:ascii="Arial" w:cs="Arial" w:eastAsia="Arial" w:hAnsi="Arial"/>
          <w:sz w:val="18"/>
          <w:szCs w:val="18"/>
          <w:color w:val="auto"/>
        </w:rPr>
      </w:pPr>
    </w:p>
    <w:p>
      <w:pPr>
        <w:jc w:val="both"/>
        <w:ind w:left="1960" w:hanging="656"/>
        <w:spacing w:after="0" w:line="311" w:lineRule="auto"/>
        <w:tabs>
          <w:tab w:leader="none" w:pos="1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aggregate principal amount of the Securities of such series initially to be issued and any limit upon the aggregate principal amount of the Securities of that series that may be authenticated and delivered under this Indenture (except for Securities authenticated and delivered upon registration of transfer of, or in exchange for, or in lieu of, other Securities of that series);</w:t>
      </w:r>
    </w:p>
    <w:p>
      <w:pPr>
        <w:spacing w:after="0" w:line="148" w:lineRule="exact"/>
        <w:rPr>
          <w:rFonts w:ascii="Arial" w:cs="Arial" w:eastAsia="Arial" w:hAnsi="Arial"/>
          <w:sz w:val="16"/>
          <w:szCs w:val="16"/>
          <w:color w:val="auto"/>
        </w:rPr>
      </w:pPr>
    </w:p>
    <w:p>
      <w:pPr>
        <w:ind w:left="1960" w:hanging="656"/>
        <w:spacing w:after="0" w:line="277" w:lineRule="auto"/>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currency or units based on or relating to currencies in which debt securities of such series are denominated and the currency or units in which principal or interest or both will or may be payable;</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 and the place(s) of payment;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rate or rates at which the Securities of the series shall bear interest or the manner of calculation of such rate or rates, if any;</w:t>
      </w:r>
    </w:p>
    <w:p>
      <w:pPr>
        <w:spacing w:after="0" w:line="248" w:lineRule="exact"/>
        <w:rPr>
          <w:rFonts w:ascii="Arial" w:cs="Arial" w:eastAsia="Arial" w:hAnsi="Arial"/>
          <w:sz w:val="16"/>
          <w:szCs w:val="16"/>
          <w:color w:val="auto"/>
        </w:rPr>
      </w:pPr>
    </w:p>
    <w:p>
      <w:pPr>
        <w:jc w:val="both"/>
        <w:ind w:left="1960" w:hanging="656"/>
        <w:spacing w:after="0" w:line="311" w:lineRule="auto"/>
        <w:tabs>
          <w:tab w:leader="none" w:pos="1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date or dates from which such interest shall accrue, the Interest Payment Dates on which such interest will be payable or the manner of determination of such Interest Payment Dates, the place(s) of payment, and the record date for the determination of holders to whom interest is payable on any such Interest Payment Dates or the method for determining such dates;</w:t>
      </w:r>
    </w:p>
    <w:p>
      <w:pPr>
        <w:spacing w:after="0" w:line="148" w:lineRule="exact"/>
        <w:rPr>
          <w:rFonts w:ascii="Arial" w:cs="Arial" w:eastAsia="Arial" w:hAnsi="Arial"/>
          <w:sz w:val="16"/>
          <w:szCs w:val="16"/>
          <w:color w:val="auto"/>
        </w:rPr>
      </w:pPr>
    </w:p>
    <w:p>
      <w:pPr>
        <w:ind w:left="1960" w:hanging="656"/>
        <w:spacing w:after="0"/>
        <w:tabs>
          <w:tab w:leader="none" w:pos="1960" w:val="left"/>
        </w:tabs>
        <w:numPr>
          <w:ilvl w:val="1"/>
          <w:numId w:val="76"/>
        </w:numPr>
        <w:rPr>
          <w:rFonts w:ascii="Arial" w:cs="Arial" w:eastAsia="Arial" w:hAnsi="Arial"/>
          <w:sz w:val="16"/>
          <w:szCs w:val="16"/>
          <w:color w:val="auto"/>
        </w:rPr>
      </w:pPr>
      <w:r>
        <w:rPr>
          <w:rFonts w:ascii="Arial" w:cs="Arial" w:eastAsia="Arial" w:hAnsi="Arial"/>
          <w:sz w:val="16"/>
          <w:szCs w:val="16"/>
          <w:color w:val="auto"/>
        </w:rPr>
        <w:t>the right, if any, to extend the interest payment periods or to defer the payment of interest and the duration of such extension;</w:t>
      </w:r>
    </w:p>
    <w:p>
      <w:pPr>
        <w:spacing w:after="0" w:line="248" w:lineRule="exact"/>
        <w:rPr>
          <w:rFonts w:ascii="Arial" w:cs="Arial" w:eastAsia="Arial" w:hAnsi="Arial"/>
          <w:sz w:val="16"/>
          <w:szCs w:val="16"/>
          <w:color w:val="auto"/>
        </w:rPr>
      </w:pPr>
    </w:p>
    <w:p>
      <w:pPr>
        <w:ind w:left="1960" w:hanging="656"/>
        <w:spacing w:after="0" w:line="277" w:lineRule="auto"/>
        <w:tabs>
          <w:tab w:leader="none" w:pos="1960" w:val="left"/>
        </w:tabs>
        <w:numPr>
          <w:ilvl w:val="1"/>
          <w:numId w:val="76"/>
        </w:numPr>
        <w:rPr>
          <w:rFonts w:ascii="Arial" w:cs="Arial" w:eastAsia="Arial" w:hAnsi="Arial"/>
          <w:sz w:val="18"/>
          <w:szCs w:val="18"/>
          <w:color w:val="auto"/>
        </w:rPr>
      </w:pPr>
      <w:r>
        <w:rPr>
          <w:rFonts w:ascii="Arial" w:cs="Arial" w:eastAsia="Arial" w:hAnsi="Arial"/>
          <w:sz w:val="18"/>
          <w:szCs w:val="18"/>
          <w:color w:val="auto"/>
        </w:rPr>
        <w:t>the period or periods within which, the price or prices at which and the terms and conditions upon which, Securities of the series may be redeemed, in whole or in part, at the option of the Company;</w:t>
      </w:r>
    </w:p>
    <w:p>
      <w:pPr>
        <w:spacing w:after="0" w:line="170" w:lineRule="exact"/>
        <w:rPr>
          <w:rFonts w:ascii="Arial" w:cs="Arial" w:eastAsia="Arial" w:hAnsi="Arial"/>
          <w:sz w:val="18"/>
          <w:szCs w:val="18"/>
          <w:color w:val="auto"/>
        </w:rPr>
      </w:pPr>
    </w:p>
    <w:p>
      <w:pPr>
        <w:jc w:val="both"/>
        <w:ind w:left="1960" w:hanging="656"/>
        <w:spacing w:after="0" w:line="279" w:lineRule="auto"/>
        <w:tabs>
          <w:tab w:leader="none" w:pos="1960" w:val="left"/>
        </w:tabs>
        <w:numPr>
          <w:ilvl w:val="1"/>
          <w:numId w:val="76"/>
        </w:numPr>
        <w:rPr>
          <w:rFonts w:ascii="Arial" w:cs="Arial" w:eastAsia="Arial" w:hAnsi="Arial"/>
          <w:sz w:val="17"/>
          <w:szCs w:val="17"/>
          <w:color w:val="auto"/>
        </w:rPr>
      </w:pPr>
      <w:r>
        <w:rPr>
          <w:rFonts w:ascii="Arial" w:cs="Arial" w:eastAsia="Arial" w:hAnsi="Arial"/>
          <w:sz w:val="17"/>
          <w:szCs w:val="17"/>
          <w:color w:val="auto"/>
        </w:rPr>
        <w:t>the obligation, if any, of the Company to redeem or purchase Securities of the series pursuant to any sinking fund or analogous provisions (including payments made in cash in satisfaction of future sinking fund obligations) or at the option of a holder thereof and the period or periods within which, the price or prices at which, and the terms and conditions upon which, Securities of the series shall be redeemed or purchased, in whole or in part, pursuant to such obligation;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1" w:name="page82"/>
    <w:bookmarkEnd w:id="81"/>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whether or not the debt securities will be secured or unsecured, and the terms of any secured debt;</w:t>
      </w:r>
    </w:p>
    <w:p>
      <w:pPr>
        <w:spacing w:after="0" w:line="225"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form of the Securities of the series including the form of the Certificate of Authentication for such series;</w:t>
      </w:r>
    </w:p>
    <w:p>
      <w:pPr>
        <w:spacing w:after="0" w:line="225" w:lineRule="exact"/>
        <w:rPr>
          <w:rFonts w:ascii="Arial" w:cs="Arial" w:eastAsia="Arial" w:hAnsi="Arial"/>
          <w:sz w:val="18"/>
          <w:szCs w:val="18"/>
          <w:color w:val="auto"/>
        </w:rPr>
      </w:pPr>
    </w:p>
    <w:p>
      <w:pPr>
        <w:ind w:left="1960" w:right="20" w:hanging="656"/>
        <w:spacing w:after="0" w:line="277" w:lineRule="auto"/>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other than denominations of one thousand U.S. dollars ($1,000) or any integral multiple thereof, the denominations in which the Securities of the series shall be issuable;</w:t>
      </w:r>
    </w:p>
    <w:p>
      <w:pPr>
        <w:spacing w:after="0" w:line="170"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any and all other terms with respect to such series (which terms shall not be inconsistent with the terms of this Indenture, as amended by any supplemental indenture) including any terms which may be required by or advisable under United States laws or regulations or advisable in connection with the marketing of Securities of that series;</w:t>
      </w:r>
    </w:p>
    <w:p>
      <w:pPr>
        <w:spacing w:after="0" w:line="183"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7"/>
          <w:szCs w:val="17"/>
          <w:color w:val="auto"/>
        </w:rPr>
      </w:pPr>
      <w:r>
        <w:rPr>
          <w:rFonts w:ascii="Arial" w:cs="Arial" w:eastAsia="Arial" w:hAnsi="Arial"/>
          <w:sz w:val="17"/>
          <w:szCs w:val="17"/>
          <w:color w:val="auto"/>
        </w:rPr>
        <w:t>whether the Securities are issuable as a Global Security and, in such case, the identity of the Depositary for such series;</w:t>
      </w:r>
    </w:p>
    <w:p>
      <w:pPr>
        <w:spacing w:after="0" w:line="236" w:lineRule="exact"/>
        <w:rPr>
          <w:rFonts w:ascii="Arial" w:cs="Arial" w:eastAsia="Arial" w:hAnsi="Arial"/>
          <w:sz w:val="17"/>
          <w:szCs w:val="17"/>
          <w:color w:val="auto"/>
        </w:rPr>
      </w:pPr>
    </w:p>
    <w:p>
      <w:pPr>
        <w:ind w:left="1960" w:hanging="656"/>
        <w:spacing w:after="0" w:line="342" w:lineRule="auto"/>
        <w:tabs>
          <w:tab w:leader="none" w:pos="1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whether the Securities will be convertible into shares of common stock or other securities of the Company and, if so, the terms and conditions upon which such Securities will be so convertible, including the conversion price and the conversion period;</w:t>
      </w:r>
    </w:p>
    <w:p>
      <w:pPr>
        <w:spacing w:after="0" w:line="123" w:lineRule="exact"/>
        <w:rPr>
          <w:rFonts w:ascii="Arial" w:cs="Arial" w:eastAsia="Arial" w:hAnsi="Arial"/>
          <w:sz w:val="16"/>
          <w:szCs w:val="16"/>
          <w:color w:val="auto"/>
        </w:rPr>
      </w:pPr>
    </w:p>
    <w:p>
      <w:pPr>
        <w:ind w:left="1960" w:hanging="656"/>
        <w:spacing w:after="0" w:line="277" w:lineRule="auto"/>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6.01;</w:t>
      </w:r>
    </w:p>
    <w:p>
      <w:pPr>
        <w:spacing w:after="0" w:line="170" w:lineRule="exact"/>
        <w:rPr>
          <w:rFonts w:ascii="Arial" w:cs="Arial" w:eastAsia="Arial" w:hAnsi="Arial"/>
          <w:sz w:val="18"/>
          <w:szCs w:val="18"/>
          <w:color w:val="auto"/>
        </w:rPr>
      </w:pPr>
    </w:p>
    <w:p>
      <w:pPr>
        <w:ind w:left="1960" w:hanging="656"/>
        <w:spacing w:after="0"/>
        <w:tabs>
          <w:tab w:leader="none" w:pos="1960" w:val="left"/>
        </w:tabs>
        <w:numPr>
          <w:ilvl w:val="0"/>
          <w:numId w:val="77"/>
        </w:numPr>
        <w:rPr>
          <w:rFonts w:ascii="Arial" w:cs="Arial" w:eastAsia="Arial" w:hAnsi="Arial"/>
          <w:sz w:val="16"/>
          <w:szCs w:val="16"/>
          <w:color w:val="auto"/>
        </w:rPr>
      </w:pPr>
      <w:r>
        <w:rPr>
          <w:rFonts w:ascii="Arial" w:cs="Arial" w:eastAsia="Arial" w:hAnsi="Arial"/>
          <w:sz w:val="16"/>
          <w:szCs w:val="16"/>
          <w:color w:val="auto"/>
        </w:rPr>
        <w:t>any additional or different Events of Default or restrictive covenants provided for with respect to the Securities of the series; and</w:t>
      </w:r>
    </w:p>
    <w:p>
      <w:pPr>
        <w:spacing w:after="0" w:line="248" w:lineRule="exact"/>
        <w:rPr>
          <w:rFonts w:ascii="Arial" w:cs="Arial" w:eastAsia="Arial" w:hAnsi="Arial"/>
          <w:sz w:val="16"/>
          <w:szCs w:val="16"/>
          <w:color w:val="auto"/>
        </w:rPr>
      </w:pPr>
    </w:p>
    <w:p>
      <w:pPr>
        <w:ind w:left="1960" w:hanging="656"/>
        <w:spacing w:after="0"/>
        <w:tabs>
          <w:tab w:leader="none" w:pos="19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subordination terms of the Securities of the series.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any such Board Resolution or in any indentures supplemental hereto.</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If any of the terms of the series are established by action taken pursuant to a Board Resolution of the Company, a copy of an appropriate record of such action shall be certified by the Secretary or an Assistant Secretary of the Company and delivered to the Trustee at or prior to the delivery of the Officers’ Certificate of the Company setting forth the terms of the series.</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Securities of any particular series may be issued at various times, with different dates on which the principal or any installment of principal is payable, with different rates of interest, if any, or different methods by which rates of interest may be determined, with different dates on which such interest may be payable and with different redemption dates.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2.02 Form of Securities and Trustee’s Certificate.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Securities of any series and the Trustee’s certificate of authentication to be borne by such Securities shall be substantially of the tenor and purport as set forth in one or more indentures supplemental hereto or as provided in a Board Resolution of the Company and as set forth in an Officers’ Certificate of the Company and may have such letters, numbers or other marks of identification or designation and such legends or endorsements printed, lithographed or engraved thereon as the Company may deem appropriate and as are not inconsistent with the provisions of this Indenture, or as may be required to comply with any law or with any rule or regulation made pursuant thereto or with any rule or regulation of any stock exchange on which Securities of that series may be listed, or to conform to usage.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2.03 Denominations: Provisions for Payment.</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Securities shall be issuable as registered Securities and in the denominations of one thousand U.S. dollars ($1,000) or any integral multiple thereof, subject to Section 2.01(a)(12). The Securities of a particular series shall bear interest payable on the dates and at the rate specified with respect to that series. The principal of and the interest on the Securities of any series, as well as any premium thereon in case of redemption thereof prior to maturity, shall be payable in the coin or currency of the United States of America that at the time is legal tender for public and private debt, at the office or agency of the Company maintained for that purpose in the Borough of Manhattan, the City and State of New York. Each Security shall be dated the date of its authentication. Interest on the Securities shall be computed on the basis of a 360-day year composed of twelve 30-day months.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2" w:name="page83"/>
    <w:bookmarkEnd w:id="82"/>
    <w:p>
      <w:pPr>
        <w:jc w:val="both"/>
        <w:ind w:firstLine="648"/>
        <w:spacing w:after="0" w:line="275" w:lineRule="auto"/>
        <w:rPr>
          <w:sz w:val="20"/>
          <w:szCs w:val="20"/>
          <w:color w:val="auto"/>
        </w:rPr>
      </w:pPr>
      <w:r>
        <w:rPr>
          <w:rFonts w:ascii="Arial" w:cs="Arial" w:eastAsia="Arial" w:hAnsi="Arial"/>
          <w:sz w:val="17"/>
          <w:szCs w:val="17"/>
          <w:color w:val="auto"/>
        </w:rPr>
        <w:t>The interest installment on any Security that is payable, and is punctually paid or duly provided for, on any Interest Payment Date for Securities of that series shall be paid to the Person in whose name said Security (or one or more Predecessor Securities) is registered at the close of business on the regular record date for such interest installment. In the event that any Security of a particular series or portion thereof is called for redemption and the redemption date is subsequent to a regular record date with respect to any Interest Payment Date and prior to such Interest Payment Date, interest on such Security will be paid upon presentation and surrender of such Security as provided in Section 3.03.</w:t>
      </w:r>
    </w:p>
    <w:p>
      <w:pPr>
        <w:spacing w:after="0" w:line="17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Any interest on any Security that is payable, but is not punctually paid or duly provided for, on any Interest Payment Date for Securities of the same series (herein called “Defaulted Interest”) shall forthwith cease to be payable to the registered holder on the relevant regular record date by virtue of having been such holder; and such Defaulted Interest shall be paid by the Company, at its election, as provided in clause (1) or clause (2) below:</w:t>
      </w:r>
    </w:p>
    <w:p>
      <w:pPr>
        <w:spacing w:after="0" w:line="149" w:lineRule="exact"/>
        <w:rPr>
          <w:sz w:val="20"/>
          <w:szCs w:val="20"/>
          <w:color w:val="auto"/>
        </w:rPr>
      </w:pPr>
    </w:p>
    <w:p>
      <w:pPr>
        <w:jc w:val="both"/>
        <w:ind w:left="1300" w:hanging="644"/>
        <w:spacing w:after="0" w:line="268" w:lineRule="auto"/>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The Company may make payment of any Defaulted Interest on Securities to the Persons in whose names such Securities (or their respective Predecessor Securities) are registered at the close of business on a special record date for the payment of such Defaulted Interest, which shall be fixed in the following manner: the Company shall notify the Trustee in writing of the amount of Defaulted Interest proposed to be paid on each such Security and the date of the proposed payment, and at the same time the Company shall deposit with the Trustee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clause provided. Thereupon the Trustee shall fix a special record date for the payment of such Defaulted Interest which shall not be more than 15 nor less than 10 days prior to the date of the proposed payment and not less than 10 days after the receipt by the Trustee of the notice of the proposed payment. The Trustee shall promptly notify the Company of such special record date and, in the name and at the expense of the Company, shall cause notice of the proposed payment of such Defaulted Interest and the special record date therefor to be mailed, first class postage prepaid, to each Securityholder at his or her address as it appears in the Security Register, not less than 10 days prior to such special record date. Notice of the proposed payment of such Defaulted Interest and the special record date therefor having been mailed as aforesaid, such Defaulted Interest shall be paid to the Persons in whose names such Securities (or their respective Predecessor Securities) are registered on such special record date.</w:t>
      </w:r>
    </w:p>
    <w:p>
      <w:pPr>
        <w:spacing w:after="0" w:line="18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78"/>
        </w:numPr>
        <w:rPr>
          <w:rFonts w:ascii="Arial" w:cs="Arial" w:eastAsia="Arial" w:hAnsi="Arial"/>
          <w:sz w:val="18"/>
          <w:szCs w:val="18"/>
          <w:color w:val="auto"/>
        </w:rPr>
      </w:pPr>
      <w:r>
        <w:rPr>
          <w:rFonts w:ascii="Arial" w:cs="Arial" w:eastAsia="Arial" w:hAnsi="Arial"/>
          <w:sz w:val="18"/>
          <w:szCs w:val="18"/>
          <w:color w:val="auto"/>
        </w:rPr>
        <w:t>The Company may make payment of any Defaulted Interest on any Securities in any other lawful manner not inconsistent with the requirements of any securities exchange on which such Securities may be listed, and upon such notice as may be required by such exchange, if, after notice given by the Company to the Trustee of the proposed payment pursuant to this clause, such manner of payment shall be deemed practicable by the Trustee.</w:t>
      </w:r>
    </w:p>
    <w:p>
      <w:pPr>
        <w:spacing w:after="0" w:line="18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Unless otherwise set forth in a Board Resolution of the Company or one or more indentures supplemental hereto establishing the terms of any series of Securities pursuant to Section 2.01 hereof, the term “regular record date” as used in this Section with respect to a series of Securities with respect to any Interest Payment Date for such series shall mean either the fifteenth day of the month immediately preceding the month in which an Interest Payment Date established for such series pursuant to Section 2.01 hereof shall occur, if such Interest Payment Date is the first day of a month, or the last day of the month immediately preceding the month in which an Interest Payment Date established for such series pursuant to Section 2.01 hereof shall occur, if such Interest Payment Date is the fifteenth day of a month, whether or not such date is a Business Day.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3" w:name="page84"/>
    <w:bookmarkEnd w:id="83"/>
    <w:p>
      <w:pPr>
        <w:jc w:val="both"/>
        <w:ind w:firstLine="648"/>
        <w:spacing w:after="0" w:line="342" w:lineRule="auto"/>
        <w:rPr>
          <w:sz w:val="20"/>
          <w:szCs w:val="20"/>
          <w:color w:val="auto"/>
        </w:rPr>
      </w:pPr>
      <w:r>
        <w:rPr>
          <w:rFonts w:ascii="Arial" w:cs="Arial" w:eastAsia="Arial" w:hAnsi="Arial"/>
          <w:sz w:val="16"/>
          <w:szCs w:val="16"/>
          <w:color w:val="auto"/>
        </w:rPr>
        <w:t>Subject to the foregoing provisions of this Section, each Security of a series delivered under this Indenture upon transfer of or in exchange for or in lieu of any other Security of such series shall carry the rights to interest accrued and unpaid, and to accrue, that were carried by such other Security.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2.04 Execution and Authentications.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Securities shall be signed on behalf of the Company by its President, or one of its Vice Presidents, or its Treasurer, or one of its Assistant Treasurers, or its Secretary, or one of its Assistant Secretaries, under its corporate seal attested by its Secretary or one of its Assistant Secretaries. Signatures may be in the form of a manual or facsimile signature. The Company may use the facsimile signature of any Person who shall have been a President or Vice President thereof, or of any Person who shall have been a Treasurer or Assistant Treasurer thereof, or of any Person who shall have been a Secretary or Assistant Secretary thereof, notwithstanding the fact that at the time the Securities shall be authenticated and delivered or disposed of such Person shall have ceased to be the President or a Vice President, the Treasurer or an Assistant Treasurer or the Secretary or an Assistant Secretary, of the Company. The seal of the Company may be in the form of a facsimile of such seal and may be impressed, affixed, imprinted or otherwise reproduced on the Securities. The Securities may contain such notations, legends or endorsements required by law, stock exchange rule or usage. Each Security shall be dated the date of its authentication.</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 Security shall not be valid or obligatory for any purpose and shall not be entitled to any benefit under this Indenture, in each case, until authenticated with a certificate of authentication manually signed by an authorized signatory of the Trustee, or by an Authenticating Agent. Such certificate shall be conclusive evidence, and the only evidence, that the Security so authenticated has been duly authenticated and delivered hereunder and that the Security is entitled to the benefits of this Indenture. At any time and from time to time after the execution and delivery of this Indenture, the Company may deliver Securities of any series executed by the Company to the Trustee for authentication, together with a written order of the Company for the authentication and delivery of such Securities, signed by its President or any Vice President and its Secretary or any Assistant Secretary, and the Trustee in accordance with such written order shall authenticate and deliver such Securities.</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authenticating such Securities and accepting the additional responsibilities under this Indenture in relation to such Securities, the Trustee shall be entitled to receive, and (subject to Section 7.01) shall be fully protected in relying upon, an Opinion of Counsel stating that the form and terms thereof have been established in conformity with the provisions of this Indenture.</w:t>
      </w:r>
    </w:p>
    <w:p>
      <w:pPr>
        <w:spacing w:after="0" w:line="184"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Trustee shall not be required to authenticate such Securities if the issue of such Securities pursuant to this Indenture will affect the Trustee’s own rights, duties or immunities under the Securities and this Indenture or otherwise in a manner that is not reasonably acceptable to the Trustee.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2.05 Registration of Transfer and Exchange.</w:t>
      </w:r>
    </w:p>
    <w:p>
      <w:pPr>
        <w:spacing w:after="0" w:line="225" w:lineRule="exact"/>
        <w:rPr>
          <w:sz w:val="20"/>
          <w:szCs w:val="20"/>
          <w:color w:val="auto"/>
        </w:rPr>
      </w:pPr>
    </w:p>
    <w:p>
      <w:pPr>
        <w:jc w:val="both"/>
        <w:ind w:left="1300" w:hanging="644"/>
        <w:spacing w:after="0" w:line="293" w:lineRule="auto"/>
        <w:tabs>
          <w:tab w:leader="none" w:pos="1300" w:val="left"/>
        </w:tabs>
        <w:numPr>
          <w:ilvl w:val="0"/>
          <w:numId w:val="79"/>
        </w:numPr>
        <w:rPr>
          <w:rFonts w:ascii="Arial" w:cs="Arial" w:eastAsia="Arial" w:hAnsi="Arial"/>
          <w:sz w:val="16"/>
          <w:szCs w:val="16"/>
          <w:color w:val="auto"/>
        </w:rPr>
      </w:pPr>
      <w:r>
        <w:rPr>
          <w:rFonts w:ascii="Arial" w:cs="Arial" w:eastAsia="Arial" w:hAnsi="Arial"/>
          <w:sz w:val="16"/>
          <w:szCs w:val="16"/>
          <w:color w:val="auto"/>
        </w:rPr>
        <w:t>Securities of any series may be exchanged upon presentation thereof at the office or agency of the Company designated for such purpose in the Borough of Manhattan, the City and State of New York, for other Securities of such series of authorized denominations, and for a like aggregate principal amount, upon payment of a sum sufficient to cover any tax or other governmental charge in relation thereto, all as provided in this Section. In respect of any Securities so surrendered for exchange, the Company shall execute, the Trustee shall authenticate and such office or agency shall deliver in exchange therefor the Security or Securities of the same series that the Securityholder making the exchange shall be entitled to receive, bearing numbers not contemporaneously outstanding.</w:t>
      </w:r>
    </w:p>
    <w:p>
      <w:pPr>
        <w:spacing w:after="0" w:line="164" w:lineRule="exact"/>
        <w:rPr>
          <w:rFonts w:ascii="Arial" w:cs="Arial" w:eastAsia="Arial" w:hAnsi="Arial"/>
          <w:sz w:val="16"/>
          <w:szCs w:val="16"/>
          <w:color w:val="auto"/>
        </w:rPr>
      </w:pPr>
    </w:p>
    <w:p>
      <w:pPr>
        <w:jc w:val="both"/>
        <w:ind w:left="1300" w:hanging="644"/>
        <w:spacing w:after="0" w:line="255" w:lineRule="auto"/>
        <w:tabs>
          <w:tab w:leader="none" w:pos="1300"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Company shall keep, or cause to be kept, at its office or agency designated for such purpose in the Borough of Manhattan, the City and State of New York, or such other location designated by the Company a register or registers (herein referred to as the “Security Register”) in which, subject to such reasonable regulations as it may prescribe, the Company shall register the Securities and the transfers of Securities as in this Article provided and which at all reasonable times shall be open for inspection by the Trustee. The registrar for the purpose of registering Securities and transfer of Securities as herein provided shall be appointed as authorized by Board Resolution (the “Security Registrar”).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4" w:name="page85"/>
    <w:bookmarkEnd w:id="84"/>
    <w:p>
      <w:pPr>
        <w:jc w:val="both"/>
        <w:ind w:left="1300"/>
        <w:spacing w:after="0" w:line="286" w:lineRule="auto"/>
        <w:rPr>
          <w:sz w:val="20"/>
          <w:szCs w:val="20"/>
          <w:color w:val="auto"/>
        </w:rPr>
      </w:pPr>
      <w:r>
        <w:rPr>
          <w:rFonts w:ascii="Arial" w:cs="Arial" w:eastAsia="Arial" w:hAnsi="Arial"/>
          <w:sz w:val="17"/>
          <w:szCs w:val="17"/>
          <w:color w:val="auto"/>
        </w:rPr>
        <w:t>Upon surrender for transfer of any Security at the office or agency of the Company designated for such purpose, the Company shall execute, the Trustee shall authenticate and such office or agency shall deliver in the name of the transferee or transferees a new Security or Securities of the same series as the Security presented for a like aggregate principal amount.</w:t>
      </w:r>
    </w:p>
    <w:p>
      <w:pPr>
        <w:spacing w:after="0" w:line="165" w:lineRule="exact"/>
        <w:rPr>
          <w:sz w:val="20"/>
          <w:szCs w:val="20"/>
          <w:color w:val="auto"/>
        </w:rPr>
      </w:pPr>
    </w:p>
    <w:p>
      <w:pPr>
        <w:jc w:val="both"/>
        <w:ind w:left="1300"/>
        <w:spacing w:after="0" w:line="286" w:lineRule="auto"/>
        <w:rPr>
          <w:sz w:val="20"/>
          <w:szCs w:val="20"/>
          <w:color w:val="auto"/>
        </w:rPr>
      </w:pPr>
      <w:r>
        <w:rPr>
          <w:rFonts w:ascii="Arial" w:cs="Arial" w:eastAsia="Arial" w:hAnsi="Arial"/>
          <w:sz w:val="17"/>
          <w:szCs w:val="17"/>
          <w:color w:val="auto"/>
        </w:rPr>
        <w:t>All Securities presented or surrendered for exchange or registration of transfer, as provided in this Section, shall be accompanied (if so required by the Company or the Security Registrar) by a written instrument or instruments of transfer, in form satisfactory to the Company or the Security Registrar, duly executed by the registered holder or by such holder’s duly authorized attorney in writing.</w:t>
      </w:r>
    </w:p>
    <w:p>
      <w:pPr>
        <w:spacing w:after="0" w:line="165" w:lineRule="exact"/>
        <w:rPr>
          <w:sz w:val="20"/>
          <w:szCs w:val="20"/>
          <w:color w:val="auto"/>
        </w:rPr>
      </w:pPr>
    </w:p>
    <w:p>
      <w:pPr>
        <w:jc w:val="both"/>
        <w:ind w:left="1300" w:hanging="644"/>
        <w:spacing w:after="0" w:line="311" w:lineRule="auto"/>
        <w:tabs>
          <w:tab w:leader="none" w:pos="1300" w:val="left"/>
        </w:tabs>
        <w:numPr>
          <w:ilvl w:val="0"/>
          <w:numId w:val="80"/>
        </w:numPr>
        <w:rPr>
          <w:rFonts w:ascii="Arial" w:cs="Arial" w:eastAsia="Arial" w:hAnsi="Arial"/>
          <w:sz w:val="16"/>
          <w:szCs w:val="16"/>
          <w:color w:val="auto"/>
        </w:rPr>
      </w:pPr>
      <w:r>
        <w:rPr>
          <w:rFonts w:ascii="Arial" w:cs="Arial" w:eastAsia="Arial" w:hAnsi="Arial"/>
          <w:sz w:val="16"/>
          <w:szCs w:val="16"/>
          <w:color w:val="auto"/>
        </w:rPr>
        <w:t>No service charge shall be made for any exchange or registration of transfer of Securities, or issue of new Securities in case of partial redemption of any series, but the Company may require payment of a sum sufficient to cover any tax or other governmental charge in relation thereto, other than exchanges pursuant to Section 2.06, Section 3.03(b) and Section 9.04 not involving any transfer.</w:t>
      </w:r>
    </w:p>
    <w:p>
      <w:pPr>
        <w:spacing w:after="0" w:line="148" w:lineRule="exact"/>
        <w:rPr>
          <w:rFonts w:ascii="Arial" w:cs="Arial" w:eastAsia="Arial" w:hAnsi="Arial"/>
          <w:sz w:val="16"/>
          <w:szCs w:val="16"/>
          <w:color w:val="auto"/>
        </w:rPr>
      </w:pPr>
    </w:p>
    <w:p>
      <w:pPr>
        <w:jc w:val="both"/>
        <w:ind w:left="1300" w:hanging="644"/>
        <w:spacing w:after="0" w:line="257" w:lineRule="auto"/>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Company shall not be required (i) to issue, exchange or register the transfer of any Securities during a period beginning at the opening of business 15 days before the day of the mailing of a notice of redemption of less than all the Outstanding Securities of the same series and ending at the close of business on the day of such mailing, nor (ii) to register the transfer of or exchange any Securities of any series or portions thereof called for redemption. The provisions of this Section 2.05 are, with respect to any Global Security, subject to Section 2.11 hereof.</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2.06 Temporary Securities.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Pending the preparation of definitive Securities of any series, the Company may execute, and the Trustee shall authenticate and deliver, temporary Securities (printed, lithographed or typewritten) of any authorized denomination. Such temporary Securities shall be substantially in the form of the definitive Securities in lieu of which they are issued, but with such omissions, insertions and variations as may be appropriate for temporary Securities, all as may be determined by the Company. Every temporary Security of any series shall be executed by the Company and be authenticated by the Trustee upon the same conditions and in substantially the same manner, and with like effect, as the definitive Securities of such series. Without unnecessary delay the Company will execute and will furnish definitive Securities of such series and thereupon any or all temporary Securities of such series may be surrendered in exchange therefor (without charge to the holders), at the office or agency of the Company designated for the purpose in the Borough of Manhattan, the City and State of New York, and the Trustee shall authenticate and such office or agency shall deliver in exchange for such temporary Securities an equal aggregate principal amount of definitive Securities of such series, unless the Company advises the Trustee to the effect that definitive Securities need not be executed and furnished until further notice from the Company. Until so exchanged, the temporary Securities of such series shall be entitled to the same benefits under this Indenture as definitive Securities of such series authenticated and delivered hereunder.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5" w:name="page86"/>
    <w:bookmarkEnd w:id="85"/>
    <w:p>
      <w:pPr>
        <w:spacing w:after="0"/>
        <w:rPr>
          <w:sz w:val="20"/>
          <w:szCs w:val="20"/>
          <w:color w:val="auto"/>
        </w:rPr>
      </w:pPr>
      <w:r>
        <w:rPr>
          <w:rFonts w:ascii="Arial" w:cs="Arial" w:eastAsia="Arial" w:hAnsi="Arial"/>
          <w:sz w:val="18"/>
          <w:szCs w:val="18"/>
          <w:color w:val="auto"/>
        </w:rPr>
        <w:t>SECTION 2.07 Mutilated, Destroyed, Lost or Stolen Securities.</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In case any temporary or definitive Security shall become mutilated or be destroyed, lost or stolen, the Company (subject to the next succeeding sentence) shall execute, and upon the Company’s request the Trustee (subject as aforesaid) shall authenticate and deliver, a new Security of the same series, bearing a number not contemporaneously outstanding, in exchange and substitution for the mutilated Security, or in lieu of and in substitution for the Security so destroyed, lost or stolen. In every case the applicant for a substituted Security shall furnish to the Company and the Trustee such security or indemnity as may be required by them to save each of them harmless, and, in every case of destruction, loss or theft, the applicant shall also furnish to the Company and the Trustee evidence to their satisfaction of the destruction, loss or theft of the applicant’s Security and of the ownership thereof. The Trustee may authenticate any such substituted Security and deliver the same upon the written request or authorization of any officer of the Company. Upon the issuance of any substituted Security, the Company may require the payment of a sum sufficient to cover any tax or other governmental charge that may be imposed in relation thereto and any other expenses (including the fees and expenses of the Trustee) connected therewith. In case any Security that has matured or is about to mature shall become mutilated or be destroyed, lost or stolen, the Company may, instead of issuing a substitute Security, pay or authorize the payment of the same (without surrender thereof except in the case of a mutilated Security) if the applicant for such payment shall furnish to the Company and the Trustee such security or indemnity as they may require to save them harmless, and, in case of destruction, loss or theft, evidence to the satisfaction of the Company and the Trustee of the destruction, loss or theft of such Security and of the ownership thereof.</w:t>
      </w:r>
    </w:p>
    <w:p>
      <w:pPr>
        <w:spacing w:after="0" w:line="174"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Every replacement Security issued pursuant to the provisions of this Section shall constitute an additional contractual obligation of the Company whether or not the mutilated, destroyed, lost or stolen Security shall be found at any time, or be enforceable by anyone, and shall be entitled to all the benefits of this Indenture equally and proportionately with any and all other Securities of the same series duly issued hereunder. All Securities shall be held and owned upon the express condition that the foregoing provisions are exclusive with respect to the replacement or payment of mutilated, destroyed, lost or stolen Securities, and shall preclude (to the extent lawful) any and all other rights or remedies, notwithstanding any law or statute existing or hereafter enacted to the contrary with respect to the replacement or payment of negotiable instruments or other securities without their surrender.</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SECTION 2.08 Cancellation.</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All Securities surrendered for the purpose of payment, redemption, exchange or registration of transfer shall, if surrendered to the Company or any paying agent, be delivered to the Trustee for cancellation, or, if surrendered to the Trustee, shall be cancelled by it, and no Securities shall be issued in lieu thereof except as expressly required or permitted by any of the provisions of this Indenture. On request of the Company at the time of such surrender, the Trustee shall deliver to the Company canceled Securities held by the Trustee. In the absence of such request the Trustee may dispose of canceled Securities in accordance with its standard procedures and deliver a certificate of disposition to the Company. If the Company shall otherwise acquire any of the Securities, however, such acquisition shall not operate as a redemption or satisfaction of the indebtedness represented by such Securities unless and until the same are delivered to the Trustee for cancellation.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2.09 Benefits of Indenture.</w:t>
      </w:r>
    </w:p>
    <w:p>
      <w:pPr>
        <w:spacing w:after="0" w:line="225"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Nothing in this Indenture or in the Securities, express or implied, shall give or be construed to give to any Person, other than the parties hereto and the holders of the Securities (and, with respect to the provisions of Article XIV, the holders of Senior Indebtedness, as defined in any supplement to this Indenture pursuant to Article XIV) any legal or equitable right, remedy or claim under or in respect of this Indenture, or under any covenant, condition or provision herein contained; all such covenants, conditions and provisions being for the sole benefit of the parties hereto and of the holders of the Securities (and, with respect to the provisions of Article XIV, the holders of Senior Indebtedness).</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SECTION 2.10 Authenticating Agent.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 long as any of the Securities of any series remain Outstanding there may be an Authenticating Agent for any or all such series of Securities which the Trustee shall have the right to appoint. Said Authenticating Agent shall be authorized to act on behalf of the Trustee to authenticate Securities of such series issued upon exchange, transfer or partial redemption thereof, and Securities so authenticated shall be entitled to the benefits of this Indenture and shall be valid and obligatory for all purposes as if authenticated by the Trustee hereunder. All references in this Indenture to the authentication of Securities by the Trustee shall be deemed to include authentication by an Authenticating Agent for such series. Each Authenticating Agent shall be acceptable to the Company and shall be a corporation that has a combined capital and surplus, as most recently reported or determined by it, sufficient under the laws of any jurisdiction under which it is organized or in which it is doing business to conduct a trust business, and that is otherwise authorized under such laws to conduct such business and is subject to supervision or examination by Federal or State authorities. If at any time any Authenticating Agent shall cease to be eligible in accordance with these provisions, it shall resign immediately.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6" w:name="page87"/>
    <w:bookmarkEnd w:id="86"/>
    <w:p>
      <w:pPr>
        <w:jc w:val="both"/>
        <w:ind w:firstLine="648"/>
        <w:spacing w:after="0" w:line="255" w:lineRule="auto"/>
        <w:rPr>
          <w:sz w:val="20"/>
          <w:szCs w:val="20"/>
          <w:color w:val="auto"/>
        </w:rPr>
      </w:pPr>
      <w:r>
        <w:rPr>
          <w:rFonts w:ascii="Arial" w:cs="Arial" w:eastAsia="Arial" w:hAnsi="Arial"/>
          <w:sz w:val="18"/>
          <w:szCs w:val="18"/>
          <w:color w:val="auto"/>
        </w:rPr>
        <w:t>Any Authenticating Agent may at any time resign by giving written notice of resignation to the Trustee and to the Company. The Trustee may at any time (and upon request by the Company shall) terminate the agency of any Authenticating Agent by giving written notice of termination to such Authenticating Agent and to the Company. Upon resignation, termination or cessation of eligibility of any Authenticating Agent, the Trustee may appoint an eligible successor Authenticating Agent acceptable to the Company. Any successor Authenticating Agent, upon acceptance of its appointment hereunder, shall become vested with all the rights, powers and duties of its predecessor hereunder as if originally named as an Authenticating Agent pursuant hereto.</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2.11 Global Securities</w:t>
      </w:r>
    </w:p>
    <w:p>
      <w:pPr>
        <w:spacing w:after="0" w:line="225" w:lineRule="exact"/>
        <w:rPr>
          <w:sz w:val="20"/>
          <w:szCs w:val="20"/>
          <w:color w:val="auto"/>
        </w:rPr>
      </w:pPr>
    </w:p>
    <w:p>
      <w:pPr>
        <w:jc w:val="both"/>
        <w:ind w:left="1300" w:hanging="644"/>
        <w:spacing w:after="0" w:line="286"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the Company shall establish pursuant to Section 2.01 that some or all of the Securities of a particular series are to be issued as a Global Security, then the Company shall execute and the Trustee shall, in accordance with Section 2.04, authenticate and deliver, a Global Security that (i) shall represent, and shall be denominated in an amount equal to the aggregate principal amount of, the Outstanding Securities of such series which are to be issued as a Global Security, (ii) shall be registered in the name of the Depositary or its nominee,</w:t>
      </w:r>
    </w:p>
    <w:p>
      <w:pPr>
        <w:spacing w:after="0" w:line="1" w:lineRule="exact"/>
        <w:rPr>
          <w:rFonts w:ascii="Arial" w:cs="Arial" w:eastAsia="Arial" w:hAnsi="Arial"/>
          <w:sz w:val="16"/>
          <w:szCs w:val="16"/>
          <w:color w:val="auto"/>
        </w:rPr>
      </w:pPr>
    </w:p>
    <w:p>
      <w:pPr>
        <w:jc w:val="both"/>
        <w:ind w:left="1300" w:firstLine="4"/>
        <w:spacing w:after="0" w:line="253" w:lineRule="auto"/>
        <w:tabs>
          <w:tab w:leader="none" w:pos="1658" w:val="left"/>
        </w:tabs>
        <w:numPr>
          <w:ilvl w:val="1"/>
          <w:numId w:val="81"/>
        </w:numPr>
        <w:rPr>
          <w:rFonts w:ascii="Arial" w:cs="Arial" w:eastAsia="Arial" w:hAnsi="Arial"/>
          <w:sz w:val="18"/>
          <w:szCs w:val="18"/>
          <w:color w:val="auto"/>
        </w:rPr>
      </w:pPr>
      <w:r>
        <w:rPr>
          <w:rFonts w:ascii="Arial" w:cs="Arial" w:eastAsia="Arial" w:hAnsi="Arial"/>
          <w:sz w:val="18"/>
          <w:szCs w:val="18"/>
          <w:color w:val="auto"/>
        </w:rPr>
        <w:t>shall be delivered by the Trustee to the Depositary or pursuant to the Depositary’s instruction and (iv) shall bear a legend substantially to the following effect: “Except as otherwise provided in Section 2.11 of the Indenture, this Security may be transferred, in whole but not in part, only to another nominee of the Depositary or to a successor Depositary or to a nominee of such successor Depositary.”</w:t>
      </w:r>
    </w:p>
    <w:p>
      <w:pPr>
        <w:spacing w:after="0" w:line="192"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Notwithstanding the provisions of Section 2.05, the Global Security of a series may be transferred, in whole but not in part and in the manner provided in Section 2.05, only to another nominee of the Depositary for such series, or to a successor Depositary for such series selected or approved by the Company or to a nominee of such successor Depositary.</w:t>
      </w:r>
    </w:p>
    <w:p>
      <w:pPr>
        <w:spacing w:after="0" w:line="183" w:lineRule="exact"/>
        <w:rPr>
          <w:rFonts w:ascii="Arial" w:cs="Arial" w:eastAsia="Arial" w:hAnsi="Arial"/>
          <w:sz w:val="18"/>
          <w:szCs w:val="18"/>
          <w:color w:val="auto"/>
        </w:rPr>
      </w:pPr>
    </w:p>
    <w:p>
      <w:pPr>
        <w:jc w:val="both"/>
        <w:ind w:left="1300" w:hanging="644"/>
        <w:spacing w:after="0" w:line="285" w:lineRule="auto"/>
        <w:tabs>
          <w:tab w:leader="none" w:pos="13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If at any time the Depositary for a series of the Securities notifies the Company that it is unwilling or unable to continue as Depositary for such series or if at any time the Depositary for such series shall no longer be registered or in good standing under the Exchange Act, or other applicable statute or regulation, and a successor Depositary for such series is not appointed by the Company within 90 days after the Company receives such notice or becomes aware of such condition, as the case may be, this Section 2.11 shall no longer be applicable to the Securities of such series and the Company will execute, and subject to Section 2.05, the Trustee will authenticate and deliver the Securities of such series in definitive registered form without coupons, in authorized denominations, and in an aggregate principal amount equal to the principal amount of the Global Security of such series in exchange for such Global Security. In addition, the Company may at any time determine that the Securities of any series shall no longer be represented by a Global Security and that the provisions of this Section 2.11 shall no longer apply to the Securities of such series. In such event the Company will execute and subject to Section 2.05, the Trustee, upon receipt of an Officers’ Certificate evidencing such determination by the Company, will authenticate and deliver the Securities of such series in definitive registered form without coupons, in authorized denominations, and in an aggregate principal amount equal to the principal amount of the Global Security of such series in exchange for such Global Security. Upon the exchange of the Global Security for such Securities in definitive registered form without coupons, in authorized denominations, the Global Security shall be canceled by the Trustee. Such Securities in definitive registered form issued in exchange for the Global Security pursuant to this Section 2.11(c) shall be registered in such names and in such authorized denominations as the Depositary, pursuant to instructions from its direct or indirect participants or otherwise, shall instruct the Trustee. The Trustee shall deliver such Securities to the Depositary for delivery to the Persons in whose names such Securities are so registered.</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7" w:name="page88"/>
    <w:bookmarkEnd w:id="87"/>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REDEMPTION OF SECURITIES AND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SINKING FUND PROVISIONS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SECTION 3.01 Redemption.</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Company may redeem the Securities of any series issued hereunder on and after the dates and in accordance with the terms established for such series pursuant to Section 2.01 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3.02 Notice of Redemption.</w:t>
      </w:r>
    </w:p>
    <w:p>
      <w:pPr>
        <w:spacing w:after="0" w:line="225" w:lineRule="exact"/>
        <w:rPr>
          <w:sz w:val="20"/>
          <w:szCs w:val="20"/>
          <w:color w:val="auto"/>
        </w:rPr>
      </w:pPr>
    </w:p>
    <w:p>
      <w:pPr>
        <w:jc w:val="both"/>
        <w:ind w:left="1300" w:hanging="644"/>
        <w:spacing w:after="0" w:line="269" w:lineRule="auto"/>
        <w:tabs>
          <w:tab w:leader="none" w:pos="13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In case the Company shall desire to exercise such right to redeem all or, as the case may be, a portion of the Securities of any series in accordance with the right reserved so to do, the Company shall, or shall cause the Trustee to, give notice of such redemption to holders of the Securities of such series to be redeemed by mailing, first class postage prepaid, a notice of such redemption not less than 30 days and not more than 90 days before the date fixed for redemption of that series to such holders at their last addresses as they shall appear upon the Security Register unless a shorter period is specified in the Securities to be redeemed. Any notice that is mailed in the manner herein provided shall be conclusively presumed to have been duly given, whether or not the registered holder receives the notice. In any case, failure duly to give such notice to the holder of any Security of any series designated for redemption in whole or in part, or any defect in the notice, shall not affect the validity of the proceedings for the redemption of any other Securities of such series or any other series. In the case of any redemption of Securities prior to the expiration of any restriction on such redemption provided in the terms of such Securities or elsewhere in this Indenture, the Company shall furnish the Trustee with an Officers’ Certificate evidencing compliance with any such restriction.</w:t>
      </w:r>
    </w:p>
    <w:p>
      <w:pPr>
        <w:spacing w:after="0" w:line="18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Each such notice of redemption shall specify the date fixed for redemption and the redemption price at which Securities of that series are to be redeemed, and shall state that payment of the redemption price of such Securities to be redeemed will be made at the office or agency of the Company in the Borough of Manhattan, the City and State of New York, upon presentation and surrender of such Securities, that interest accrued to the date fixed for redemption will be paid as specified in said notice, that from and after said date interest will cease to accrue and that the redemption is for a sinking fund, if such is the case. If less than all the Securities of a series are to be redeemed, the notice to the holders of Securities of that series to be redeemed in whole or in part shall specify the particular Securities to be so redeemed. In case any Security is to be redeemed in part only, the notice that relates to such Security shall state the portion of the principal amount thereof to be redeemed, and shall state that on and after the redemption date, upon surrender of such Security, a new Security or Securities of such series in principal amount equal to the unredeemed portion thereof will be issued.</w:t>
      </w:r>
    </w:p>
    <w:p>
      <w:pPr>
        <w:spacing w:after="0" w:line="165" w:lineRule="exact"/>
        <w:rPr>
          <w:sz w:val="20"/>
          <w:szCs w:val="20"/>
          <w:color w:val="auto"/>
        </w:rPr>
      </w:pPr>
    </w:p>
    <w:p>
      <w:pPr>
        <w:jc w:val="both"/>
        <w:ind w:left="1300" w:hanging="644"/>
        <w:spacing w:after="0" w:line="268" w:lineRule="auto"/>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If less than all the Securities of a series are to be redeemed, the Company shall give the Trustee at least 30 days’ notice in advance of the date fixed for redemption as to the aggregate principal amount of Securities of the series to be redeemed, and thereupon the Trustee shall select, by lot or in such other manner as it shall deem appropriate and fair in its discretion and that may provide for the selection of a portion or portions (equal to one thousand U.S. dollars ($1,000) or any integral multiple thereof) of the principal amount of such Securities of a denomination larger than $1,000, the Securities to be redeemed and shall thereafter promptly notify the Company in writing of the numbers of the Securities to be redeemed, in whole or in part. The Company may, if and whenever it shall so elect, by delivery of instructions signed on its behalf by its President or any Vice President, instruct the Trustee or any paying agent to call all or any part of the Securities of a particular series for redemption and to give notice of redemption in the manner set forth in this Section, such notice to be in the name of the Company or its own name as the Trustee or such paying agent may deem advisable. In any case in which notice of redemption is to be given by the Trustee or any such paying agent, the Company shall deliver or cause to be delivered to, or permit to remain with, the Trustee or such paying agent, as the case may be, such Security Register, transfer books or other records, or suitable copies or extracts therefrom, sufficient to enable the Trustee or such paying agent to give any notice by mail that may be required under the provisions of this Section.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8" w:name="page89"/>
    <w:bookmarkEnd w:id="88"/>
    <w:p>
      <w:pPr>
        <w:spacing w:after="0"/>
        <w:rPr>
          <w:sz w:val="20"/>
          <w:szCs w:val="20"/>
          <w:color w:val="auto"/>
        </w:rPr>
      </w:pPr>
      <w:r>
        <w:rPr>
          <w:rFonts w:ascii="Arial" w:cs="Arial" w:eastAsia="Arial" w:hAnsi="Arial"/>
          <w:sz w:val="18"/>
          <w:szCs w:val="18"/>
          <w:color w:val="auto"/>
        </w:rPr>
        <w:t>SECTION 3.03 Payment Upon Redemption.</w:t>
      </w:r>
    </w:p>
    <w:p>
      <w:pPr>
        <w:spacing w:after="0" w:line="225" w:lineRule="exact"/>
        <w:rPr>
          <w:sz w:val="20"/>
          <w:szCs w:val="20"/>
          <w:color w:val="auto"/>
        </w:rPr>
      </w:pPr>
    </w:p>
    <w:p>
      <w:pPr>
        <w:jc w:val="both"/>
        <w:ind w:left="1300" w:hanging="644"/>
        <w:spacing w:after="0" w:line="270" w:lineRule="auto"/>
        <w:tabs>
          <w:tab w:leader="none" w:pos="1300" w:val="left"/>
        </w:tabs>
        <w:numPr>
          <w:ilvl w:val="0"/>
          <w:numId w:val="84"/>
        </w:numPr>
        <w:rPr>
          <w:rFonts w:ascii="Arial" w:cs="Arial" w:eastAsia="Arial" w:hAnsi="Arial"/>
          <w:sz w:val="17"/>
          <w:szCs w:val="17"/>
          <w:color w:val="auto"/>
        </w:rPr>
      </w:pPr>
      <w:r>
        <w:rPr>
          <w:rFonts w:ascii="Arial" w:cs="Arial" w:eastAsia="Arial" w:hAnsi="Arial"/>
          <w:sz w:val="17"/>
          <w:szCs w:val="17"/>
          <w:color w:val="auto"/>
        </w:rPr>
        <w:t>If the giving of notice of redemption shall have been completed as above provided, the Securities or portions of Securities of the series to be redeemed specified in such notice shall become due and payable on the date and at the place stated in such notice at the applicable redemption price, together with interest accrued to the date fixed for redemption and interest on such Securities or portions of Securities shall cease to accrue on and after the date fixed for redemption, unless the Company shall default in the payment of such redemption price and accrued interest with respect to any such Security or portion thereof. On presentation and surrender of such Securities on or after the date fixed for redemption at the place of payment specified in the notice, said Securities shall be paid and redeemed at the applicable redemption price for such series, together with interest accrued thereon to the date fixed for redemption (but if the date fixed for redemption is an interest payment date, the interest installment payable on such date shall be payable to the registered holder at the close of business on the applicable record date pursuant to Section 2.03).</w:t>
      </w:r>
    </w:p>
    <w:p>
      <w:pPr>
        <w:spacing w:after="0" w:line="180"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84"/>
        </w:numPr>
        <w:rPr>
          <w:rFonts w:ascii="Arial" w:cs="Arial" w:eastAsia="Arial" w:hAnsi="Arial"/>
          <w:sz w:val="18"/>
          <w:szCs w:val="18"/>
          <w:color w:val="auto"/>
        </w:rPr>
      </w:pPr>
      <w:r>
        <w:rPr>
          <w:rFonts w:ascii="Arial" w:cs="Arial" w:eastAsia="Arial" w:hAnsi="Arial"/>
          <w:sz w:val="18"/>
          <w:szCs w:val="18"/>
          <w:color w:val="auto"/>
        </w:rPr>
        <w:t>Upon presentation of any Security of such series that is to be redeemed in part only, the Company shall execute and the Trustee shall authenticate and the office or agency where the Security is presented shall deliver to the holder thereof, at the expense of the Company, a new Security of the same series of authorized denominations in principal amount equal to the unredeemed portion of the Security so presented.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3.04 Sinking Fund.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provisions of Sections 3.04, 3.05 and 3.06 shall be applicable to any sinking fund for the retirement of Securities of a series, except as otherwise specified as contemplated by Section 2.01 for Securities of such series.</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minimum amount of any sinking fund payment provided for by the terms of Securities of any series is herein referred to as a “mandatory sinking fund payment,” and any payment in excess of such minimum amount provided for by the terms of Securities of any series is herein referred to as an “optional sinking fund payment.” If provided for by the terms of Securities of any series, the cash amount of any sinking fund payment may be subject to reduction as provided in Section 3.05. Each sinking fund payment shall be applied to the redemption of Securities of any series as provided for by the terms of Securities of such series.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3.05 Satisfaction of Sinking Fund Payments with Securities.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 may deliver Outstanding Securities of a series (other than any Securities previously called for redemption) and (ii) may apply as a credit Securities of a series that have been redeemed either at the election of the Company pursuant to the terms of such Securities or through the application of permitted optional sinking fund payments pursuant to the terms of such Securities, in each case in satisfaction of all or any part of any sinking fund payment with respect to the Securities of such series required to be made pursuant to the terms of such Securities as provided for by the terms of such series, provided that such Securities have not been previously so credited. Such Securities shall be received and credited for such purpose by the Trustee at the redemption price specified in such Securities for redemption through operation of the sinking fund and the amount of such sinking fund payment shall be reduced accordingly.</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3.06 Redemption of Securities for Sinking Fund.</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Not less than 45 days prior to each sinking fund payment date for any series of Securities, the Company will deliver to the Trustee an Officers’ Certificate specifying the amount of the next ensuing sinking fund payment for that series pursuant to the terms of the series, the portion thereof, if any, that is to be satisfied by delivering and crediting Securities of that series pursuant to Section 3.05 and the basis for such credit and will, together with such Officers’ Certificate, deliver to the Trustee any Securities to be so delivered. Not less than 30 days before each such sinking fund payment date the Trustee shall select the Securities to be redeemed upon such sinking fund payment date in the manner specified in Section 3.02 and cause notice of the redemption thereof to be given in the name of and at the expense of the Company in the manner provided in Section 3.02. Such notice having been duly given, the redemption of such Securities shall be made upon the terms and in the manner stated in Section 3.03.</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89" w:name="page90"/>
    <w:bookmarkEnd w:id="89"/>
    <w:p>
      <w:pPr>
        <w:jc w:val="center"/>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4.01 Payment of Principal, Premium and Interest.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will duly and punctually pay or cause to be paid the principal of (and premium, if any) and interest on the Securities of that series at the time and place and in the manner provided herein and established with respect to such Securities.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4.02 Maintenance of Office or Agency.</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So long as any series of the Securities remain Outstanding, the Company agrees to maintain an office or agency in the Borough of Manhattan, the City and State of New York, with respect to each such series and at such other location or locations as may be designated as provided in this Section 4.02, where (i) Securities of that series may be presented or surrendered for payment, (ii) Securities of that series may be presented as herein above authorized for registration of transfer and exchange, and (iii) notices and demands to or upon the Company in respect of the Securities of that series and this Indenture may be given or served, such designation to continue with respect to such office or agency until the Company shall, by written notice signed by its President or a Vice President and delivered to the trustee, designate some other office or agency for such purposes or any of them. If at any time the Company shall fail to maintain any such required office or agency or shall fail to furnish the Trustee with the address thereof, such presentations, notices and demands may be made or served at the Corporate Trust Office of the Trustee, and the Company hereby appoints the Trustee as its agent to receive all such presentations, notices and demands.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SECTION 4.03 Paying Agents.</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Company shall appoint one or more paying agents for all or any series of the Securities, other than the Trustee, the Company will cause each such paying agent to execute and deliver to the Trustee an instrument in which such agent shall agree with the Trustee, subject to the provisions of this Section:</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it will hold all sums held by it as such agent for the payment of the principal of (and premium, if any) or interest on the Securities of that series (whether such sums have been paid to it by the Company or by any other obligor of such Securities) in trust for the benefit of the Persons entitled thereto;</w:t>
      </w:r>
    </w:p>
    <w:p>
      <w:pPr>
        <w:spacing w:after="0" w:line="183" w:lineRule="exact"/>
        <w:rPr>
          <w:rFonts w:ascii="Arial" w:cs="Arial" w:eastAsia="Arial" w:hAnsi="Arial"/>
          <w:sz w:val="18"/>
          <w:szCs w:val="18"/>
          <w:color w:val="auto"/>
        </w:rPr>
      </w:pPr>
    </w:p>
    <w:p>
      <w:pPr>
        <w:jc w:val="both"/>
        <w:ind w:left="1960" w:hanging="656"/>
        <w:spacing w:after="0" w:line="263" w:lineRule="auto"/>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Company (or by any other obligor of such Securities) to make any payment of the principal of (and premium, if any) or interest on the Securities of that series when the same shall be due and payable;</w:t>
      </w:r>
    </w:p>
    <w:p>
      <w:pPr>
        <w:spacing w:after="0" w:line="183" w:lineRule="exact"/>
        <w:rPr>
          <w:rFonts w:ascii="Arial" w:cs="Arial" w:eastAsia="Arial" w:hAnsi="Arial"/>
          <w:sz w:val="18"/>
          <w:szCs w:val="18"/>
          <w:color w:val="auto"/>
        </w:rPr>
      </w:pPr>
    </w:p>
    <w:p>
      <w:pPr>
        <w:ind w:left="1960" w:hanging="656"/>
        <w:spacing w:after="0" w:line="308" w:lineRule="auto"/>
        <w:tabs>
          <w:tab w:leader="none" w:pos="1960" w:val="left"/>
        </w:tabs>
        <w:numPr>
          <w:ilvl w:val="1"/>
          <w:numId w:val="85"/>
        </w:numPr>
        <w:rPr>
          <w:rFonts w:ascii="Arial" w:cs="Arial" w:eastAsia="Arial" w:hAnsi="Arial"/>
          <w:sz w:val="17"/>
          <w:szCs w:val="17"/>
          <w:color w:val="auto"/>
        </w:rPr>
      </w:pPr>
      <w:r>
        <w:rPr>
          <w:rFonts w:ascii="Arial" w:cs="Arial" w:eastAsia="Arial" w:hAnsi="Arial"/>
          <w:sz w:val="17"/>
          <w:szCs w:val="17"/>
          <w:color w:val="auto"/>
        </w:rPr>
        <w:t>that it will, at any time during the continuance of any failure referred to in the preceding paragraph (a)(2) above, upon the written request of the Trustee, forthwith pay to the Trustee all sums so held in trust by such paying agent; and</w:t>
      </w:r>
    </w:p>
    <w:p>
      <w:pPr>
        <w:spacing w:after="0" w:line="146" w:lineRule="exact"/>
        <w:rPr>
          <w:rFonts w:ascii="Arial" w:cs="Arial" w:eastAsia="Arial" w:hAnsi="Arial"/>
          <w:sz w:val="17"/>
          <w:szCs w:val="17"/>
          <w:color w:val="auto"/>
        </w:rPr>
      </w:pPr>
    </w:p>
    <w:p>
      <w:pPr>
        <w:ind w:left="1960" w:hanging="656"/>
        <w:spacing w:after="0"/>
        <w:tabs>
          <w:tab w:leader="none" w:pos="1960" w:val="left"/>
        </w:tabs>
        <w:numPr>
          <w:ilvl w:val="1"/>
          <w:numId w:val="85"/>
        </w:numPr>
        <w:rPr>
          <w:rFonts w:ascii="Arial" w:cs="Arial" w:eastAsia="Arial" w:hAnsi="Arial"/>
          <w:sz w:val="18"/>
          <w:szCs w:val="18"/>
          <w:color w:val="auto"/>
        </w:rPr>
      </w:pPr>
      <w:r>
        <w:rPr>
          <w:rFonts w:ascii="Arial" w:cs="Arial" w:eastAsia="Arial" w:hAnsi="Arial"/>
          <w:sz w:val="18"/>
          <w:szCs w:val="18"/>
          <w:color w:val="auto"/>
        </w:rPr>
        <w:t>that it will perform all other duties of paying agent as set forth in this Indenture.</w:t>
      </w:r>
    </w:p>
    <w:p>
      <w:pPr>
        <w:spacing w:after="0" w:line="225" w:lineRule="exact"/>
        <w:rPr>
          <w:rFonts w:ascii="Arial" w:cs="Arial" w:eastAsia="Arial" w:hAnsi="Arial"/>
          <w:sz w:val="18"/>
          <w:szCs w:val="18"/>
          <w:color w:val="auto"/>
        </w:rPr>
      </w:pPr>
    </w:p>
    <w:p>
      <w:pPr>
        <w:jc w:val="both"/>
        <w:ind w:left="1300" w:hanging="644"/>
        <w:spacing w:after="0" w:line="253" w:lineRule="auto"/>
        <w:tabs>
          <w:tab w:leader="none" w:pos="1300" w:val="left"/>
        </w:tabs>
        <w:numPr>
          <w:ilvl w:val="0"/>
          <w:numId w:val="85"/>
        </w:numPr>
        <w:rPr>
          <w:rFonts w:ascii="Arial" w:cs="Arial" w:eastAsia="Arial" w:hAnsi="Arial"/>
          <w:sz w:val="18"/>
          <w:szCs w:val="18"/>
          <w:color w:val="auto"/>
        </w:rPr>
      </w:pPr>
      <w:r>
        <w:rPr>
          <w:rFonts w:ascii="Arial" w:cs="Arial" w:eastAsia="Arial" w:hAnsi="Arial"/>
          <w:sz w:val="18"/>
          <w:szCs w:val="18"/>
          <w:color w:val="auto"/>
        </w:rPr>
        <w:t>If the Company shall act as its own paying agent with respect to any series of the Securities, it will on or before each due date of the principal of (and premium, if any) or interest on Securities of that series, set aside, segregate and hold in trust for the benefit of the Persons entitled thereto a sum sufficient with monies held by all other paying agents to pay such principal (and premium, if any) or interest so becoming due on Securities of that series until such sums shall be paid to such Persons or otherwise disposed of as herein provided and will promptly notify the Trustee of such action, or any failure (by it or any other obligor on such Securities) to take such action. Whenever the Company shall have one or more paying agents for any series of Securities, it will, prior to each due date of the principal of (and premium, if any) or interest on any Securities of that series, deposit with the paying agent a sum sufficient to pay the principal (an premium, if any) or interest so becoming due, such sum to be held in trust for the benefit of the Persons entitled to such principal, premium or interest, and (unless such paying agent is the Trustee) the Company will promptly notify the Trustee of this action or failure so to act.</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0" w:name="page91"/>
    <w:bookmarkEnd w:id="90"/>
    <w:p>
      <w:pPr>
        <w:jc w:val="both"/>
        <w:ind w:left="1300" w:hanging="644"/>
        <w:spacing w:after="0" w:line="255" w:lineRule="auto"/>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Notwithstanding anything in this Section to the contrary, (i) the agreement to hold sums in trust as provided in this Section is subject to the provisions of Section 11.05, and (ii) the Company may at any time, for the purpose of obtaining the satisfaction and discharge of this Indenture or for any other purpose, pay, or direct any paying agent to pay, to the Trustee all sums held in trust by the Company or such paying agent, such sums to be held by the Trustee upon the same terms and conditions as those upon which such sums were held by the Company or such paying agent; and, upon such payment by any paying agent to the Trustee, such paying agent shall be released from all further liability with respect to such money.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4.04 Appointment to Fill Vacancy in Office of Trustee.</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Company, whenever necessary to avoid or fill a vacancy in the office of Trustee, will appoint, in the manner provided in Section 7.10, a Trustee, so that there shall at all times be a Trustee hereunder.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4.05 Compliance with Consolidation Provisions.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will not, while any of the Securities remain Outstanding, consolidate with or merge into any other Person, in either case where the Company is not the survivor of such transaction, or sell or convey all or substantially all of its property to any other company unless the provisions of Article X hereof are complied with.</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ind w:left="2200"/>
        <w:spacing w:after="0"/>
        <w:rPr>
          <w:sz w:val="20"/>
          <w:szCs w:val="20"/>
          <w:color w:val="auto"/>
        </w:rPr>
      </w:pPr>
      <w:r>
        <w:rPr>
          <w:rFonts w:ascii="Arial" w:cs="Arial" w:eastAsia="Arial" w:hAnsi="Arial"/>
          <w:sz w:val="18"/>
          <w:szCs w:val="18"/>
          <w:color w:val="auto"/>
        </w:rPr>
        <w:t>SECURITYHOLDERS’ LISTS AND REPORTS BY THE COMPANY AND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5.01 Company to Furnish Trustee Names and Addresses of Securityholders.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If the Company is not the Security Register, the Company will furnish or use reasonable efforts to cause to be furnished to the Trustee (a) on each regular record date (as defined in Section 2.03) a list, in such form as the Trustee may reasonably require, of the names and addresses of the holders of each series of Securities as of such regular record date, provided that the Company shall not be obligated to furnish or cause to furnish such list at any time that the list shall not differ in any respect from the most recent list furnished to the Trustee by the Company and (b) at such other times as the Trustee may request in writing within 30 days after the receipt by the Company of any such request, a list of similar form and content as of a date not more than 15 days prior to the time such list is furnished; provided, however, that, in either case, no such list need be furnished for any series for which the Trustee shall be the Security Registrar.</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SECTION 5.02 Preservation of Information; Communications with Securityholders.</w:t>
      </w:r>
    </w:p>
    <w:p>
      <w:pPr>
        <w:spacing w:after="0" w:line="225" w:lineRule="exact"/>
        <w:rPr>
          <w:sz w:val="20"/>
          <w:szCs w:val="20"/>
          <w:color w:val="auto"/>
        </w:rPr>
      </w:pPr>
    </w:p>
    <w:p>
      <w:pPr>
        <w:jc w:val="both"/>
        <w:ind w:left="1300" w:hanging="644"/>
        <w:spacing w:after="0" w:line="259"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shall preserve, in as current a form as is reasonably practicable, all information as to the names and addresses of the holders of Securities contained in the most recent list furnished to it as provided in Section 5.01 and as to the names and addresses of holders of Securities received by the Trustee in its capacity as Security Registrar (if acting in such capacity) and shall otherwise comply with Section 312(a) of the Trust Indenture Act.</w:t>
      </w:r>
    </w:p>
    <w:p>
      <w:pPr>
        <w:spacing w:after="0" w:line="186" w:lineRule="exact"/>
        <w:rPr>
          <w:rFonts w:ascii="Arial" w:cs="Arial" w:eastAsia="Arial" w:hAnsi="Arial"/>
          <w:sz w:val="18"/>
          <w:szCs w:val="18"/>
          <w:color w:val="auto"/>
        </w:rPr>
      </w:pPr>
    </w:p>
    <w:p>
      <w:pPr>
        <w:ind w:left="1300" w:hanging="644"/>
        <w:spacing w:after="0"/>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Trustee may destroy any list furnished to it as provided in Section 5.01 upon receipt of a new list so furnished.</w:t>
      </w:r>
    </w:p>
    <w:p>
      <w:pPr>
        <w:spacing w:after="0" w:line="225"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87"/>
        </w:numPr>
        <w:rPr>
          <w:rFonts w:ascii="Arial" w:cs="Arial" w:eastAsia="Arial" w:hAnsi="Arial"/>
          <w:sz w:val="18"/>
          <w:szCs w:val="18"/>
          <w:color w:val="auto"/>
        </w:rPr>
      </w:pPr>
      <w:r>
        <w:rPr>
          <w:rFonts w:ascii="Arial" w:cs="Arial" w:eastAsia="Arial" w:hAnsi="Arial"/>
          <w:sz w:val="18"/>
          <w:szCs w:val="18"/>
          <w:color w:val="auto"/>
        </w:rPr>
        <w:t>Securityholders may communicate as provided in Section 312(b) of the Trust Indenture Act with other Securityholders with respect to their rights under this Indenture or under the Securities.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1" w:name="page92"/>
    <w:bookmarkEnd w:id="91"/>
    <w:p>
      <w:pPr>
        <w:spacing w:after="0"/>
        <w:rPr>
          <w:sz w:val="20"/>
          <w:szCs w:val="20"/>
          <w:color w:val="auto"/>
        </w:rPr>
      </w:pPr>
      <w:r>
        <w:rPr>
          <w:rFonts w:ascii="Arial" w:cs="Arial" w:eastAsia="Arial" w:hAnsi="Arial"/>
          <w:sz w:val="18"/>
          <w:szCs w:val="18"/>
          <w:color w:val="auto"/>
        </w:rPr>
        <w:t>SECTION 5.03 Reports by the Company.</w:t>
      </w:r>
    </w:p>
    <w:p>
      <w:pPr>
        <w:spacing w:after="0" w:line="225" w:lineRule="exact"/>
        <w:rPr>
          <w:sz w:val="20"/>
          <w:szCs w:val="20"/>
          <w:color w:val="auto"/>
        </w:rPr>
      </w:pPr>
    </w:p>
    <w:p>
      <w:pPr>
        <w:jc w:val="both"/>
        <w:ind w:left="1300" w:hanging="644"/>
        <w:spacing w:after="0" w:line="288"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covenants and agrees to file with the Trustee, within 15 days after the Company is required to file the same with the Commission, copies of the annual reports and of the information, documents and other reports (or copies of such portions of any of the foregoing as the Commission may from time to time by rules and regulations prescribe) that the Company may be required to file with the Commission pursuant to Section 13 or Section 15(d) of the Exchange Act; or, if the Company is not required to file information, documents or reports pursuant to either of such sections, then to file with the Trustee and the Commission, in accordance with the rules and regulations prescribed from time to time by the Commission, such of the supplementary and periodic information, documents and reports that may be required pursuant to Section 13 of the Exchange Act, in respect of a security listed and registered on a national securities exchange as may be prescribed from time to time in such rules and regulations; provided, however, the Company shall not be required to deliver to the Trustee any materials for which the Company has sought and received confidential treatment by the Commission. The Company also shall comply with the other provisions of Section 314(a) of the Trust Indenture Act.</w:t>
      </w:r>
    </w:p>
    <w:p>
      <w:pPr>
        <w:spacing w:after="0" w:line="168" w:lineRule="exact"/>
        <w:rPr>
          <w:rFonts w:ascii="Arial" w:cs="Arial" w:eastAsia="Arial" w:hAnsi="Arial"/>
          <w:sz w:val="16"/>
          <w:szCs w:val="16"/>
          <w:color w:val="auto"/>
        </w:rPr>
      </w:pPr>
    </w:p>
    <w:p>
      <w:pPr>
        <w:jc w:val="both"/>
        <w:ind w:left="1300" w:hanging="644"/>
        <w:spacing w:after="0" w:line="311"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covenants and agrees to file with the Trustee and the Commission, in accordance with the rules and regulations prescribed from to time by the Commission, such additional information, documents and reports with respect to compliance by the Company with the conditions and covenants provided for in this Indenture as may be required from time to time by such rules and regulations.</w:t>
      </w:r>
    </w:p>
    <w:p>
      <w:pPr>
        <w:spacing w:after="0" w:line="148" w:lineRule="exact"/>
        <w:rPr>
          <w:rFonts w:ascii="Arial" w:cs="Arial" w:eastAsia="Arial" w:hAnsi="Arial"/>
          <w:sz w:val="16"/>
          <w:szCs w:val="16"/>
          <w:color w:val="auto"/>
        </w:rPr>
      </w:pPr>
    </w:p>
    <w:p>
      <w:pPr>
        <w:jc w:val="both"/>
        <w:ind w:left="1300" w:hanging="644"/>
        <w:spacing w:after="0" w:line="301" w:lineRule="auto"/>
        <w:tabs>
          <w:tab w:leader="none" w:pos="1300" w:val="left"/>
        </w:tabs>
        <w:numPr>
          <w:ilvl w:val="0"/>
          <w:numId w:val="88"/>
        </w:numPr>
        <w:rPr>
          <w:rFonts w:ascii="Arial" w:cs="Arial" w:eastAsia="Arial" w:hAnsi="Arial"/>
          <w:sz w:val="16"/>
          <w:szCs w:val="16"/>
          <w:color w:val="auto"/>
        </w:rPr>
      </w:pPr>
      <w:r>
        <w:rPr>
          <w:rFonts w:ascii="Arial" w:cs="Arial" w:eastAsia="Arial" w:hAnsi="Arial"/>
          <w:sz w:val="16"/>
          <w:szCs w:val="16"/>
          <w:color w:val="auto"/>
        </w:rPr>
        <w:t>The Company covenants and agrees to transmit by mail, first class postage prepaid, or reputable over-night delivery service that provides for evidence of receipt, to the Securityholders, as their names and addresses appear upon the Security Register, within 30 days after the filing thereof with the Trustee, such summaries of any information, documents and reports required to be filed by the Company pursuant to subsections (a) and (b) of this Section as may be required by rules and regulations prescribed from time to time by the Commission.</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5.04 Reports by the Trustee.</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Trustee shall transmit to holders as provided in Section 313 of the Trust Indenture Act such reports concerning the Trustee and its actions under this Indenture as may be required by Section 313 of the Trust Indenture Act at the times and in the manner provided by the Trust Indenture Act.</w:t>
      </w:r>
    </w:p>
    <w:p>
      <w:pPr>
        <w:spacing w:after="0" w:line="183"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89"/>
        </w:numPr>
        <w:rPr>
          <w:rFonts w:ascii="Arial" w:cs="Arial" w:eastAsia="Arial" w:hAnsi="Arial"/>
          <w:sz w:val="17"/>
          <w:szCs w:val="17"/>
          <w:color w:val="auto"/>
        </w:rPr>
      </w:pPr>
      <w:r>
        <w:rPr>
          <w:rFonts w:ascii="Arial" w:cs="Arial" w:eastAsia="Arial" w:hAnsi="Arial"/>
          <w:sz w:val="17"/>
          <w:szCs w:val="17"/>
          <w:color w:val="auto"/>
        </w:rPr>
        <w:t>A copy of each such report shall, at the time of such transmission to Securityholders, be filed by the Trustee with the Company, with each stock exchange upon which any Securities are listed (if so listed) and, if required by Section 313 of the Trust Indenture Act, also with the Commission. The Company agrees to notify the Trustee when any Securities become listed on any stock exchange.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ind w:left="2300"/>
        <w:spacing w:after="0"/>
        <w:rPr>
          <w:sz w:val="20"/>
          <w:szCs w:val="20"/>
          <w:color w:val="auto"/>
        </w:rPr>
      </w:pPr>
      <w:r>
        <w:rPr>
          <w:rFonts w:ascii="Arial" w:cs="Arial" w:eastAsia="Arial" w:hAnsi="Arial"/>
          <w:sz w:val="18"/>
          <w:szCs w:val="18"/>
          <w:color w:val="auto"/>
        </w:rPr>
        <w:t>REMEDIES OF THE TRUSTEE AND SECURITYHOLDERS ON EVENT OF DEFAULT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6.01 Events of Default.</w:t>
      </w:r>
    </w:p>
    <w:p>
      <w:pPr>
        <w:spacing w:after="0" w:line="225" w:lineRule="exact"/>
        <w:rPr>
          <w:sz w:val="20"/>
          <w:szCs w:val="20"/>
          <w:color w:val="auto"/>
        </w:rPr>
      </w:pPr>
    </w:p>
    <w:p>
      <w:pPr>
        <w:ind w:left="1300" w:right="20" w:hanging="644"/>
        <w:spacing w:after="0" w:line="277" w:lineRule="auto"/>
        <w:tabs>
          <w:tab w:leader="none" w:pos="1300" w:val="left"/>
        </w:tabs>
        <w:numPr>
          <w:ilvl w:val="0"/>
          <w:numId w:val="90"/>
        </w:numPr>
        <w:rPr>
          <w:rFonts w:ascii="Arial" w:cs="Arial" w:eastAsia="Arial" w:hAnsi="Arial"/>
          <w:sz w:val="18"/>
          <w:szCs w:val="18"/>
          <w:color w:val="auto"/>
        </w:rPr>
      </w:pPr>
      <w:r>
        <w:rPr>
          <w:rFonts w:ascii="Arial" w:cs="Arial" w:eastAsia="Arial" w:hAnsi="Arial"/>
          <w:sz w:val="18"/>
          <w:szCs w:val="18"/>
          <w:color w:val="auto"/>
        </w:rPr>
        <w:t>Whenever used herein with respect to Securities of a particular series, “Event of Default” means any one or more of the following events that has occurred and is continuing:</w:t>
      </w:r>
    </w:p>
    <w:p>
      <w:pPr>
        <w:spacing w:after="0" w:line="170" w:lineRule="exact"/>
        <w:rPr>
          <w:rFonts w:ascii="Arial" w:cs="Arial" w:eastAsia="Arial" w:hAnsi="Arial"/>
          <w:sz w:val="18"/>
          <w:szCs w:val="18"/>
          <w:color w:val="auto"/>
        </w:rPr>
      </w:pPr>
    </w:p>
    <w:p>
      <w:pPr>
        <w:jc w:val="both"/>
        <w:ind w:left="1960" w:hanging="656"/>
        <w:spacing w:after="0" w:line="259" w:lineRule="auto"/>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defaults in the payment of any installment of interest upon any of the Securities of that series, as and when the same shall become due and payable, and continuance of such default for a period of 90 days; provided, however, that a valid extension of an interest payment period by the Company in accordance with the terms of any indenture supplemental hereto shall not constitute a default in the payment of interest for this purpose;</w:t>
      </w:r>
    </w:p>
    <w:p>
      <w:pPr>
        <w:spacing w:after="0" w:line="186" w:lineRule="exact"/>
        <w:rPr>
          <w:rFonts w:ascii="Arial" w:cs="Arial" w:eastAsia="Arial" w:hAnsi="Arial"/>
          <w:sz w:val="18"/>
          <w:szCs w:val="18"/>
          <w:color w:val="auto"/>
        </w:rPr>
      </w:pPr>
    </w:p>
    <w:p>
      <w:pPr>
        <w:jc w:val="both"/>
        <w:ind w:left="1960" w:hanging="656"/>
        <w:spacing w:after="0" w:line="257" w:lineRule="auto"/>
        <w:tabs>
          <w:tab w:leader="none" w:pos="1960" w:val="left"/>
        </w:tabs>
        <w:numPr>
          <w:ilvl w:val="1"/>
          <w:numId w:val="90"/>
        </w:numPr>
        <w:rPr>
          <w:rFonts w:ascii="Arial" w:cs="Arial" w:eastAsia="Arial" w:hAnsi="Arial"/>
          <w:sz w:val="18"/>
          <w:szCs w:val="18"/>
          <w:color w:val="auto"/>
        </w:rPr>
      </w:pPr>
      <w:r>
        <w:rPr>
          <w:rFonts w:ascii="Arial" w:cs="Arial" w:eastAsia="Arial" w:hAnsi="Arial"/>
          <w:sz w:val="18"/>
          <w:szCs w:val="18"/>
          <w:color w:val="auto"/>
        </w:rPr>
        <w:t>the Company defaults in the payment of the principal of (or premium, if any, on) any of the Securities of that series as and when the same shall become due and payable whether at maturity, upon redemption, by declaration or otherwise, or in any payment required by any sinking or analogous fund established with respect to that series; provided, however, that a valid extension of the maturity of such Securities in accordance with the terms of any indenture supplemental hereto shall not constitute a default in the payment of principal or premium, if any;</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2" w:name="page93"/>
    <w:bookmarkEnd w:id="92"/>
    <w:p>
      <w:pPr>
        <w:jc w:val="both"/>
        <w:ind w:left="1304" w:hanging="656"/>
        <w:spacing w:after="0" w:line="272" w:lineRule="auto"/>
        <w:tabs>
          <w:tab w:leader="none" w:pos="1304"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Company fails to observe or perform any other of its covenants or agreements with respect to that series contained in this Indenture or otherwise established with respect to that series of Securities pursuant to Section 2.01 hereof (other than a covenant or agreement that has been expressly included in this Indenture solely for the benefit of one or more series of Securities other than such series) for a period of 90 days after the date on which written notice of such failure, requiring the same to be remedied and stating that such notice is a “Notice of Default” hereunder, shall have been given to the Company by the Trustee, by registered or certified mail, or to the Company and the Trustee by the holders of not less than a majority in principal amount of the Securities of that series at the time Outstanding;</w:t>
      </w:r>
    </w:p>
    <w:p>
      <w:pPr>
        <w:spacing w:after="0" w:line="177"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91"/>
        </w:numPr>
        <w:rPr>
          <w:rFonts w:ascii="Arial" w:cs="Arial" w:eastAsia="Arial" w:hAnsi="Arial"/>
          <w:sz w:val="17"/>
          <w:szCs w:val="17"/>
          <w:color w:val="auto"/>
        </w:rPr>
      </w:pPr>
      <w:r>
        <w:rPr>
          <w:rFonts w:ascii="Arial" w:cs="Arial" w:eastAsia="Arial" w:hAnsi="Arial"/>
          <w:sz w:val="17"/>
          <w:szCs w:val="17"/>
          <w:color w:val="auto"/>
        </w:rPr>
        <w:t>the Company pursuant to or within the meaning of any Bankruptcy Law (i) commences a voluntary case, (ii) consents to the entry of an order for relief against it in an involuntary case, (iii) consents to the appointment of a Custodian of it or for all or substantially all of its property or (iv) makes a general assignment for the benefit of its creditors; or</w:t>
      </w:r>
    </w:p>
    <w:p>
      <w:pPr>
        <w:spacing w:after="0" w:line="165" w:lineRule="exact"/>
        <w:rPr>
          <w:rFonts w:ascii="Arial" w:cs="Arial" w:eastAsia="Arial" w:hAnsi="Arial"/>
          <w:sz w:val="17"/>
          <w:szCs w:val="17"/>
          <w:color w:val="auto"/>
        </w:rPr>
      </w:pPr>
    </w:p>
    <w:p>
      <w:pPr>
        <w:jc w:val="both"/>
        <w:ind w:left="1304" w:hanging="656"/>
        <w:spacing w:after="0" w:line="286" w:lineRule="auto"/>
        <w:tabs>
          <w:tab w:leader="none" w:pos="1304" w:val="left"/>
        </w:tabs>
        <w:numPr>
          <w:ilvl w:val="1"/>
          <w:numId w:val="91"/>
        </w:numPr>
        <w:rPr>
          <w:rFonts w:ascii="Arial" w:cs="Arial" w:eastAsia="Arial" w:hAnsi="Arial"/>
          <w:sz w:val="17"/>
          <w:szCs w:val="17"/>
          <w:color w:val="auto"/>
        </w:rPr>
      </w:pPr>
      <w:r>
        <w:rPr>
          <w:rFonts w:ascii="Arial" w:cs="Arial" w:eastAsia="Arial" w:hAnsi="Arial"/>
          <w:sz w:val="17"/>
          <w:szCs w:val="17"/>
          <w:color w:val="auto"/>
        </w:rPr>
        <w:t>a court of competent jurisdiction enters an order under any Bankruptcy Law that (i) is for relief against the Company in an involuntary case, (ii) appoints a Custodian of the Company for all or substantially all of its property, or (iii) orders the liquidation of the Company, and the order or decree remains unstayed and in effect for 90 consecutive days.</w:t>
      </w:r>
    </w:p>
    <w:p>
      <w:pPr>
        <w:spacing w:after="0" w:line="165" w:lineRule="exact"/>
        <w:rPr>
          <w:rFonts w:ascii="Arial" w:cs="Arial" w:eastAsia="Arial" w:hAnsi="Arial"/>
          <w:sz w:val="17"/>
          <w:szCs w:val="17"/>
          <w:color w:val="auto"/>
        </w:rPr>
      </w:pPr>
    </w:p>
    <w:p>
      <w:pPr>
        <w:jc w:val="both"/>
        <w:ind w:left="644" w:hanging="644"/>
        <w:spacing w:after="0" w:line="289" w:lineRule="auto"/>
        <w:tabs>
          <w:tab w:leader="none" w:pos="644"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 each and every such case, unless the principal of all the Securities of that series shall have already become due and payable, either the Trustee or the holders of not less than a majority in aggregate principal amount of the Securities of that series then Outstanding hereunder, by notice in writing to the Company (and to the Trustee if given by such Securityholders), may declare the principal (or, if any Securities of that series are discount securities, that portion of the principal amount as may be specified in the terms of that series pursuant to Section 2.01(a)(16)) of (and premium, if any, on) and accrued and unpaid interest, if any, on all the Securities of that series to be due and payable immediately, and upon any such declaration the same shall become and shall be immediately due and payable. Notwithstanding the foregoing, the payment of such principal (or, if any Securities of that series are discount securities, that portion of the principal amount as may be specified in the terms of that series pursuant to Section 2.01(a)(16)) of (and premium, if any, on) and accrued and unpaid interest, if any, on the Securities of such series shall remain subordinated to the extent provided in Article XIV.</w:t>
      </w:r>
    </w:p>
    <w:p>
      <w:pPr>
        <w:spacing w:after="0" w:line="166" w:lineRule="exact"/>
        <w:rPr>
          <w:rFonts w:ascii="Arial" w:cs="Arial" w:eastAsia="Arial" w:hAnsi="Arial"/>
          <w:sz w:val="16"/>
          <w:szCs w:val="16"/>
          <w:color w:val="auto"/>
        </w:rPr>
      </w:pPr>
    </w:p>
    <w:p>
      <w:pPr>
        <w:jc w:val="both"/>
        <w:ind w:left="644" w:hanging="644"/>
        <w:spacing w:after="0" w:line="269" w:lineRule="auto"/>
        <w:tabs>
          <w:tab w:leader="none" w:pos="644" w:val="left"/>
        </w:tabs>
        <w:numPr>
          <w:ilvl w:val="0"/>
          <w:numId w:val="92"/>
        </w:numPr>
        <w:rPr>
          <w:rFonts w:ascii="Arial" w:cs="Arial" w:eastAsia="Arial" w:hAnsi="Arial"/>
          <w:sz w:val="17"/>
          <w:szCs w:val="17"/>
          <w:color w:val="auto"/>
        </w:rPr>
      </w:pPr>
      <w:r>
        <w:rPr>
          <w:rFonts w:ascii="Arial" w:cs="Arial" w:eastAsia="Arial" w:hAnsi="Arial"/>
          <w:sz w:val="17"/>
          <w:szCs w:val="17"/>
          <w:color w:val="auto"/>
        </w:rPr>
        <w:t>At any time after the principal of the Securities of that series shall have been so declared due and payable, and before a judgment or decree for the payment of the moneys due shall have been obtained or entered as hereinafter provided, the holders of a majority in aggregate principal amount of the Securities of that series then Outstanding hereunder (or, by action at a meeting of holders of the Securities of such series in accordance with Section 8.09, the holders of a majority in aggregate principal amount of the Securities of such series then Outstanding represented at such meeting), by written notice to the Company and the Trustee, may rescind and annul such declaration and its consequences if: (i) the Company has paid or deposited with the Trustee a sum sufficient to pay all matured installments of interest upon all the Securities of that series and the principal of (and premium, if any, on) any and all Securities of that series that shall have become due otherwise than by acceleration and (ii) any and all Events of Default under this Indenture with respect to such series, other than the nonpayment of principal of (and premium, if any, on) and accrued and unpaid interest, if any, on Securities of that series that shall have become due solely because of such acceleration, shall have been remedied, cured or waived as provided in Section 6.06. No such rescission and annulment shall extend to or shall affect any subsequent default or impair any right consequent thereon.</w:t>
      </w:r>
    </w:p>
    <w:p>
      <w:pPr>
        <w:spacing w:after="0" w:line="178" w:lineRule="exact"/>
        <w:rPr>
          <w:rFonts w:ascii="Arial" w:cs="Arial" w:eastAsia="Arial" w:hAnsi="Arial"/>
          <w:sz w:val="17"/>
          <w:szCs w:val="17"/>
          <w:color w:val="auto"/>
        </w:rPr>
      </w:pPr>
    </w:p>
    <w:p>
      <w:pPr>
        <w:jc w:val="both"/>
        <w:ind w:left="644" w:hanging="644"/>
        <w:spacing w:after="0" w:line="275" w:lineRule="auto"/>
        <w:tabs>
          <w:tab w:leader="none" w:pos="644" w:val="left"/>
        </w:tabs>
        <w:numPr>
          <w:ilvl w:val="0"/>
          <w:numId w:val="92"/>
        </w:numPr>
        <w:rPr>
          <w:rFonts w:ascii="Arial" w:cs="Arial" w:eastAsia="Arial" w:hAnsi="Arial"/>
          <w:sz w:val="17"/>
          <w:szCs w:val="17"/>
          <w:color w:val="auto"/>
        </w:rPr>
      </w:pPr>
      <w:r>
        <w:rPr>
          <w:rFonts w:ascii="Arial" w:cs="Arial" w:eastAsia="Arial" w:hAnsi="Arial"/>
          <w:sz w:val="17"/>
          <w:szCs w:val="17"/>
          <w:color w:val="auto"/>
        </w:rPr>
        <w:t>In case the Trustee shall have proceeded to enforce any right with respect to Securities of that series under this Indenture and such proceedings shall have been discontinued or abandoned because of such rescission or annulment or for any other reason or shall have been determined adversely to the Trustee, then and in every such case, subject to any determination in such proceedings, the Company, and the Trustee shall be restored respectively to their former positions and rights hereunder, and all rights, remedies and powers of the Company and the Trustee shall continue as though no such proceedings had been taken.</w:t>
      </w:r>
    </w:p>
    <w:p>
      <w:pPr>
        <w:spacing w:after="0" w:line="176"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14605</wp:posOffset>
            </wp:positionV>
            <wp:extent cx="7132320" cy="171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692" w:right="339" w:bottom="1440" w:gutter="0" w:footer="0" w:header="0"/>
        </w:sectPr>
      </w:pPr>
    </w:p>
    <w:bookmarkStart w:id="93" w:name="page94"/>
    <w:bookmarkEnd w:id="93"/>
    <w:p>
      <w:pPr>
        <w:spacing w:after="0"/>
        <w:rPr>
          <w:sz w:val="20"/>
          <w:szCs w:val="20"/>
          <w:color w:val="auto"/>
        </w:rPr>
      </w:pPr>
      <w:r>
        <w:rPr>
          <w:rFonts w:ascii="Arial" w:cs="Arial" w:eastAsia="Arial" w:hAnsi="Arial"/>
          <w:sz w:val="18"/>
          <w:szCs w:val="18"/>
          <w:color w:val="auto"/>
        </w:rPr>
        <w:t>SECTION 6.02 Collection of Indebtedness and Suits for Enforcement by Trustee.</w:t>
      </w:r>
    </w:p>
    <w:p>
      <w:pPr>
        <w:spacing w:after="0" w:line="225" w:lineRule="exact"/>
        <w:rPr>
          <w:sz w:val="20"/>
          <w:szCs w:val="20"/>
          <w:color w:val="auto"/>
        </w:rPr>
      </w:pPr>
    </w:p>
    <w:p>
      <w:pPr>
        <w:jc w:val="both"/>
        <w:ind w:left="1300" w:hanging="644"/>
        <w:spacing w:after="0" w:line="288"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The Company covenants that (1) in case it shall default in the payment of any installment of interest on any of the Securities of a series, or any payment required by any sinking or analogous fund established with respect to that series as and when the same shall have become due and payable, and such default shall have continued for a period of 90 Business Days, or (2) in case it shall default in the payment of the principal of (or premium, if any, on) any of the Securities of a series when the same shall have become due and payable, whether upon maturity of the Securities of a series or upon redemption or upon declaration or otherwise, then, upon demand of the Trustee, the Company will pay to the Trustee, for the benefit of the holders of the Securities of that series, the whole amount that then shall have been become due and payable on all such Securities for principal (and premium, if any) or interest, or both, as the case may be, with interest upon the overdue principal (and premium, if any) and (to the extent that payment of such interest is enforceable under applicable law) upon overdue installments of interest at the rate per annum expressed in the Securities of that series; and, in addition thereto, such further amount as shall be sufficient to cover the costs and expenses of collection, and the amount payable to the Trustee under Section 7.06.</w:t>
      </w:r>
    </w:p>
    <w:p>
      <w:pPr>
        <w:spacing w:after="0" w:line="168" w:lineRule="exact"/>
        <w:rPr>
          <w:rFonts w:ascii="Arial" w:cs="Arial" w:eastAsia="Arial" w:hAnsi="Arial"/>
          <w:sz w:val="16"/>
          <w:szCs w:val="16"/>
          <w:color w:val="auto"/>
        </w:rPr>
      </w:pPr>
    </w:p>
    <w:p>
      <w:pPr>
        <w:jc w:val="both"/>
        <w:ind w:left="1300" w:hanging="644"/>
        <w:spacing w:after="0" w:line="296" w:lineRule="auto"/>
        <w:tabs>
          <w:tab w:leader="none" w:pos="1300" w:val="left"/>
        </w:tabs>
        <w:numPr>
          <w:ilvl w:val="0"/>
          <w:numId w:val="93"/>
        </w:numPr>
        <w:rPr>
          <w:rFonts w:ascii="Arial" w:cs="Arial" w:eastAsia="Arial" w:hAnsi="Arial"/>
          <w:sz w:val="16"/>
          <w:szCs w:val="16"/>
          <w:color w:val="auto"/>
        </w:rPr>
      </w:pPr>
      <w:r>
        <w:rPr>
          <w:rFonts w:ascii="Arial" w:cs="Arial" w:eastAsia="Arial" w:hAnsi="Arial"/>
          <w:sz w:val="16"/>
          <w:szCs w:val="16"/>
          <w:color w:val="auto"/>
        </w:rPr>
        <w:t>If the Company shall fail to pay such amounts forthwith upon such demand, the Trustee, in its own name and as trustee of an express trust, shall be entitled and empowered to institute any action or proceedings at law or in equity for the collection of the sums so due and unpaid, and may prosecute any such action or proceeding to judgment or final decree, and may enforce any such judgment or final decree against the Company or other obligor upon the Securities of that series and collect the moneys adjudged or decreed to be payable in the manner provided by law out of the property of the Company or other obligor upon the Securities of that series, wherever situated.</w:t>
      </w:r>
    </w:p>
    <w:p>
      <w:pPr>
        <w:spacing w:after="0" w:line="161" w:lineRule="exact"/>
        <w:rPr>
          <w:rFonts w:ascii="Arial" w:cs="Arial" w:eastAsia="Arial" w:hAnsi="Arial"/>
          <w:sz w:val="16"/>
          <w:szCs w:val="16"/>
          <w:color w:val="auto"/>
        </w:rPr>
      </w:pPr>
    </w:p>
    <w:p>
      <w:pPr>
        <w:jc w:val="both"/>
        <w:ind w:left="1300" w:hanging="644"/>
        <w:spacing w:after="0" w:line="253"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In case of any receivership, insolvency, liquidation, bankruptcy, reorganization, readjustment, arrangement, composition or judicial proceedings affected the Company, or its creditors or property, the Trustee shall have power to intervene in such proceedings and take any action therein that may be permitted by the court and shall (except as may be otherwise provided by law) be entitled to file such proofs of claim and other papers and documents as may be necessary or advisable in order to have the claims of the Trustee and of the holders of Securities of such series allowed for the entire amount due and payable by the Company under this Indenture at the date of institution of such proceedings and for any additional amount that may become due and payable by the Company after such date, and to collect and receive any moneys or other property payable or deliverable on any such claim, and to distribute the same after the deduction of the amount payable to the Trustee under Section 7.06; and any receiver, assignee or trustee in bankruptcy or reorganization is hereby authorized by each of the holders of Securities of such series to make such payments to the Trustee, and, in the event that the Trustee shall consent to the making of such payments directly to such Securityholders, to pay to the Trustee any amount due it under Section 7.06.</w:t>
      </w:r>
    </w:p>
    <w:p>
      <w:pPr>
        <w:spacing w:after="0" w:line="191" w:lineRule="exact"/>
        <w:rPr>
          <w:rFonts w:ascii="Arial" w:cs="Arial" w:eastAsia="Arial" w:hAnsi="Arial"/>
          <w:sz w:val="18"/>
          <w:szCs w:val="18"/>
          <w:color w:val="auto"/>
        </w:rPr>
      </w:pPr>
    </w:p>
    <w:p>
      <w:pPr>
        <w:jc w:val="both"/>
        <w:ind w:left="1300" w:hanging="644"/>
        <w:spacing w:after="0" w:line="257" w:lineRule="auto"/>
        <w:tabs>
          <w:tab w:leader="none" w:pos="130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All rights of action and of asserting claims under this Indenture, or under any of the terms established with respect to Securities of that series, may be enforced by the Trustee without the possession of any of such Securities, or the production thereof at any trial or other proceeding relative thereto, and any such suit or proceeding instituted by the Trustee shall be brought in its own name as trustee of an express trust, and any recovery of judgment shall, after provision for payment to the Trustee of any amounts due under Section 7.06, be for the ratable benefit of the holders of the Securities of such series.</w:t>
      </w:r>
    </w:p>
    <w:p>
      <w:pPr>
        <w:spacing w:after="0" w:line="188"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case of an Event of Default hereunder, the Trustee may in its discretion proceed to protect and enforce the rights vested in it by this Indenture by such appropriate judicial proceedings as the Trustee shall deem most effectual to protect and enforce any of such rights,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4" w:name="page95"/>
    <w:bookmarkEnd w:id="94"/>
    <w:p>
      <w:pPr>
        <w:jc w:val="both"/>
        <w:ind w:firstLine="648"/>
        <w:spacing w:after="0" w:line="263" w:lineRule="auto"/>
        <w:rPr>
          <w:sz w:val="20"/>
          <w:szCs w:val="20"/>
          <w:color w:val="auto"/>
        </w:rPr>
      </w:pPr>
      <w:r>
        <w:rPr>
          <w:rFonts w:ascii="Arial" w:cs="Arial" w:eastAsia="Arial" w:hAnsi="Arial"/>
          <w:sz w:val="18"/>
          <w:szCs w:val="18"/>
          <w:color w:val="auto"/>
        </w:rPr>
        <w:t>Nothing contained herein shall be deemed to authorize the Trustee to authorize or consent to or accept or adopt on behalf of any Securityholder any plan of reorganization, arrangement, adjustment or composition affecting the Securities of that series or the rights of any holder thereof or to authorize the Trustee to vote in respect of the claim of any Securityholder in any such proceeding.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6.03 Application of Moneys Collected.</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Any moneys collected by the Trustee pursuant to this Article with respect to a particular series of Securities shall be applied in the following order, at the date or dates fixed by the Trustee and, in case of the distribution of such moneys on account of principal (or premium, if any) or interest, upon presentation of the Securities of that series, and notation thereon the payment, if only partially paid, and upon surrender thereof if fully paid:</w:t>
      </w:r>
    </w:p>
    <w:p>
      <w:pPr>
        <w:sectPr>
          <w:pgSz w:w="11900" w:h="16838" w:orient="portrait"/>
          <w:cols w:equalWidth="0" w:num="1">
            <w:col w:w="11240"/>
          </w:cols>
          <w:pgMar w:left="320" w:top="692" w:right="339" w:bottom="1440" w:gutter="0" w:footer="0" w:header="0"/>
        </w:sectPr>
      </w:pPr>
    </w:p>
    <w:p>
      <w:pPr>
        <w:spacing w:after="0" w:line="16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FIRST:</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costs and expenses of collection and of all amounts payable to the Trustee under Section 7.06;</w:t>
      </w:r>
    </w:p>
    <w:p>
      <w:pPr>
        <w:spacing w:after="0" w:line="200" w:lineRule="exact"/>
        <w:rPr>
          <w:sz w:val="20"/>
          <w:szCs w:val="20"/>
          <w:color w:val="auto"/>
        </w:rPr>
      </w:pPr>
    </w:p>
    <w:p>
      <w:pPr>
        <w:sectPr>
          <w:pgSz w:w="11900" w:h="16838" w:orient="portrait"/>
          <w:cols w:equalWidth="0" w:num="2">
            <w:col w:w="1180" w:space="440"/>
            <w:col w:w="962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SECOND: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To the payment of all Senior Indebtedness of the Company if and to the extent required by Article XIV; and</w:t>
      </w:r>
    </w:p>
    <w:p>
      <w:pPr>
        <w:spacing w:after="0" w:line="200" w:lineRule="exact"/>
        <w:rPr>
          <w:sz w:val="20"/>
          <w:szCs w:val="20"/>
          <w:color w:val="auto"/>
        </w:rPr>
      </w:pPr>
    </w:p>
    <w:p>
      <w:pPr>
        <w:sectPr>
          <w:pgSz w:w="11900" w:h="16838" w:orient="portrait"/>
          <w:cols w:equalWidth="0" w:num="2">
            <w:col w:w="1420" w:space="200"/>
            <w:col w:w="9620"/>
          </w:cols>
          <w:pgMar w:left="320" w:top="692" w:right="339" w:bottom="1440" w:gutter="0" w:footer="0" w:header="0"/>
          <w:type w:val="continuous"/>
        </w:sectPr>
      </w:pPr>
    </w:p>
    <w:p>
      <w:pPr>
        <w:spacing w:after="0" w:line="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THIRD:</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To the payment of the amounts then due and unpaid upon Securities of such series for principal (and premium, if any) and interest, in respect of which or for the benefit of which such money has been collected, ratably, without preference or priority of any kind, according to the amounts due and payable on such Securities for principal (and premium, if any) and interest, respectively.</w:t>
      </w:r>
    </w:p>
    <w:p>
      <w:pPr>
        <w:spacing w:after="0" w:line="149" w:lineRule="exact"/>
        <w:rPr>
          <w:sz w:val="20"/>
          <w:szCs w:val="20"/>
          <w:color w:val="auto"/>
        </w:rPr>
      </w:pPr>
    </w:p>
    <w:p>
      <w:pPr>
        <w:sectPr>
          <w:pgSz w:w="11900" w:h="16838" w:orient="portrait"/>
          <w:cols w:equalWidth="0" w:num="2">
            <w:col w:w="1260" w:space="360"/>
            <w:col w:w="9620"/>
          </w:cols>
          <w:pgMar w:left="320" w:top="692" w:right="339" w:bottom="1440" w:gutter="0" w:footer="0" w:header="0"/>
          <w:type w:val="continuous"/>
        </w:sectPr>
      </w:pPr>
    </w:p>
    <w:p>
      <w:pPr>
        <w:spacing w:after="0"/>
        <w:rPr>
          <w:sz w:val="20"/>
          <w:szCs w:val="20"/>
          <w:color w:val="auto"/>
        </w:rPr>
      </w:pPr>
      <w:r>
        <w:rPr>
          <w:rFonts w:ascii="Arial" w:cs="Arial" w:eastAsia="Arial" w:hAnsi="Arial"/>
          <w:sz w:val="18"/>
          <w:szCs w:val="18"/>
          <w:color w:val="auto"/>
        </w:rPr>
        <w:t>SECTION 6.04 Limitation on Suits.</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 holder of any Security of any series shall have any right by virtue or by availing of any provision of this Indenture to institute any suit, action or proceeding in equity or at law upon or under or with respect to this Indenture or for the appointment of a receiver or trustee, or for any other remedy hereunder, unless (i) such holder previously shall have given to the Trustee written notice of an Event of Default and of the continuance thereof with respect to the Securities of such series specifying such Event of Default, as hereinbefore provided; (ii) the holders of not less than a majority in aggregate principal amount of the Securities of such series then Outstanding shall have made written request upon the Trustee to institute such action, suit or proceeding in its own name as trustee hereunder; (iii) such holder or holders shall have offered to the Trustee such reasonable indemnity as it may require against the costs, expenses and liabilities to be incurred therein or thereby; and (iv) the Trustee for 60 days after its receipt of such notice, request and offer of indemnity, shall have failed to institute any such action, suit or proceeding and (v) during such 60 day period, the holders of a majority in principal amount of the Securities of that series (or such amount as shall have acted at a meeting of the holders of Securities of such series pursuant to the provisions of this Indenture) do not give the Trustee a direction inconsistent with the request; provided, however, that no one or more of such holders may use this Indenture to prejudice the rights of another holder or to obtain preference or priority over another holder.</w:t>
      </w:r>
    </w:p>
    <w:p>
      <w:pPr>
        <w:spacing w:after="0" w:line="17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Notwithstanding anything contained herein to the contrary, any other provisions of this Indenture, the right of any holder of any Security to receive payment of the principal of (and premium, if any) and interest on such Security, as therein provided, on or after the respective due dates expressed in such Security (or in the case of redemption, on the redemption date), or to institute suit for the enforcement of any such payment on or after such respective dates or redemption date, shall not be impaired or affected without the consent of such holder and by accepting a Security hereunder it is expressly understood, intended and covenanted by the taker and holder of every Security of such series with every other such taker and holder and the Trustee, that no one or more holders of Securities of such series shall have any right in any manner whatsoever by virtue or by availing of any provision of this Indenture to affect, disturb or prejudice the rights of the holders of any other of such Securities, or to obtain or seek to obtain priority over or preference to any other such holder, or to enforce any right under this Indenture, except in the manner herein provided and for the equal, ratable and common benefit of all holders of Securities of such series. For the protection and enforcement of the provisions of this Section, each and every Securityholder and the Trustee shall be entitled to such relief as can be given either at law or in equity.</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type w:val="continuous"/>
        </w:sectPr>
      </w:pPr>
    </w:p>
    <w:bookmarkStart w:id="95" w:name="page96"/>
    <w:bookmarkEnd w:id="95"/>
    <w:p>
      <w:pPr>
        <w:spacing w:after="0"/>
        <w:rPr>
          <w:sz w:val="20"/>
          <w:szCs w:val="20"/>
          <w:color w:val="auto"/>
        </w:rPr>
      </w:pPr>
      <w:r>
        <w:rPr>
          <w:rFonts w:ascii="Arial" w:cs="Arial" w:eastAsia="Arial" w:hAnsi="Arial"/>
          <w:sz w:val="18"/>
          <w:szCs w:val="18"/>
          <w:color w:val="auto"/>
        </w:rPr>
        <w:t>SECTION 6.05 Rights and Remedies Cumulative; Delay or Omission Not Waiver.</w:t>
      </w:r>
    </w:p>
    <w:p>
      <w:pPr>
        <w:spacing w:after="0" w:line="225" w:lineRule="exact"/>
        <w:rPr>
          <w:sz w:val="20"/>
          <w:szCs w:val="20"/>
          <w:color w:val="auto"/>
        </w:rPr>
      </w:pPr>
    </w:p>
    <w:p>
      <w:pPr>
        <w:jc w:val="both"/>
        <w:ind w:left="1300" w:hanging="644"/>
        <w:spacing w:after="0" w:line="279" w:lineRule="auto"/>
        <w:tabs>
          <w:tab w:leader="none" w:pos="13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Except as otherwise provided in Section 2.07, all powers and remedies given by this Article to the Trustee or to the Securityholders shall, to the extent permitted by law, be deemed cumulative and not exclusive of any other powers and remedies available to the Trustee or the holders of the Securities, by judicial proceedings or otherwise, to enforce the performance or observance of the covenants and agreements contained in this Indenture or otherwise established with respect to such Securities.</w:t>
      </w:r>
    </w:p>
    <w:p>
      <w:pPr>
        <w:spacing w:after="0" w:line="171"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94"/>
        </w:numPr>
        <w:rPr>
          <w:rFonts w:ascii="Arial" w:cs="Arial" w:eastAsia="Arial" w:hAnsi="Arial"/>
          <w:sz w:val="18"/>
          <w:szCs w:val="18"/>
          <w:color w:val="auto"/>
        </w:rPr>
      </w:pPr>
      <w:r>
        <w:rPr>
          <w:rFonts w:ascii="Arial" w:cs="Arial" w:eastAsia="Arial" w:hAnsi="Arial"/>
          <w:sz w:val="18"/>
          <w:szCs w:val="18"/>
          <w:color w:val="auto"/>
        </w:rPr>
        <w:t>No delay or omission of the Trustee or of any holder of any of the Securities to exercise any right or power accruing upon any Event of Default occurring and continuing as aforesaid shall impair any such right or power, or shall be construed to be a waiver of any such default or on acquiescence therein; and, subject to the provisions of Section 6.04, every power and remedy given by this Article or by law to the Trustee or the Securityholders may be exercised from time to time, and as often as shall be deemed expedient, by the Trustee or by the Securityholders.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SECTION 6.06 Control by Securityholders.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holders of a majority in aggregate principal amount of the Securities of any series at the time Outstanding, determined in accordance with Section 8.01, shall have the right to direct the time, method and place of conducting any proceeding for any remedy available to the Trustee, or exercising any trust or power conferred on the Trustee with respect to such series; provided, however, that such direction shall not be in conflict with any rule of law or with this Indenture or be unduly prejudicial to the rights of holders of Securities of any other series at the time Outstanding determined in accordance with Section 8.01. Subject to the provisions of Section 7.01, the Trustee shall have the right to decline to follow any such direction if the Trustee in good faith shall, by a Responsible Officer or Officers of the Trustee, determine that the proceeding so directed would involve the Trustee in personal liability.</w:t>
      </w:r>
    </w:p>
    <w:p>
      <w:pPr>
        <w:spacing w:after="0" w:line="164"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The holders either (a) through the written consent of not less than a majority in aggregate principal amount of the Securities of any series at the time Outstanding or (b) by action at a meeting of holders of the Securities of such series in accordance with Section 8.09, by the holders of a majority in aggregate principal amount of the Securities of such series then Outstanding represented at such meeting, may on behalf of the holders of all of the Securities of such series waive any past default in the performance of any of the covenants contained herein or established pursuant to Section 2.01 with respect to such series and its consequences, except a default in the payment of the principal of, or premium, if any, or interest on, any of the Securities of that series as and when the same shall become due by the terms of such Securities otherwise than by acceleration (unless such default has been cured and a sum sufficient to pay all matured installments of interest and principal and any premium has been deposited with the Trustee (in accordance with Section 6.01(c)) and except in respect a provision hereof which, under Section 9.02, cannot be modified or amended without the consent of the holders of each Outstanding Security affected; provided however that this Section shall not limit the right of holders of Securities of a series to rescind and annul any acceleration as set forth in Section 6.01. Upon any such waiver, the default covered thereby shall be deemed to be cured for all purposes of this Indenture and the Company, the Trustee and the holders of the Securities of such series shall be restored to their former positions and rights hereunder, respectively; but no such waiver shall extend to any subsequent or other default or impair any right consequent thereon. The provisions which otherwise would be automatically deemed to be contained in this Indenture pursuant to Section 316(a)(1) of the Trust Indenture Act are hereby expressly excluded from this Indenture, except to the extent such provisions are expressly included 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6" w:name="page97"/>
    <w:bookmarkEnd w:id="96"/>
    <w:p>
      <w:pPr>
        <w:spacing w:after="0"/>
        <w:rPr>
          <w:sz w:val="20"/>
          <w:szCs w:val="20"/>
          <w:color w:val="auto"/>
        </w:rPr>
      </w:pPr>
      <w:r>
        <w:rPr>
          <w:rFonts w:ascii="Arial" w:cs="Arial" w:eastAsia="Arial" w:hAnsi="Arial"/>
          <w:sz w:val="18"/>
          <w:szCs w:val="18"/>
          <w:color w:val="auto"/>
        </w:rPr>
        <w:t>SECTION 6.07 Undertaking to Pay Costs.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parties to this Indenture agree, and each holder of any Securities by such holder’s acceptance thereof shall be deemed to have agreed, that any court may in its discretion require, in any suit for the enforcement of any right or remedy under this Indenture, or in any suit against the Trustee for any action taken or omitted by it as Trustee, the filing by any party litigant in such suit of an undertaking to pay the costs of such suit, and that such court may in its discretion assess reasonable costs, including reasonable attorneys’ fees,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holding more than 10% in aggregate principal amount of the Outstanding Securities of any series, or to any suit instituted by any Securityholder for the enforcement of the payment of the principal of (or premium, if any) or interest on any Security of such series, on or after the respective due dates expressed in such Security or established pursuant to this Indenture.</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CONCERNING THE TRUSTEE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7.01 Certain Duties and Responsibilities of Trustee.</w:t>
      </w:r>
    </w:p>
    <w:p>
      <w:pPr>
        <w:spacing w:after="0" w:line="225" w:lineRule="exact"/>
        <w:rPr>
          <w:sz w:val="20"/>
          <w:szCs w:val="20"/>
          <w:color w:val="auto"/>
        </w:rPr>
      </w:pPr>
    </w:p>
    <w:p>
      <w:pPr>
        <w:jc w:val="both"/>
        <w:ind w:left="1300" w:hanging="644"/>
        <w:spacing w:after="0" w:line="254"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Trustee, prior to the occurrence of an Event of Default with respect to the Securities of a series and after the curing of all Events of Default with respect to the Securities of that series that may have occurred, shall undertake to perform with respect to the Securities of such series such duties and only such duties as are specifically set forth in this Indenture, and no implied covenants shall be read into this Indenture against the Trustee. In case an Event of Default with respect to the Securities of a series has occurred (that has not been cured or waived), the Trustee shall exercise with respect to Securities of that series such of the rights and powers vested in it by this Indenture, and use the same degree of care and skill in their exercise, as a prudent man would exercise or use under the circumstances in the conduct of his own affairs.</w:t>
      </w:r>
    </w:p>
    <w:p>
      <w:pPr>
        <w:spacing w:after="0" w:line="194"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95"/>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prior to the occurrence of an Event of Default with respect to the Securities of a series and after the curing or waiving of all such Events of Default with respect to that series that may have occurred:</w:t>
      </w:r>
    </w:p>
    <w:p>
      <w:pPr>
        <w:spacing w:after="0" w:line="170" w:lineRule="exact"/>
        <w:rPr>
          <w:rFonts w:ascii="Arial" w:cs="Arial" w:eastAsia="Arial" w:hAnsi="Arial"/>
          <w:sz w:val="18"/>
          <w:szCs w:val="18"/>
          <w:color w:val="auto"/>
        </w:rPr>
      </w:pPr>
    </w:p>
    <w:p>
      <w:pPr>
        <w:jc w:val="both"/>
        <w:ind w:left="2600" w:hanging="648"/>
        <w:spacing w:after="0" w:line="279" w:lineRule="auto"/>
        <w:tabs>
          <w:tab w:leader="none" w:pos="2600" w:val="left"/>
        </w:tabs>
        <w:numPr>
          <w:ilvl w:val="2"/>
          <w:numId w:val="95"/>
        </w:numPr>
        <w:rPr>
          <w:rFonts w:ascii="Arial" w:cs="Arial" w:eastAsia="Arial" w:hAnsi="Arial"/>
          <w:sz w:val="17"/>
          <w:szCs w:val="17"/>
          <w:color w:val="auto"/>
        </w:rPr>
      </w:pPr>
      <w:r>
        <w:rPr>
          <w:rFonts w:ascii="Arial" w:cs="Arial" w:eastAsia="Arial" w:hAnsi="Arial"/>
          <w:sz w:val="17"/>
          <w:szCs w:val="17"/>
          <w:color w:val="auto"/>
        </w:rPr>
        <w:t>the duties and obligations of the Trustee shall with respect to the Securities of such series be determined solely by the express provisions of this Indenture, and the Trustee shall not be liable with respect to the Securities of such series except for the performance of such duties and obligations as are specifically set forth in this Indenture, and no implied covenants or obligations shall be read into this Indenture against the Trustee; and</w:t>
      </w:r>
    </w:p>
    <w:p>
      <w:pPr>
        <w:spacing w:after="0" w:line="171" w:lineRule="exact"/>
        <w:rPr>
          <w:rFonts w:ascii="Arial" w:cs="Arial" w:eastAsia="Arial" w:hAnsi="Arial"/>
          <w:sz w:val="17"/>
          <w:szCs w:val="17"/>
          <w:color w:val="auto"/>
        </w:rPr>
      </w:pPr>
    </w:p>
    <w:p>
      <w:pPr>
        <w:jc w:val="both"/>
        <w:ind w:left="2600" w:hanging="648"/>
        <w:spacing w:after="0" w:line="255" w:lineRule="auto"/>
        <w:tabs>
          <w:tab w:leader="none" w:pos="2600" w:val="left"/>
        </w:tabs>
        <w:numPr>
          <w:ilvl w:val="2"/>
          <w:numId w:val="95"/>
        </w:numPr>
        <w:rPr>
          <w:rFonts w:ascii="Arial" w:cs="Arial" w:eastAsia="Arial" w:hAnsi="Arial"/>
          <w:sz w:val="18"/>
          <w:szCs w:val="18"/>
          <w:color w:val="auto"/>
        </w:rPr>
      </w:pPr>
      <w:r>
        <w:rPr>
          <w:rFonts w:ascii="Arial" w:cs="Arial" w:eastAsia="Arial" w:hAnsi="Arial"/>
          <w:sz w:val="18"/>
          <w:szCs w:val="18"/>
          <w:color w:val="auto"/>
        </w:rPr>
        <w:t>in the absence of bad faith on the part of the Trustee, the Trustee may with respect to the Securities of such series conclusively rely, as to the truth of the statements and the correctness of the opinions expressed therein, upon any certificates or opinions furnished to the Trustee and conforming to the requirements of this Indenture; but in the case of any such certificates or opinions that by any provision hereof are specifically required to be furnished to the Trustee, the Trustee shall be under a duty to examine the same to determine whether or not they conform to the requirement of this Indenture;</w:t>
      </w:r>
    </w:p>
    <w:p>
      <w:pPr>
        <w:spacing w:after="0" w:line="192"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95"/>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7" w:name="page98"/>
    <w:bookmarkEnd w:id="97"/>
    <w:p>
      <w:pPr>
        <w:jc w:val="both"/>
        <w:ind w:left="1960" w:hanging="656"/>
        <w:spacing w:after="0" w:line="301" w:lineRule="auto"/>
        <w:tabs>
          <w:tab w:leader="none" w:pos="196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Trustee shall not be liable with respect to any action taken or omitted to be taken by it in good faith in accordance with the direction of the holders of not less than a majority in principal amount of the Securities of any series at the time Outstanding relating to the time, method and place of conducting any proceeding for any remedy available to the Trustee, or exercising any trust or power conferred upon the Trustee under this Indenture with respect to the Securities of that series; and</w:t>
      </w:r>
    </w:p>
    <w:p>
      <w:pPr>
        <w:spacing w:after="0" w:line="157" w:lineRule="exact"/>
        <w:rPr>
          <w:rFonts w:ascii="Arial" w:cs="Arial" w:eastAsia="Arial" w:hAnsi="Arial"/>
          <w:sz w:val="16"/>
          <w:szCs w:val="16"/>
          <w:color w:val="auto"/>
        </w:rPr>
      </w:pPr>
    </w:p>
    <w:p>
      <w:pPr>
        <w:jc w:val="both"/>
        <w:ind w:left="1960" w:hanging="656"/>
        <w:spacing w:after="0" w:line="279" w:lineRule="auto"/>
        <w:tabs>
          <w:tab w:leader="none" w:pos="1960" w:val="left"/>
        </w:tabs>
        <w:numPr>
          <w:ilvl w:val="0"/>
          <w:numId w:val="96"/>
        </w:numPr>
        <w:rPr>
          <w:rFonts w:ascii="Arial" w:cs="Arial" w:eastAsia="Arial" w:hAnsi="Arial"/>
          <w:sz w:val="17"/>
          <w:szCs w:val="17"/>
          <w:color w:val="auto"/>
        </w:rPr>
      </w:pPr>
      <w:r>
        <w:rPr>
          <w:rFonts w:ascii="Arial" w:cs="Arial" w:eastAsia="Arial" w:hAnsi="Arial"/>
          <w:sz w:val="17"/>
          <w:szCs w:val="17"/>
          <w:color w:val="auto"/>
        </w:rPr>
        <w:t>None of the provisions contained in this Indenture shall require the Trustee to expend or risk its own funds or otherwise incur personal financial liability in the performance of any of its duties or in the exercise of any of its rights or powers, if there is reasonable ground for believing that the repayment of such funds or liability is not reasonably assured to it under the terms of this Indenture or adequate indemnity against such risk is not reasonably assured to 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7.02 Certain Rights of Trustee.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Except as otherwise provided in Section 7.01:</w:t>
      </w:r>
    </w:p>
    <w:p>
      <w:pPr>
        <w:spacing w:after="0" w:line="225" w:lineRule="exact"/>
        <w:rPr>
          <w:sz w:val="20"/>
          <w:szCs w:val="20"/>
          <w:color w:val="auto"/>
        </w:rPr>
      </w:pPr>
    </w:p>
    <w:p>
      <w:pPr>
        <w:jc w:val="both"/>
        <w:ind w:left="1300" w:hanging="644"/>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rely and shall be protected in acting or refraining from acting upon any resolution, certificate, statement, instrument, opinion, report, notice, request, consent, order, approval, bond, security or other paper or document believed by it to be genuine and to have been signed or presented by the proper party or parties;</w:t>
      </w:r>
    </w:p>
    <w:p>
      <w:pPr>
        <w:spacing w:after="0" w:line="183"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Any request, direction, order or demand of the Company mentioned herein shall be sufficiently evidenced by a Board Resolution or an instrument signed in the name of the Company, by the President or any Vice President and by the Secretary or an Assistant Secretary or the Treasurer or an Assistant Treasurer thereof (unless other evidence in respect thereof is specifically prescribed herein);</w:t>
      </w:r>
    </w:p>
    <w:p>
      <w:pPr>
        <w:spacing w:after="0" w:line="148" w:lineRule="exact"/>
        <w:rPr>
          <w:rFonts w:ascii="Arial" w:cs="Arial" w:eastAsia="Arial" w:hAnsi="Arial"/>
          <w:sz w:val="16"/>
          <w:szCs w:val="16"/>
          <w:color w:val="auto"/>
        </w:rPr>
      </w:pPr>
    </w:p>
    <w:p>
      <w:pPr>
        <w:ind w:left="1300" w:hanging="644"/>
        <w:spacing w:after="0" w:line="308" w:lineRule="auto"/>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Trustee may consult with counsel and the written advice of such counsel or any Opinion of Counsel shall be full and complete authorization and protection in respect of any action taken or suffered or omitted hereunder in good faith and in reliance thereon;</w:t>
      </w:r>
    </w:p>
    <w:p>
      <w:pPr>
        <w:spacing w:after="0" w:line="146" w:lineRule="exact"/>
        <w:rPr>
          <w:rFonts w:ascii="Arial" w:cs="Arial" w:eastAsia="Arial" w:hAnsi="Arial"/>
          <w:sz w:val="17"/>
          <w:szCs w:val="17"/>
          <w:color w:val="auto"/>
        </w:rPr>
      </w:pPr>
    </w:p>
    <w:p>
      <w:pPr>
        <w:jc w:val="both"/>
        <w:ind w:left="1300" w:hanging="644"/>
        <w:spacing w:after="0" w:line="272" w:lineRule="auto"/>
        <w:tabs>
          <w:tab w:leader="none" w:pos="130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Trustee shall be under no obligation to exercise any of the rights or powers vested in it by this Indenture at the request, order or direction of any of the Securityholders, pursuant to the provisions of this Indenture, unless such Securityholders shall have offered to the Trustee reasonable security or indemnity against the costs, expenses and liabilities that may be incurred therein or thereby; nothing contained herein shall, however, relieve the Trustee of the obligation, upon the occurrence of an Event of Default with respect to a series of the Securities (that has not been cured or waived) to exercise with respect to Securities of that series such of the rights and powers vested in it by this Indenture, and to use the same degree of care and skill in their exercise, as a prudent man would exercise or use under the circumstances in the conduct of his own affairs;</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shall not be liable for any action taken or omitted to be taken by it in good faith and believed by it to be authorized or within the discretion or rights or powers conferred upon it by this Indenture;</w:t>
      </w:r>
    </w:p>
    <w:p>
      <w:pPr>
        <w:spacing w:after="0" w:line="170" w:lineRule="exact"/>
        <w:rPr>
          <w:rFonts w:ascii="Arial" w:cs="Arial" w:eastAsia="Arial" w:hAnsi="Arial"/>
          <w:sz w:val="18"/>
          <w:szCs w:val="18"/>
          <w:color w:val="auto"/>
        </w:rPr>
      </w:pPr>
    </w:p>
    <w:p>
      <w:pPr>
        <w:jc w:val="both"/>
        <w:ind w:left="1300" w:hanging="644"/>
        <w:spacing w:after="0" w:line="290" w:lineRule="auto"/>
        <w:tabs>
          <w:tab w:leader="none" w:pos="130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Trustee shall not be bound to make any investigation into the facts or matters stated in any resolution, certificate, statement, instrument, opinion, report, notice, request, consent, order, approval, bond, security, or other papers or documents, unless requested in writing so to do by the holders of not less than a majority in principal amount of the Outstanding Securities of the particular series affected thereby (determined as provided in Section 8.04); provided, however,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reasonable indemnity against such costs, expenses or liabilities as a condition to so proceeding. The reasonable expense of every such examination shall be paid by the Company or, if paid by the Trustee, shall be repaid by the Company upon demand; and</w:t>
      </w:r>
    </w:p>
    <w:p>
      <w:pPr>
        <w:spacing w:after="0" w:line="165"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and the Trustee shall not be responsible for any misconduct or negligence on the part of any agent or attorney appointed with due care by it hereunder.</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8" w:name="page99"/>
    <w:bookmarkEnd w:id="98"/>
    <w:p>
      <w:pPr>
        <w:spacing w:after="0"/>
        <w:rPr>
          <w:sz w:val="20"/>
          <w:szCs w:val="20"/>
          <w:color w:val="auto"/>
        </w:rPr>
      </w:pPr>
      <w:r>
        <w:rPr>
          <w:rFonts w:ascii="Arial" w:cs="Arial" w:eastAsia="Arial" w:hAnsi="Arial"/>
          <w:sz w:val="18"/>
          <w:szCs w:val="18"/>
          <w:color w:val="auto"/>
        </w:rPr>
        <w:t>SECTION 7.03 Trustee Not Responsible for Recitals or Issuance of Securities.</w:t>
      </w:r>
    </w:p>
    <w:p>
      <w:pPr>
        <w:spacing w:after="0" w:line="225" w:lineRule="exact"/>
        <w:rPr>
          <w:sz w:val="20"/>
          <w:szCs w:val="20"/>
          <w:color w:val="auto"/>
        </w:rPr>
      </w:pPr>
    </w:p>
    <w:p>
      <w:pPr>
        <w:ind w:left="1300" w:hanging="644"/>
        <w:spacing w:after="0" w:line="277" w:lineRule="auto"/>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recitals contained herein and in the Securities shall be taken as the statements of the Company, and the Trustee assumes no responsibility for the correctness of the same.</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Trustee makes no representations as to the validity or sufficiency of this Indenture or of the Securities.</w:t>
      </w:r>
    </w:p>
    <w:p>
      <w:pPr>
        <w:spacing w:after="0" w:line="225" w:lineRule="exact"/>
        <w:rPr>
          <w:rFonts w:ascii="Arial" w:cs="Arial" w:eastAsia="Arial" w:hAnsi="Arial"/>
          <w:sz w:val="18"/>
          <w:szCs w:val="18"/>
          <w:color w:val="auto"/>
        </w:rPr>
      </w:pPr>
    </w:p>
    <w:p>
      <w:pPr>
        <w:jc w:val="both"/>
        <w:ind w:left="1300" w:hanging="644"/>
        <w:spacing w:after="0" w:line="311" w:lineRule="auto"/>
        <w:tabs>
          <w:tab w:leader="none" w:pos="1300" w:val="left"/>
        </w:tabs>
        <w:numPr>
          <w:ilvl w:val="0"/>
          <w:numId w:val="98"/>
        </w:numPr>
        <w:rPr>
          <w:rFonts w:ascii="Arial" w:cs="Arial" w:eastAsia="Arial" w:hAnsi="Arial"/>
          <w:sz w:val="16"/>
          <w:szCs w:val="16"/>
          <w:color w:val="auto"/>
        </w:rPr>
      </w:pPr>
      <w:r>
        <w:rPr>
          <w:rFonts w:ascii="Arial" w:cs="Arial" w:eastAsia="Arial" w:hAnsi="Arial"/>
          <w:sz w:val="16"/>
          <w:szCs w:val="16"/>
          <w:color w:val="auto"/>
        </w:rPr>
        <w:t>The Trustee shall not be accountable for the use or application by the Company of any of the Securities or of the proceeds of such Securities, or for the use or application of any moneys paid over by the Trustee in accordance with any provision of this Indenture or established pursuant to Section 2.01, or for the use or application of any moneys received by any paying agent other than the Trustee.</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color w:val="auto"/>
        </w:rPr>
        <w:t>SECTION 7.04 May Hold Securities.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Trustee or any paying agent or Security Registrar, in its individual or any other capacity, may become the owner or pledgee of Securities with the same rights it would have if it were not Trustee, paying agent or Security Registrar.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7.05 Moneys Held in Trust.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Subject to the provisions of Section 11.05, all moneys received by the Trustee shall, until used or applied as herein provided, be held in trust for the purposes for which they were received, but need not be segregated from other funds except to the extent required by law. The Trustee shall be under no liability for interest on any moneys received by it hereunder except such as it may agree with the Company to pay thereon.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7.06 Compensation and Reimbursement.</w:t>
      </w:r>
    </w:p>
    <w:p>
      <w:pPr>
        <w:spacing w:after="0" w:line="225" w:lineRule="exact"/>
        <w:rPr>
          <w:sz w:val="20"/>
          <w:szCs w:val="20"/>
          <w:color w:val="auto"/>
        </w:rPr>
      </w:pPr>
    </w:p>
    <w:p>
      <w:pPr>
        <w:jc w:val="both"/>
        <w:ind w:left="1300" w:hanging="644"/>
        <w:spacing w:after="0" w:line="269" w:lineRule="auto"/>
        <w:tabs>
          <w:tab w:leader="none" w:pos="13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covenants and agrees to pay to the Trustee, and the Trustee shall be entitled to, such reasonable compensation (which shall not be limited by any provision of law in regard to the compensation of a trustee of an express trust), as the Company, and the Trustee may from time to time agree in writing, for all services rendered by it in the execution of the trusts hereby created and in the exercise and performance of any of the powers and duties hereunder of the Trustee, and, except as otherwise expressly provided herein, the Company will pay or reimburse the Trustee upon its request for all reasonable expenses, disbursements and advances incurred or made by the Trustee in accordance with any of the provisions of this Indenture (including the reasonable compensation and the expenses and disbursements of its counsel and of all Persons not regularly in its employ) except any such expense, disbursement or advance as may arise from its negligence or bad faith. The Company also covenants to indemnify the Trustee (and its officers, agents, directors and employees) for, and to hold it harmless against, any loss, liability or expense incurred without negligence or bad faith on the part of the Trustee and arising out of or in connection with the acceptance or administration of this trust, including the costs and expenses of defending itself against any claim of liability in the premises.</w:t>
      </w:r>
    </w:p>
    <w:p>
      <w:pPr>
        <w:spacing w:after="0" w:line="181" w:lineRule="exact"/>
        <w:rPr>
          <w:rFonts w:ascii="Arial" w:cs="Arial" w:eastAsia="Arial" w:hAnsi="Arial"/>
          <w:sz w:val="17"/>
          <w:szCs w:val="17"/>
          <w:color w:val="auto"/>
        </w:rPr>
      </w:pPr>
    </w:p>
    <w:p>
      <w:pPr>
        <w:jc w:val="both"/>
        <w:ind w:left="1300" w:hanging="644"/>
        <w:spacing w:after="0" w:line="259" w:lineRule="auto"/>
        <w:tabs>
          <w:tab w:leader="none" w:pos="1300" w:val="left"/>
        </w:tabs>
        <w:numPr>
          <w:ilvl w:val="0"/>
          <w:numId w:val="99"/>
        </w:numPr>
        <w:rPr>
          <w:rFonts w:ascii="Arial" w:cs="Arial" w:eastAsia="Arial" w:hAnsi="Arial"/>
          <w:sz w:val="18"/>
          <w:szCs w:val="18"/>
          <w:color w:val="auto"/>
        </w:rPr>
      </w:pPr>
      <w:r>
        <w:rPr>
          <w:rFonts w:ascii="Arial" w:cs="Arial" w:eastAsia="Arial" w:hAnsi="Arial"/>
          <w:sz w:val="18"/>
          <w:szCs w:val="18"/>
          <w:color w:val="auto"/>
        </w:rPr>
        <w:t>The obligations of the Company under this Section to compensate and indemnify the Trustee and to pay or reimburse the Trustee for expenses, disbursements and advances shall constitute additional indebtedness hereunder. Such additional indebtedness shall be secured by a lien prior to that of the Securities upon all property and funds held or collected by the Trustee as such, except funds held in trust for the benefit of the holders of particular Securities.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7.07 Reliance on Officers’ Certificate.</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Except as otherwise provided in Section 7.01, whenever in the administration of the provisions of this Indenture the Trustee shall deem it necessary or desirable that a matter be proved or established prior to taking or suffering or omitting to take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to be taken by it under the provisions of this Indenture upon the faith thereof.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99" w:name="page100"/>
    <w:bookmarkEnd w:id="99"/>
    <w:p>
      <w:pPr>
        <w:spacing w:after="0"/>
        <w:rPr>
          <w:sz w:val="20"/>
          <w:szCs w:val="20"/>
          <w:color w:val="auto"/>
        </w:rPr>
      </w:pPr>
      <w:r>
        <w:rPr>
          <w:rFonts w:ascii="Arial" w:cs="Arial" w:eastAsia="Arial" w:hAnsi="Arial"/>
          <w:sz w:val="18"/>
          <w:szCs w:val="18"/>
          <w:color w:val="auto"/>
        </w:rPr>
        <w:t>SECTION 7.08 Disqualification; Conflicting Interests.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Trustee has or shall acquire any “conflicting interest” within the meaning of Section 310(b) of the Trust Indenture Act, the Trustee and the Company shall in all respects comply with the provisions of Section 310(b) of the Trust Indenture 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7.09 Corporate Trustee Required; Eligibility.</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There shall at all times be a Trustee with respect to the Securities issued hereunder which shall at all times be a corporation organized and doing business under the laws of the United States of America or any State or Territory thereof or of the District of Columbia, or a corporation or other Person permitted to act as trustee by the Commission, authorized under such laws to exercise corporate trust powers, having a combined capital and surplus of at least 50 million U.S. dollars ($50,000,000), and subject to supervision or examination by Federal, State, Territorial, or District of Columbia authority. If such corporation publishes reports of condition at least annually, pursuant to law or to the requirements of the aforesaid supervising or examining authority, then for the purposes of this Section, the combined capital and surplus of such corporation shall be deemed to be its combined capital and surplus as set forth in its most recent report of condition so published. The Company may not, nor may any Person directly or indirectly controlling, controlled by, or under common control with the Company, serve as Trustee. In case at any time the Trustee shall cease to be eligible in accordance with the provisions of this Section, the Trustee shall resign immediately in the manner and with the effect specified in Section 7.10.</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7.10 Resignation and Removal; Appointment of Successor.</w:t>
      </w:r>
    </w:p>
    <w:p>
      <w:pPr>
        <w:spacing w:after="0" w:line="225" w:lineRule="exact"/>
        <w:rPr>
          <w:sz w:val="20"/>
          <w:szCs w:val="20"/>
          <w:color w:val="auto"/>
        </w:rPr>
      </w:pPr>
    </w:p>
    <w:p>
      <w:pPr>
        <w:jc w:val="both"/>
        <w:ind w:left="1300" w:hanging="644"/>
        <w:spacing w:after="0" w:line="288" w:lineRule="auto"/>
        <w:tabs>
          <w:tab w:leader="none" w:pos="130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The Trustee or any successor hereafter appointed, may at any time resign with respect to the Securities of one or more series by giving written notice thereof to the Company and by transmitting notice of resignation by mail, first class postage prepaid, to the Securityholders of such series, as their names and addresses appear upon the Security Register. Upon receiving such notice of resignation, the Company shall promptly appoint a successor trustee with respect to Securities of such series by written instrument, in duplicate, executed by order of the Board of Directors, one copy of which instrument shall be delivered to the resigning Trustee and one copy to the successor trustee. If no successor trustee shall have been so appointed and have accepted appointment within 30 days after the mailing of such notice of resignation, the resigning Trustee may petition any court of competent jurisdiction for the appointment of a successor trustee with respect to Securities of such series, or any Securityholder of that series who has been a bona fide holder of a Security or Securities for at least six months may on behalf of himself and all others similarly situated, petition any such court for the appointment of a successor trustee. Such court may thereupon after such notice, if any, as it may deem proper and prescribe, appoint a successor trustee.</w:t>
      </w:r>
    </w:p>
    <w:p>
      <w:pPr>
        <w:spacing w:after="0" w:line="168" w:lineRule="exact"/>
        <w:rPr>
          <w:rFonts w:ascii="Arial" w:cs="Arial" w:eastAsia="Arial" w:hAnsi="Arial"/>
          <w:sz w:val="16"/>
          <w:szCs w:val="16"/>
          <w:color w:val="auto"/>
        </w:rPr>
      </w:pPr>
    </w:p>
    <w:p>
      <w:pPr>
        <w:ind w:left="1300" w:hanging="644"/>
        <w:spacing w:after="0"/>
        <w:tabs>
          <w:tab w:leader="none" w:pos="130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In case at any time any one of the following shall occur:</w:t>
      </w:r>
    </w:p>
    <w:p>
      <w:pPr>
        <w:spacing w:after="0" w:line="225" w:lineRule="exact"/>
        <w:rPr>
          <w:rFonts w:ascii="Arial" w:cs="Arial" w:eastAsia="Arial" w:hAnsi="Arial"/>
          <w:sz w:val="18"/>
          <w:szCs w:val="18"/>
          <w:color w:val="auto"/>
        </w:rPr>
      </w:pPr>
    </w:p>
    <w:p>
      <w:pPr>
        <w:ind w:left="1960" w:hanging="656"/>
        <w:spacing w:after="0" w:line="277"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7.08 after written request therefor by the Company or by any Securityholder who has been a bona fide holder of a Security or Securities for at least six months; or</w:t>
      </w:r>
    </w:p>
    <w:p>
      <w:pPr>
        <w:spacing w:after="0" w:line="170" w:lineRule="exact"/>
        <w:rPr>
          <w:rFonts w:ascii="Arial" w:cs="Arial" w:eastAsia="Arial" w:hAnsi="Arial"/>
          <w:sz w:val="18"/>
          <w:szCs w:val="18"/>
          <w:color w:val="auto"/>
        </w:rPr>
      </w:pPr>
    </w:p>
    <w:p>
      <w:pPr>
        <w:ind w:left="1960" w:right="20" w:hanging="656"/>
        <w:spacing w:after="0" w:line="277" w:lineRule="auto"/>
        <w:tabs>
          <w:tab w:leader="none" w:pos="1960" w:val="left"/>
        </w:tabs>
        <w:numPr>
          <w:ilvl w:val="1"/>
          <w:numId w:val="100"/>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7.09 and shall fail to resign after written request therefor by the Company or by any such Securityholder; 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0" w:name="page101"/>
    <w:bookmarkEnd w:id="100"/>
    <w:p>
      <w:pPr>
        <w:jc w:val="both"/>
        <w:ind w:left="1960" w:hanging="656"/>
        <w:spacing w:after="0" w:line="269" w:lineRule="auto"/>
        <w:tabs>
          <w:tab w:leader="none" w:pos="1960" w:val="left"/>
        </w:tabs>
        <w:numPr>
          <w:ilvl w:val="1"/>
          <w:numId w:val="101"/>
        </w:numPr>
        <w:rPr>
          <w:rFonts w:ascii="Arial" w:cs="Arial" w:eastAsia="Arial" w:hAnsi="Arial"/>
          <w:sz w:val="17"/>
          <w:szCs w:val="17"/>
          <w:color w:val="auto"/>
        </w:rPr>
      </w:pPr>
      <w:r>
        <w:rPr>
          <w:rFonts w:ascii="Arial" w:cs="Arial" w:eastAsia="Arial" w:hAnsi="Arial"/>
          <w:sz w:val="17"/>
          <w:szCs w:val="17"/>
          <w:color w:val="auto"/>
        </w:rPr>
        <w:t>the Trustee shall become incapable of acting, or shall be adjudged a bankrupt or insolvent, or commence a voluntary bankruptcy proceeding, or a receiver of the Trustee or of its property shall be appointed or consented to, or any public officer shall take charge or control of the Trustee or of its property or affairs for the purpose of rehabilitation, conservation or liquidation, then, in any such case, the Company may remove the Trustee with respect to all Securities and appoint a successor trustee by written instrument, in duplicate, executed by order of the Board of Directors, one copy of which instrument shall be delivered to the Trustee so removed and one copy to the successor trustee, or, unless the Trustee’s duty to resign is stayed as provided herein, any Securityholder who has been a bona fide holder of a Security or Securities for at least six months may, on behalf of that holder and all others similarly situated, petition any court of competent jurisdiction for the removal of the Trustee and the appointment of a successor trustee. Such court may thereupon after such notice, if any, as it may deem proper and prescribe, remove the Trustee and appoint a successor trustee.</w:t>
      </w:r>
    </w:p>
    <w:p>
      <w:pPr>
        <w:spacing w:after="0" w:line="185" w:lineRule="exact"/>
        <w:rPr>
          <w:rFonts w:ascii="Arial" w:cs="Arial" w:eastAsia="Arial" w:hAnsi="Arial"/>
          <w:sz w:val="17"/>
          <w:szCs w:val="17"/>
          <w:color w:val="auto"/>
        </w:rPr>
      </w:pPr>
    </w:p>
    <w:p>
      <w:pPr>
        <w:jc w:val="both"/>
        <w:ind w:left="1300" w:right="20" w:hanging="644"/>
        <w:spacing w:after="0" w:line="263"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holders of a majority in aggregate principal amount of the Securities of any series at the time Outstanding may at any time remove the Trustee with respect to such series by so notifying the Trustee and the Company and may appoint a successor Trustee for such series with the consent of the Company.</w:t>
      </w:r>
    </w:p>
    <w:p>
      <w:pPr>
        <w:spacing w:after="0" w:line="183"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Any resignation or removal of the Trustee and appointment of a successor trustee with respect to the Securities of a series pursuant to any of the provisions of this Section shall become effective upon acceptance of appointment by the successor trustee as provided in Section 7.11.</w:t>
      </w:r>
    </w:p>
    <w:p>
      <w:pPr>
        <w:spacing w:after="0" w:line="183" w:lineRule="exact"/>
        <w:rPr>
          <w:rFonts w:ascii="Arial" w:cs="Arial" w:eastAsia="Arial" w:hAnsi="Arial"/>
          <w:sz w:val="18"/>
          <w:szCs w:val="18"/>
          <w:color w:val="auto"/>
        </w:rPr>
      </w:pPr>
    </w:p>
    <w:p>
      <w:pPr>
        <w:ind w:left="1300" w:hanging="644"/>
        <w:spacing w:after="0" w:line="308" w:lineRule="auto"/>
        <w:tabs>
          <w:tab w:leader="none" w:pos="130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Any successor trustee appointed pursuant to this Section may be appointed with respect to the Securities of one or more series or all of such series, and at any time there shall be only one Trustee with respect to the Securities of any particular series.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SECTION 7.11 Acceptance of Appointment By Successor.</w:t>
      </w:r>
    </w:p>
    <w:p>
      <w:pPr>
        <w:spacing w:after="0" w:line="225" w:lineRule="exact"/>
        <w:rPr>
          <w:sz w:val="20"/>
          <w:szCs w:val="20"/>
          <w:color w:val="auto"/>
        </w:rPr>
      </w:pPr>
    </w:p>
    <w:p>
      <w:pPr>
        <w:jc w:val="both"/>
        <w:ind w:left="1300" w:hanging="644"/>
        <w:spacing w:after="0" w:line="272" w:lineRule="auto"/>
        <w:tabs>
          <w:tab w:leader="none" w:pos="130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In case of the appointment hereunder of a successor trustee with respect to all Securities, every such successor trustee so appointed shall execute, acknowledge and deliver to the Company and to the retiring Trustee an instrument accepting such appointment, and thereupon the resignation or removal of the retiring Trustee shall become effective and such successor trustee, without any further act, deed or conveyance, shall become vested with all the rights, powers, trusts and duties of the retiring Trustee; but, on the request of the Company or the successor trustee, such retiring Trustee shall, upon payment of its charges, execute and deliver an instrument transferring to such successor trustee all the rights, powers, and trusts of the retiring Trustee and shall duly assign, transfer and deliver to such successor trustee all property and money held by such retiring Trustee hereunder.</w:t>
      </w:r>
    </w:p>
    <w:p>
      <w:pPr>
        <w:spacing w:after="0" w:line="177" w:lineRule="exact"/>
        <w:rPr>
          <w:rFonts w:ascii="Arial" w:cs="Arial" w:eastAsia="Arial" w:hAnsi="Arial"/>
          <w:sz w:val="17"/>
          <w:szCs w:val="17"/>
          <w:color w:val="auto"/>
        </w:rPr>
      </w:pPr>
    </w:p>
    <w:p>
      <w:pPr>
        <w:jc w:val="both"/>
        <w:ind w:left="1300" w:hanging="644"/>
        <w:spacing w:after="0" w:line="284" w:lineRule="auto"/>
        <w:tabs>
          <w:tab w:leader="none" w:pos="130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In case of the appointment hereunder of a successor trustee with respect to the Securities of one or more (but not all) series, the Company, the retiring Trustee and each successor trustee with respect to the Securities of one or more series shall execute and deliver an indenture supplemental hereto wherein each successor trustee shall accept such appointment and which (1) shall contain such provisions as shall be necessary or desirable to transfer and confirm to, and to vest in, each successor trustee all the rights, powers, trusts and duties of the retiring Trustee with respect to the Securities of that or those series to which the appointment of such successor trustee relates, (2) shall contain such provisions as shall be deemed necessary or desirable to confirm that all the rights, powers, trusts and duties of the retiring Trustee with respect to the Securities of that or those series as to which the retiring Trustee is not retiring shall continue to be vested in the retiring Trustee, and (3)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that each such Trustee shall be trustee of a trust or trusts hereunder separate and apart from any trust or trusts hereunder administered by any other such Trustee and that no Trustee shall be responsible for any act or failure to act on the part of any other Trustee hereunder; and upon the execution and delivery of such supplemental indenture the resignation or removal of the retiring Trustee shall become effective to the extent provided therein, such retiring Trustee shall with respect to the Securities of that or those series to which the appointment of such successor trustee relates have no further responsibility for the exercise of rights and powers or for the performance of the duties and obligations vested in the Trustee under this Indenture, and each such successor trustee, without any further act, deed or conveyance, shall become vested with all the rights, powers, trusts and duties of the retiring Trustee with respect to the Securities of that or those series to which the appointment of such successor trustee relates; but, on request of the Company or any successor trustee, such retiring Trustee shall duly assign, transfer and deliver to such successor trustee, to the extent contemplated by such supplemental indenture, the property and money held by such retiring Trustee hereunder with respect to the Securities of that or those series to which the appointment of such successor trustee relates.</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1" w:name="page102"/>
    <w:bookmarkEnd w:id="101"/>
    <w:p>
      <w:pPr>
        <w:jc w:val="both"/>
        <w:ind w:left="1300" w:hanging="644"/>
        <w:spacing w:after="0" w:line="263"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Upon request of any such successor trustee, the Company shall execute any and all instruments for more fully and certainly vesting in and confirming to such successor trustee all such rights, powers and trusts referred to in paragraph (a) or (b) of this Section, as the case may be.</w:t>
      </w:r>
    </w:p>
    <w:p>
      <w:pPr>
        <w:spacing w:after="0" w:line="183"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No successor trustee shall accept its appointment unless at the time of such acceptance such successor trustee shall be qualified and eligible under this Article.</w:t>
      </w:r>
    </w:p>
    <w:p>
      <w:pPr>
        <w:spacing w:after="0" w:line="170" w:lineRule="exact"/>
        <w:rPr>
          <w:rFonts w:ascii="Arial" w:cs="Arial" w:eastAsia="Arial" w:hAnsi="Arial"/>
          <w:sz w:val="18"/>
          <w:szCs w:val="18"/>
          <w:color w:val="auto"/>
        </w:rPr>
      </w:pPr>
    </w:p>
    <w:p>
      <w:pPr>
        <w:jc w:val="both"/>
        <w:ind w:left="1300" w:hanging="644"/>
        <w:spacing w:after="0" w:line="279" w:lineRule="auto"/>
        <w:tabs>
          <w:tab w:leader="none" w:pos="130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Upon acceptance of appointment by a successor trustee as provided in this Section, the Company shall transmit notice of the succession of such trustee hereunder by mail, first class postage prepaid, to the Securityholders, as their names and addresses appear upon the Security Register. If the Company fails to transmit such notice within ten days after acceptance of appointment by the successor trustee, the successor trustee shall cause such notice to be transmitted at the expense of the Company.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SECTION 7.12 Merger, Conversion, Consolidation or Succession to Business.</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corporation into which the Trustee may be merged or converted or with which it may be consolidated, or any corporation resulting from any merger, conversion or consolidation to which the Trustee shall be a party, or any corporation succeeding to the corporate trust business of the Trustee, shall be the successor of the Trustee hereunder, provided that such corporation shall be qualified under the provisions of Section 7.08 and eligible under the provisions of Section 7.09, without the execution or filing of any paper or any further act on the part of any of the parties hereto, anything herein to the contrary notwithstanding. In case any Securities shall have been authenticated, but not delivered, by the Trustee then in office, any successor by merger, conversion or consolidation to such authenticating Trustee may adopt such authentication and deliver the Securities so authenticated with the same effect as if such successor Trustee had itself authenticated such Securities.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color w:val="auto"/>
        </w:rPr>
        <w:t>SECTION 7.13 Preferential Collection of Claims Against the Company.</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shall comply with Section 311(a) of the Trust Indenture Act, excluding any creditor relationship described in Section 311(b) of the Trust Indenture Act. A Trustee who has resigned or been removed shall be subject to Section 311(a) of the Trust Indenture Act to the extent included therein.</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ind w:left="3960"/>
        <w:spacing w:after="0"/>
        <w:rPr>
          <w:sz w:val="20"/>
          <w:szCs w:val="20"/>
          <w:color w:val="auto"/>
        </w:rPr>
      </w:pPr>
      <w:r>
        <w:rPr>
          <w:rFonts w:ascii="Arial" w:cs="Arial" w:eastAsia="Arial" w:hAnsi="Arial"/>
          <w:sz w:val="18"/>
          <w:szCs w:val="18"/>
          <w:color w:val="auto"/>
        </w:rPr>
        <w:t>CONCERNING THE SECURITYHOLDERS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8.01 Evidence of Action by Securityholders.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Whenever in this Indenture it is provided that the holders of a majority or specified percentage in aggregate principal amount of the Securities of a particular series may take any action (including the making of any demand or request, the giving of any notice, consent or waiver or the taking of any other action), the fact that at the time of taking any such action the holders of such majority or specified percentage of that series have joined therein may be evidenced by any instrument or any number of instruments of similar tenor executed by such holders of Securities of that series in Person or by agent or proxy appointed in writing.</w:t>
      </w:r>
    </w:p>
    <w:p>
      <w:pPr>
        <w:spacing w:after="0" w:line="18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If the Company shall solicit from the Securityholders of any series any request, demand, authorization, direction, notice, consent, waiver or other action, the Company may, at its option, as evidenced by an Officers’ Certificate, fix in advance a record date for such series for the determination of Securityholders entitled to give such request, demand, authorization, direction, notice, consent, waiver or other action, but the Company shall have no obligation to do so. If such a record date is fixed, such request, demand, authorization, direction, notice, consent, waiver or other action may be given before or after the record date, but only the Securityholders of record at the close of business on the record date shall be deemed to be Securityholders for the purposes of determining whether Securityholders of the requisite proportion of Outstanding Securities of that series have authorized or agreed or consented to such request, demand, authorization, direction, notice, consent, waiver or other action, and for that purpose the Outstanding Securities of that series shall be computed as of the record date; provided, however, that no such authorization, agreement or consent by such Securityholders on the record date shall be deemed effective unless it shall become effective pursuant to the provisions of this Indenture not later than six months after the record date.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2" w:name="page103"/>
    <w:bookmarkEnd w:id="102"/>
    <w:p>
      <w:pPr>
        <w:spacing w:after="0"/>
        <w:rPr>
          <w:sz w:val="20"/>
          <w:szCs w:val="20"/>
          <w:color w:val="auto"/>
        </w:rPr>
      </w:pPr>
      <w:r>
        <w:rPr>
          <w:rFonts w:ascii="Arial" w:cs="Arial" w:eastAsia="Arial" w:hAnsi="Arial"/>
          <w:sz w:val="18"/>
          <w:szCs w:val="18"/>
          <w:color w:val="auto"/>
        </w:rPr>
        <w:t>SECTION 8.02 Proof of Execution by Securityholders.</w:t>
      </w:r>
    </w:p>
    <w:p>
      <w:pPr>
        <w:spacing w:after="0" w:line="225"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Subject to the provisions of Section 7.01, proof of the execution of any instrument by a Securityholder (such proof will not require notarization) or his agent or proxy and proof of the holding by any Person of any of the Securities shall be sufficient if made in the following manner:</w:t>
      </w:r>
    </w:p>
    <w:p>
      <w:pPr>
        <w:spacing w:after="0" w:line="146" w:lineRule="exact"/>
        <w:rPr>
          <w:sz w:val="20"/>
          <w:szCs w:val="20"/>
          <w:color w:val="auto"/>
        </w:rPr>
      </w:pPr>
    </w:p>
    <w:p>
      <w:pPr>
        <w:ind w:left="130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fact and date of the execution by any such Person of any instrument may be proved in any reasonable manner acceptable to the Trustee.</w:t>
      </w:r>
    </w:p>
    <w:p>
      <w:pPr>
        <w:spacing w:after="0" w:line="170"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ownership of Securities shall be proved by the Security Register of such Securities or by a certificate of the Security Registrar thereof.</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The Trustee may require such additional proof of any matter referred to in this Section as it shall deem necessary.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8.03 Who May be Deemed Owners.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Prior to the due presentment for registration of transfer of any Security, the Company, the Trustee, any paying agent and any Security Registrar may deem and treat the Person in whose name such Security shall be registered upon the books of the Company as the absolute owner of such Security (whether or not such Security shall be overdue and notwithstanding any notice of ownership or writing thereon made by anyone other than the Security Registrar) for the purpose of receiving payment of or on account of the principal of, premium, if any, and (subject to Section 2.03) interest on such Security and for all other purposes; and neither the Company nor the Trustee nor any paying agent nor any Security Registrar shall be affected by any notice to the contrary.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8.04 Certain Securities Owned by Company Disregarded.</w:t>
      </w:r>
    </w:p>
    <w:p>
      <w:pPr>
        <w:spacing w:after="0" w:line="22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In determining whether the holders of the requisite aggregate principal amount of Securities of a particular series have concurred in any direction, consent of waiver under this Indenture, the Securities of that series that are owned by the Company or any other obligor on the Securities of that series or by any Person directly or indirectly controlling or controlled by or under common control with the Company or any other obligor on the Securities of that series shall be disregarded and deemed not to be Outstanding for the purpose of any such determination, except that for the purpose of determining whether the Trustee shall be protected in relying on any such direction, consent or waiver, only Securities of such series that the Trustee actually knows are so owned shall be so disregarded. The Securities so owned that have been pledged in good faith may be regarded as Outstanding for the purposes of this Section, if the pledgee shall establish to the satisfaction of the Trustee the pledgee’s right so to act with respect to such Securities and that the pledgee is not a Person directly or indirectly controlling or controlled by or under direct or indirect common control with the Company or any such other obligor. In case of a dispute as to such right, any decision by the Trustee taken upon the advice of counsel shall be full protection to the Trustee.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8.05 Actions Binding on Future Securityholders.</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At any time prior to (but not after) the evidencing to the Trustee, as provided in Section 8.01, of the taking of any action by the holders of the majority or percentage in aggregate principal amount of the Securities of a particular series specified in this Indenture in connection with such action, any holder of a Security of that series that is shown by the evidence to be included in the Securities the holders of which have consented to such action may, by filing written notice with the Trustee, and upon proof of holding as provided in Section 8.02, revoke such action so far as concerns such Security. Except as aforesaid any such action taken by the holder of any Security shall be conclusive and binding upon such holder and upon all future holders and owners of such Security, and of any Security issued in exchange therefor, on registration of transfer thereof or in place thereof, irrespective of whether or not any notation in regard thereto is made upon such Security. Any action taken by the holders of the majority or percentage in aggregate principal amount of the Securities of a particular series specified in this Indenture in connection with such action shall be conclusively binding upon the Company, the Trustee and the holders of all the Securities of that series.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3" w:name="page104"/>
    <w:bookmarkEnd w:id="103"/>
    <w:p>
      <w:pPr>
        <w:spacing w:after="0"/>
        <w:rPr>
          <w:sz w:val="20"/>
          <w:szCs w:val="20"/>
          <w:color w:val="auto"/>
        </w:rPr>
      </w:pPr>
      <w:r>
        <w:rPr>
          <w:rFonts w:ascii="Arial" w:cs="Arial" w:eastAsia="Arial" w:hAnsi="Arial"/>
          <w:sz w:val="18"/>
          <w:szCs w:val="18"/>
          <w:color w:val="auto"/>
        </w:rPr>
        <w:t>SECTION 8.06 Purposes for Which Meetings May Be Called.</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 meeting of holders of any series of Securities may be called at any time and from time to time pursuant to this Article to make, give or take any request, demand, authorization, direction, notice, consent, waiver or other action provided by this Indenture to be made, given or taken by holders of such series of Securities.</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Notwithstanding anything contained in this Article VIII, the Trustee may, during the pendency of a Default or an Event of Default, call a meeting of holders of any series of Securities in accordance with its standard practices.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8.07 Call Notice and Place of Meetings.</w:t>
      </w:r>
    </w:p>
    <w:p>
      <w:pPr>
        <w:spacing w:after="0" w:line="225" w:lineRule="exact"/>
        <w:rPr>
          <w:sz w:val="20"/>
          <w:szCs w:val="20"/>
          <w:color w:val="auto"/>
        </w:rPr>
      </w:pPr>
    </w:p>
    <w:p>
      <w:pPr>
        <w:jc w:val="both"/>
        <w:ind w:left="1300" w:hanging="644"/>
        <w:spacing w:after="0" w:line="273" w:lineRule="auto"/>
        <w:tabs>
          <w:tab w:leader="none" w:pos="1300" w:val="left"/>
        </w:tabs>
        <w:numPr>
          <w:ilvl w:val="0"/>
          <w:numId w:val="106"/>
        </w:numPr>
        <w:rPr>
          <w:rFonts w:ascii="Arial" w:cs="Arial" w:eastAsia="Arial" w:hAnsi="Arial"/>
          <w:sz w:val="17"/>
          <w:szCs w:val="17"/>
          <w:color w:val="auto"/>
        </w:rPr>
      </w:pPr>
      <w:r>
        <w:rPr>
          <w:rFonts w:ascii="Arial" w:cs="Arial" w:eastAsia="Arial" w:hAnsi="Arial"/>
          <w:sz w:val="17"/>
          <w:szCs w:val="17"/>
          <w:color w:val="auto"/>
        </w:rPr>
        <w:t>The Trustee may at any time call a meeting of holders of any series of Securities for any purpose specified in Section 8.06 hereof, to be held at such time and at such place in The City of New York or Boston, Massachusetts. Notice of every meeting of holders of any series of Securities, setting forth the time and the place of such meeting, in general terms the action proposed to be taken at such meeting and the percentage of the principal amount of the Outstanding Securities of such series which shall constitute a quorum at such meeting, shall be given, in the manner provided in Section 13.04 hereof, not less than 21 nor more than 180 days prior to the date fixed for the meeting to holders of Outstanding Securities of such series.</w:t>
      </w:r>
    </w:p>
    <w:p>
      <w:pPr>
        <w:spacing w:after="0" w:line="177" w:lineRule="exact"/>
        <w:rPr>
          <w:rFonts w:ascii="Arial" w:cs="Arial" w:eastAsia="Arial" w:hAnsi="Arial"/>
          <w:sz w:val="17"/>
          <w:szCs w:val="17"/>
          <w:color w:val="auto"/>
        </w:rPr>
      </w:pPr>
    </w:p>
    <w:p>
      <w:pPr>
        <w:jc w:val="both"/>
        <w:ind w:left="1300" w:hanging="644"/>
        <w:spacing w:after="0" w:line="291" w:lineRule="auto"/>
        <w:tabs>
          <w:tab w:leader="none" w:pos="130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In case at any time the Company, pursuant to a Board Resolution, or the holders of at least 10% in principal amount of the Outstanding Securities of any series shall have requested the Trustee to call a meeting of the holders of Securities of such series for any purpose specified in Section 8.06 hereof, by written request setting forth in reasonable detail the action proposed to be taken at the meeting, and the Trustee shall not have made the first publication of the notice of such meeting within 21 days after receipt of such request or shall not thereafter proceed to cause the meeting to be held as provided herein, then the Company or the holders of Securities of such series in the amount specified, as the case may be, may determine the time and the place in The City of New York or Boston, Massachusetts for such meeting and may call such meeting for such purposes by giving notice thereof as provided in paragraph (a) of this Section.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SECTION 8.08 Persons Entitled To Vote at Meetings.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To be entitled to vote at any meeting of holders of Securities of a given series, a Person shall be (a) a holder of one or more Outstanding Securities of such series or (b) a Person appointed by an instrument in writing as proxy for a holder or holders of one or more Outstanding Securities of such series by such holder or holders. The only Persons who shall be entitled to be present or to speak at any meeting of holders shall be the Persons entitled to vote at such meeting and their counsel, any representatives of the Trustee and its counsel and any representatives of the Company and its counsel.</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8.09 Quorum; Action.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Persons entitled to vote a majority in aggregate principal amount of the Outstanding Securities of a given series shall constitute a quorum with respect to a meeting of holders of Outstanding Securities of such series. In the absence of a quorum within 30 minutes of the time appointed for any such meeting, the meeting shall, if convened at the request of holders of Securities of such series, be dissolved. In any other case, the meeting may be adjourned for a period of not less than 10 days as determined by the chairman of the meeting prior to the adjournment of such meeting. In the absence of a quorum at any such adjourned meeting, such adjourned meeting may be further adjourned for a period of not less than 10 days as determined by the chairman of the meeting prior to the adjournment of such adjourned meeting. Notice of the reconvening of any adjourned meeting shall be given as provided in Section 8.07(a) hereof, except that such notice need be given only once and not less than five days prior to the date on which the meeting is scheduled to be reconvened.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4" w:name="page105"/>
    <w:bookmarkEnd w:id="104"/>
    <w:p>
      <w:pPr>
        <w:jc w:val="both"/>
        <w:ind w:firstLine="648"/>
        <w:spacing w:after="0" w:line="259" w:lineRule="auto"/>
        <w:rPr>
          <w:sz w:val="20"/>
          <w:szCs w:val="20"/>
          <w:color w:val="auto"/>
        </w:rPr>
      </w:pPr>
      <w:r>
        <w:rPr>
          <w:rFonts w:ascii="Arial" w:cs="Arial" w:eastAsia="Arial" w:hAnsi="Arial"/>
          <w:sz w:val="18"/>
          <w:szCs w:val="18"/>
          <w:color w:val="auto"/>
        </w:rPr>
        <w:t>At a meeting or an adjourned meeting duly reconvened and at which a quorum is present as aforesaid, any resolution and all matters (except as limited by the proviso to the first paragraph of Section 9.02 hereof) shall be effectively passed and decided if passed or decided by the Persons entitled to vote not less than a majority in aggregate principal amount of Outstanding Securities of a series represented and voting at such meeting with respect to a meeting of holders of Outstanding Securities of such series.</w:t>
      </w:r>
    </w:p>
    <w:p>
      <w:pPr>
        <w:spacing w:after="0" w:line="18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Any resolution passed or decisions taken at any meeting of holders of Securities duly held in accordance with this Section shall be binding on all the holders of Securities of such series, whether or not present or represented at the meeting.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8.10 Determination of Voting Rights; Conduct and Adjournment of Meetings.</w:t>
      </w:r>
    </w:p>
    <w:p>
      <w:pPr>
        <w:spacing w:after="0" w:line="225" w:lineRule="exact"/>
        <w:rPr>
          <w:sz w:val="20"/>
          <w:szCs w:val="20"/>
          <w:color w:val="auto"/>
        </w:rPr>
      </w:pPr>
    </w:p>
    <w:p>
      <w:pPr>
        <w:jc w:val="both"/>
        <w:ind w:left="1300" w:hanging="644"/>
        <w:spacing w:after="0" w:line="279"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Notwithstanding any other provisions of this Indenture, the Trustee may make such reasonable regulations as it may deem advisable for any meeting of holders of Securities in regard to proof of the holding of Securities and of the appointment of proxies and in regard to the appointment and duties of inspectors of votes, the submission and examination of proxies, certificates and other evidence of the right to vote, and such other matters concerning the conduct of the meeting as it shall deem appropriate.</w:t>
      </w:r>
    </w:p>
    <w:p>
      <w:pPr>
        <w:spacing w:after="0" w:line="171" w:lineRule="exact"/>
        <w:rPr>
          <w:rFonts w:ascii="Arial" w:cs="Arial" w:eastAsia="Arial" w:hAnsi="Arial"/>
          <w:sz w:val="17"/>
          <w:szCs w:val="17"/>
          <w:color w:val="auto"/>
        </w:rPr>
      </w:pPr>
    </w:p>
    <w:p>
      <w:pPr>
        <w:jc w:val="both"/>
        <w:ind w:left="1300" w:hanging="644"/>
        <w:spacing w:after="0" w:line="275"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 Trustee shall, by an instrument in writing, appoint a temporary chairman (which may be the Trustee) of the meeting, unless the meeting shall have been called by the Company or by holders of Securities of a given series as provided in Section 8.07(b) hereof, in which case the Company or the holders of Securities of such series calling the meeting, as the case may be, shall in like manner appoint a temporary chairman. A permanent chairman and a permanent secretary of the meeting shall be elected by vote of the Persons entitled to vote a majority in principal amount of the Outstanding Securities of such series represented at the meeting.</w:t>
      </w:r>
    </w:p>
    <w:p>
      <w:pPr>
        <w:spacing w:after="0" w:line="176" w:lineRule="exact"/>
        <w:rPr>
          <w:rFonts w:ascii="Arial" w:cs="Arial" w:eastAsia="Arial" w:hAnsi="Arial"/>
          <w:sz w:val="17"/>
          <w:szCs w:val="17"/>
          <w:color w:val="auto"/>
        </w:rPr>
      </w:pPr>
    </w:p>
    <w:p>
      <w:pPr>
        <w:jc w:val="both"/>
        <w:ind w:left="1300" w:hanging="644"/>
        <w:spacing w:after="0" w:line="257" w:lineRule="auto"/>
        <w:tabs>
          <w:tab w:leader="none" w:pos="130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At any meeting, each holder of a Security of the series in respect of which such meeting is being held or proxy shall be entitled to one vote for each $1,000 principal amount of Securities of such series held or represented by him; provided, however, that no vote shall be cast or counted at any meeting in respect of any Security of such series challenged as not Outstanding and ruled by the chairman of the meeting to be not Outstanding. The chairman of the meeting shall have no right to vote, except as a holder of a Security of such series or proxy.</w:t>
      </w:r>
    </w:p>
    <w:p>
      <w:pPr>
        <w:spacing w:after="0" w:line="187"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Any meeting of holders of Securities duly called pursuant to Section 8.07 hereof at which a quorum is present may be adjourned from time to time by Persons entitled to vote a majority in principal amount of the Outstanding Securities of the series in respect of which such meeting is being held represented at the meeting, and the meeting may be held as so adjourned without further notice.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8.11 Counting Votes and Recording Action of Meetings.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vote upon any resolution submitted to any meeting of holders of Securities of a given series shall be by written ballots on which shall be subscribed the signatures of the holders of Securities of such series or of their representatives by proxy and the principal amounts and serial numbers of the Outstanding Securities of such series held or represented by them. The permanent chairman of the meeting shall appoint two inspectors of votes who shall count all votes cast at the meeting for or against any resolution and who shall make and file with the secretary of the meeting their verified written reports in duplicate of all votes cast at the meeting. A record, at least in duplicate, of the proceedings of each meeting of holders of Securities of such series shall be prepared by the secretary of the meeting and there shall be attached to said record the original reports of the inspectors of votes on any vote by ballot taken thereat and affidavits by one or more Persons having knowledge of the facts setting forth a copy of the notice of the meeting and showing that said notice was given as provided in Section 8.07 hereof and, if applicable, Section 8.09 hereof. Each copy shall be signed and verified by the affidavits of the permanent chairman and secretary of the meeting and one such copy shall be delivered to the Company and another to the Trustee to be preserved by the Trustee, the latter to have attached thereto the ballots voted at the meeting. Any record so signed and verified shall be conclusive evidence of the matters therein stated.</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SUPPLEMENTAL INDENTURES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9.01 Supplemental Indentures Without the Consent of Securityholders.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addition to any supplemental indenture otherwise authorized by this Indenture, the Company and the Trustee may from time to time and at any time enter into an indenture or indentures supplemental hereto (which shall conform to the provisions of the Trust Indenture Act as then in effect), without the consent of the Securityholders, for one or more of the following purposes:</w:t>
      </w:r>
    </w:p>
    <w:p>
      <w:pPr>
        <w:spacing w:after="0" w:line="184" w:lineRule="exact"/>
        <w:rPr>
          <w:sz w:val="20"/>
          <w:szCs w:val="20"/>
          <w:color w:val="auto"/>
        </w:rPr>
      </w:pPr>
    </w:p>
    <w:p>
      <w:pPr>
        <w:jc w:val="both"/>
        <w:ind w:left="1300" w:hanging="644"/>
        <w:spacing w:after="0" w:line="311" w:lineRule="auto"/>
        <w:tabs>
          <w:tab w:leader="none" w:pos="130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cure any ambiguity, correct or supplement any provision herein which may be inconsistent with any other provision herein or which is otherwise defective, or make any other provisions with respect to matters or questions arising under this Indenture which the Company and the Trustee may deem necessary or desirable and which shall not be inconsistent with the provisions of this Indenture;</w:t>
      </w:r>
    </w:p>
    <w:p>
      <w:pPr>
        <w:spacing w:after="0" w:line="148" w:lineRule="exact"/>
        <w:rPr>
          <w:rFonts w:ascii="Arial" w:cs="Arial" w:eastAsia="Arial" w:hAnsi="Arial"/>
          <w:sz w:val="16"/>
          <w:szCs w:val="16"/>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comply with Article X;</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provide for uncertificated Securities in addition to or in place of certificated Securities;</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add to the covenants of the Company for the benefit of the holders of all or any Series of Securities (and if such covenants are to be for the benefit of less than all series of Securities, stating that such covenants are expressly being included solely for the benefit of such series) or to surrender any right or power herein conferred upon the Company;</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add to, delete from, or revise the conditions, limitations, and restrictions on the authorized amount, terms, or purposes of issue, authentication, and delivery of Securities, as herein set forth;</w:t>
      </w:r>
    </w:p>
    <w:p>
      <w:pPr>
        <w:spacing w:after="0" w:line="170" w:lineRule="exact"/>
        <w:rPr>
          <w:rFonts w:ascii="Arial" w:cs="Arial" w:eastAsia="Arial" w:hAnsi="Arial"/>
          <w:sz w:val="18"/>
          <w:szCs w:val="18"/>
          <w:color w:val="auto"/>
        </w:rPr>
      </w:pPr>
    </w:p>
    <w:p>
      <w:pPr>
        <w:ind w:left="1300" w:hanging="644"/>
        <w:spacing w:after="0"/>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Securityholder in any material respect;</w:t>
      </w:r>
    </w:p>
    <w:p>
      <w:pPr>
        <w:spacing w:after="0" w:line="225"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to provide for the issuance of and establish the form and terms and conditions of the Securities of any series as provided in Section 2.01, to establish the form of any certifications required to be furnished pursuant to the terms of this Indenture or any series of Securities, or to add to the rights of the holders of any series of Securities; or</w:t>
      </w:r>
    </w:p>
    <w:p>
      <w:pPr>
        <w:spacing w:after="0" w:line="183"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comply with the requirements of the Commission in order to effect or maintain the qualification of this Indenture under the Trust Indenture Act.</w:t>
      </w:r>
    </w:p>
    <w:p>
      <w:pPr>
        <w:spacing w:after="0" w:line="17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Trustee is hereby authorized to join with the Company in the execution of any such supplemental indenture, and to make any further appropriate agreements and stipulations that may be therein contained, but the Trustee shall not be obligated to enter into any such supplemental indenture that affects the Trustee’s own rights, duties or immunities under this Indenture or otherwise.</w:t>
      </w:r>
    </w:p>
    <w:p>
      <w:pPr>
        <w:spacing w:after="0" w:line="18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Any supplemental indenture authorized by the provisions of this Section may be executed by the Company and the Trustee without the consent of the holders of any of the Securities at the time Outstanding, notwithstanding any of the provisions of Section 9.02.</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6" w:name="page107"/>
    <w:bookmarkEnd w:id="106"/>
    <w:p>
      <w:pPr>
        <w:spacing w:after="0"/>
        <w:rPr>
          <w:sz w:val="20"/>
          <w:szCs w:val="20"/>
          <w:color w:val="auto"/>
        </w:rPr>
      </w:pPr>
      <w:r>
        <w:rPr>
          <w:rFonts w:ascii="Arial" w:cs="Arial" w:eastAsia="Arial" w:hAnsi="Arial"/>
          <w:sz w:val="18"/>
          <w:szCs w:val="18"/>
          <w:color w:val="auto"/>
        </w:rPr>
        <w:t>SECTION 9.02 Supplemental Indentures With Consent of Securityholders.</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With the written consent of the holders of at least a majority in aggregate principal amount of the Outstanding Securities of any series or by action at a meeting of holders of the Securities of such series in accordance with Section 8.09, by the holders of a majority in aggregate principal amount of the Securities of such series then Outstanding represented at such meeting, the Company, when authorized by Board Resolutions, and the Trustee may from time to time and at any time enter into an indenture or indentures supplemental hereto (which shall conform to the provisions of the Trust Indenture Act as then in effect) for the purpose of adding any provisions to or changing in any manner or eliminating any of the provisions of this Indenture or of any supplemental indenture or of modifying in any manner not covered by Section 9.01 the rights of the holders of the Securities of such series under this Indenture; provided, however, that no such supplemental indenture shall, without the consent of the holders of each Security then Outstanding and affected thereby, (i) extend the fixed maturity of any Securities of any series, or reduce the principal amount thereof, or reduce the rate or extend the time of payment of interest thereon, or reduce any premium payable upon the redemption thereof, (ii) reduce the aforesaid percentage of Securities, the holders of which are required to consent to any such supplemental indenture, or any consent or waiver, (iii) reduce the principal amount of discount securities payable upon acceleration of the maturity of any Securities of any series or (iv) make the principal of or premium or interest on any Security of a series payable in currency or currency units other than that stated in the Securities of such series.</w:t>
      </w:r>
    </w:p>
    <w:p>
      <w:pPr>
        <w:spacing w:after="0" w:line="17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shall not be necessary for the consent of the Securityholders of any series affected thereby under this Section to approve the particular form of any proposed supplemental indenture, but it shall be sufficient if such consent shall approve the substance thereof.</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9.03 Effect of Supplemental Indentures.</w:t>
      </w:r>
    </w:p>
    <w:p>
      <w:pPr>
        <w:spacing w:after="0" w:line="225"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Upon the execution of any supplemental indenture pursuant to the provisions of this Article or of Section 10.01, this Indenture shall, with respect to such series, be and be deemed to be modified and amended in accordance therewith and the respective rights, limitations of rights, obligations, duties and immunities under this Indenture of the Trustee, the Company and the holders of Securities of the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SECTION 9.04 Securities Affected by Supplemental Indentures.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Securities of any series affected by a supplemental indenture, authenticated and delivered after the execution of such supplemental indenture pursuant to the provisions of this Article or of Section 10.01, may bear a notation in form approved by the Company, provided such form meets the requirements of any exchange upon which such series may be listed, as to any matter provided for in such supplemental indenture. If the Company shall so determine, new Securities of that series so modified as to conform, in the opinion of the Board of Directors of the Company, to any modification of this Indenture contained in any such supplemental indenture may be prepared by the Company, authenticated by the Trustee and delivered in exchange for the Securities of that series then Outstanding.</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SECTION 9.05 Execution of Supplemental Indentures.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Upon the request of the Company, accompanied by its Board Resolutions authorizing the execution of any such supplemental indenture, and upon the filing with the Trustee of evidence of the consent of Securityholders required to consent thereto as aforesaid, the Trustee shall join with the Company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 The Trustee, subject to the provisions of Section 7.01, may receive an Opinion of Counsel as conclusive evidence that any supplemental indenture executed pursuant to this Article is authorized or permitted by, and conforms to, the terms of this Article and that it is proper for the Trustee under the provisions of this Article to join in the execution thereof; provided, however, that such Opinion of Counsel need not be provided in connection with the execution of a supplemental indenture that establishes the terms of a series of Securities pursuant to Section 2.01 hereof.</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7" w:name="page108"/>
    <w:bookmarkEnd w:id="107"/>
    <w:p>
      <w:pPr>
        <w:jc w:val="both"/>
        <w:ind w:firstLine="648"/>
        <w:spacing w:after="0" w:line="279" w:lineRule="auto"/>
        <w:rPr>
          <w:sz w:val="20"/>
          <w:szCs w:val="20"/>
          <w:color w:val="auto"/>
        </w:rPr>
      </w:pPr>
      <w:r>
        <w:rPr>
          <w:rFonts w:ascii="Arial" w:cs="Arial" w:eastAsia="Arial" w:hAnsi="Arial"/>
          <w:sz w:val="17"/>
          <w:szCs w:val="17"/>
          <w:color w:val="auto"/>
        </w:rPr>
        <w:t>Promptly after the execution by the Company and the Trustee of any supplemental indenture pursuant to the provisions of this Section, the Trustee shall transmit by mail, first class postage prepaid, a notice, setting forth in general terms the substance of such supplemental indenture, to the Securityholders of all series affected thereby as their names and addresses appear upon the Security Register. Any failure of the Trustee to mail such notice, or any defect therein, shall not, however, in any way impair or affect the validity of any such supplemental indenture.</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SUCCESSOR ENTITY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10.01 Company May Consolidate, Etc.</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Nothing contained in this Indenture or in any of the Securities shall prevent any consolidation or merger of the Company with or into any other Person (whether or not affiliated with the Company) or successive consolidations or mergers in which the Company or its successor or successors shall be a party or parties, or shall prevent any sale, conveyance, transfer or other disposition of the property of the Company or its successor or successors as an entirety, or substantially as an entirety, to any other corporation (whether or not affiliated with the Company or its successor or successors) authorized to acquire and operate the same; provided, however, the Company hereby covenants and agrees that, upon any such consolidation or merger (in each case, if the Company is not the survivor of such transaction), sale, conveyance, transfer or other disposition, the due and punctual payment of the principal of (premium, if any) and interest on all of the Securities of all series in accordance with the terms of each series, according to their tenor and the due and punctual performance and observance of all the covenants and conditions of this Indenture with respect to each series or established with respect to such series pursuant to Section 2.01 to be kept or performed by the Company shall be expressly assumed, by supplemental indenture (which shall conform to the provisions of the Trust Indenture Act, as then in effect) satisfactory in form to the Trustee executed and delivered to the Trustee by the entity formed by such consolidation, or into which the Company shall have been merged, or by the entity which shall have acquired such property.</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SECTION 10.02 Successor Entity Substituted.</w:t>
      </w:r>
    </w:p>
    <w:p>
      <w:pPr>
        <w:spacing w:after="0" w:line="225" w:lineRule="exact"/>
        <w:rPr>
          <w:sz w:val="20"/>
          <w:szCs w:val="20"/>
          <w:color w:val="auto"/>
        </w:rPr>
      </w:pPr>
    </w:p>
    <w:p>
      <w:pPr>
        <w:jc w:val="both"/>
        <w:ind w:left="1300" w:hanging="644"/>
        <w:spacing w:after="0" w:line="272" w:lineRule="auto"/>
        <w:tabs>
          <w:tab w:leader="none" w:pos="1300" w:val="left"/>
        </w:tabs>
        <w:numPr>
          <w:ilvl w:val="0"/>
          <w:numId w:val="109"/>
        </w:numPr>
        <w:rPr>
          <w:rFonts w:ascii="Arial" w:cs="Arial" w:eastAsia="Arial" w:hAnsi="Arial"/>
          <w:sz w:val="17"/>
          <w:szCs w:val="17"/>
          <w:color w:val="auto"/>
        </w:rPr>
      </w:pPr>
      <w:r>
        <w:rPr>
          <w:rFonts w:ascii="Arial" w:cs="Arial" w:eastAsia="Arial" w:hAnsi="Arial"/>
          <w:sz w:val="17"/>
          <w:szCs w:val="17"/>
          <w:color w:val="auto"/>
        </w:rPr>
        <w:t>In case of any such consolidation, merger, sale, conveyance, transfer or other disposition and upon the assumption by the successor entity by supplemental indenture, executed and delivered to the Trustee and satisfactory in form to the Trustee, of the due and punctual payment of the principal of, premium, if any, and interest on all of the Securities of all series Outstanding and the due and punctual performance of all of the covenants and conditions of this Indenture or established with respect to each series of the Securities pursuant to Section 2.01 to be performed by the Company with respect to each series, such successor entity shall succeed to and be substituted for the Company with the same effect as if it had been named as the Company herein, and thereupon the predecessor corporation shall be relieved of all obligations and covenants under this Indenture and the Securities.</w:t>
      </w:r>
    </w:p>
    <w:p>
      <w:pPr>
        <w:spacing w:after="0" w:line="177" w:lineRule="exact"/>
        <w:rPr>
          <w:rFonts w:ascii="Arial" w:cs="Arial" w:eastAsia="Arial" w:hAnsi="Arial"/>
          <w:sz w:val="17"/>
          <w:szCs w:val="17"/>
          <w:color w:val="auto"/>
        </w:rPr>
      </w:pPr>
    </w:p>
    <w:p>
      <w:pPr>
        <w:ind w:left="1300" w:hanging="644"/>
        <w:spacing w:after="0" w:line="277"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In case of any such consolidation, merger, sale, conveyance, transfer or other disposition such changes in phraseology and form (but not in substance) may be made in the Securities thereafter to be issued as may be appropriate.</w:t>
      </w:r>
    </w:p>
    <w:p>
      <w:pPr>
        <w:spacing w:after="0" w:line="170" w:lineRule="exact"/>
        <w:rPr>
          <w:rFonts w:ascii="Arial" w:cs="Arial" w:eastAsia="Arial" w:hAnsi="Arial"/>
          <w:sz w:val="18"/>
          <w:szCs w:val="18"/>
          <w:color w:val="auto"/>
        </w:rPr>
      </w:pPr>
    </w:p>
    <w:p>
      <w:pPr>
        <w:jc w:val="both"/>
        <w:ind w:left="1300" w:hanging="644"/>
        <w:spacing w:after="0" w:line="263" w:lineRule="auto"/>
        <w:tabs>
          <w:tab w:leader="none" w:pos="130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Nothing contained in this Article shall require any action by the Company in the case of a consolidation or merger of any Person into the Company where the Company is the survivor of such transaction, or the acquisition by the Company, by purchase or otherwise, of all or any part of the property of any other Person (whether or not affiliated with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SECTION 10.03 Evidence of Consolidation, Etc. to Trustee.</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The Trustee, subject to the provisions of Section 7.01, may receive an Opinion of Counsel as conclusive evidence that any such consolidation, merger, sale, conveyance, transfer or other disposition, and any such assumption, comply with the provisions of this Article.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SATISFACTION AND DISCHARGE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11.01 Satisfaction and Discharge of Indenture.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If at any time: (a) the Company shall have delivered to the Trustee for cancellation all Securities of a series theretofore authenticated (other than any Securities that shall have been destroyed, lost or stolen and that shall have been replaced or paid as provided in Section 2.07) and Securities for whose payment money or Governmental Obligations have theretofore been deposited in trust or segregated and held in trust by the Company (and thereupon repaid to the Company or discharged from such trust, as provided in Section 11.05); or (b) all such Securities of a particular series not theretofore delivered to the Trustee for cancellation shall have become due and payable, or are by their terms to become due and payable within one year or are to be called for redemption within one year under arrangements satisfactory to the Trustee for the giving of notice of redemption, and the Company shall deposit or cause to be deposited with the Trustee as trust funds the entire amount in moneys or Governmental Obligations sufficient or a combination thereof, sufficient (assuming that no tax liability will be imposed on the Trustee) in the opinion of a nationally recognized firm of independent public accountants expressed in a written certification thereof delivered to the Trustee, to pay at maturity or upon redemption all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with respect to such series by the Company then this Indenture shall thereupon cease to be of further effect with respect to such series except for the provisions of Sections 2.03, 2.05, 2.07, 4.01, 4.02, 4.03 and 7.10, that shall survive until the date of maturity or redemption date, as the case may be, and Sections 7.06 and 11.05, that shall survive to such date and thereafter, and the Trustee, on demand of the Company and at the cost and expense of the Company shall execute proper instruments acknowledging satisfaction of and discharging this Indenture with respect to such series.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SECTION 11.02 Discharge of Obligations.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If at any time all such Securities of a particular series not heretofore delivered to the Trustee for cancellation or that have not become due and payable as described in Section 11.01 shall have been paid by the Company by depositing irrevocably with the Trustee as trust funds moneys or an amount of Governmental Obligations sufficient to pay at maturity or upon redemption all such Securities of that series not theretofore delivered to the Trustee for cancellation, including principal (and premium, if any) and interest due or to become due to such date of maturity or date fixed for redemption, as the case may be, and if the Company shall also pay or cause to be paid all other sums payable hereunder by the Company with respect to such series, then after the date such moneys or Governmental Obligations, as the case may be, are deposited with the Trustee the obligations of the Company under this Indenture with respect to such series shall cease to be of further effect except for the provisions of Sections 2.03, 2.05, 2.07, 4,01, 4.02, 4.03, 7.06, 7.10 and 11.05 hereof that shall survive until such Securities shall mature and be paid. Thereafter, Sections 7.06 and 11.05 shall survive.</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SECTION 11.03 Deposited Moneys to be Held in Trust.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Subject to Section 11.05, all moneys or Governmental Obligations deposited with the Trustee pursuant to Sections 11.01 or 11.02 shall be held in trust and shall be available for payment as due, either directly or through any paying agent (including the Company acting as its own paying agent), to the holders of the particular series of Securities for the payment or redemption of which such moneys or Governmental Obligations have been deposited with the Trustee.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11.04 Payment of Moneys Held by Paying Agents.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the satisfaction and discharge of this Indenture all moneys or Governmental Obligations then held by any paying agent under the provisions of this Indenture shall, upon demand of the Company, be paid to the Trustee and thereupon such paying agent shall be released from all further liability with respect to such moneys or Governmental Obligations.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09" w:name="page110"/>
    <w:bookmarkEnd w:id="109"/>
    <w:p>
      <w:pPr>
        <w:spacing w:after="0"/>
        <w:rPr>
          <w:sz w:val="20"/>
          <w:szCs w:val="20"/>
          <w:color w:val="auto"/>
        </w:rPr>
      </w:pPr>
      <w:r>
        <w:rPr>
          <w:rFonts w:ascii="Arial" w:cs="Arial" w:eastAsia="Arial" w:hAnsi="Arial"/>
          <w:sz w:val="18"/>
          <w:szCs w:val="18"/>
          <w:color w:val="auto"/>
        </w:rPr>
        <w:t>SECTION 11.05 Repayment to Company.</w:t>
      </w:r>
    </w:p>
    <w:p>
      <w:pPr>
        <w:spacing w:after="0" w:line="22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Any moneys or Governmental Obligations deposited with any paying agent or the Trustee, or then held by the Company, in trust for payment of principal of or premium or interest on the Securities of a particular series that are not applied but remain unclaimed by the holders of such Securities for two years after the date upon which the principal of (and premium, if any) or interest on such Securities shall have respectively become due and payable, shall be repaid to the Company or (if then held by the Company) shall be discharged from such trust in each case, promptly after the end of any such two-year period or, at the request of the Company, on a later date specified by the Company; and thereupon the paying agent and the Trustee shall be released from all further liability with respect to such moneys or Governmental Obligations, and the holder of any of the Securities entitled to receive such payment shall thereafter, as an unsecured general creditor, look only to the Company for the payment thereof.</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IMMUNITY OF INCORPORATORS, STOCKHOLDERS, OFFICERS AND DIRECTORS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12.01 No Recourse.</w:t>
      </w:r>
    </w:p>
    <w:p>
      <w:pPr>
        <w:spacing w:after="0" w:line="22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No recourse under or upon any obligation, covenant or agreement of this Indenture, or of any Security, or for any claim based thereon or otherwise in respect thereof, shall be had against any incorporator, stockholder, officer or director, past, present or future as such, of the Company or of any predecessor or successor corporation, either directly or through the Company or any such predecessor or successor corporation, whether by virtue of any constitution, statute or rule of law, or by the enforcement of any assessment or penalty or otherwise; it being expressly understood that this Indenture and the obligations issued hereunder are solely corporate obligations, and that no such personal liability whatever shall attach to, or is or shall be incurred by, the incorporators, stockholders, officers or directors as such, of the Company or of any predecessor or successor corporation, or any of them, because of the creation of the indebtedness hereby authorized, or under or by reason of the obligations, covenants or agreements contained in this Indenture or in any of the Securities or implied therefrom; and that any and all such personal liability of every name and nature, either at common law or in equity or by constitution or statute, of, and any and all such rights and claims against, every such incorporator, stockholder, officer or director as such, because of the creation of the indebtedness hereby authorized, or under or by reason of the obligations, covenants or agreements contained in this Indenture or in any of the Securities or implied therefrom, are hereby expressly waived and released as a condition of, and as a consideration for, the execution of this Indenture and the issuance of such Securities.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 PROVISIONS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13.01 Effect on Successors and Assigns.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All the covenants, stipulations, promises and agreements in this Indenture contained by or on behalf of the Company shall bind its successors and assigns, whether so expressed or not.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13.02 Actions by Successor.</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Any act or proceeding by any provision of this Indenture authorized or required to be done or performed by any board, committee or officer of the Company shall and may be done and performed with like force and effect by the corresponding board, committee or officer of any corporation that shall at the time be the lawful successor of the Company.</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0" w:name="page111"/>
    <w:bookmarkEnd w:id="110"/>
    <w:p>
      <w:pPr>
        <w:spacing w:after="0"/>
        <w:rPr>
          <w:sz w:val="20"/>
          <w:szCs w:val="20"/>
          <w:color w:val="auto"/>
        </w:rPr>
      </w:pPr>
      <w:r>
        <w:rPr>
          <w:rFonts w:ascii="Arial" w:cs="Arial" w:eastAsia="Arial" w:hAnsi="Arial"/>
          <w:sz w:val="18"/>
          <w:szCs w:val="18"/>
          <w:color w:val="auto"/>
        </w:rPr>
        <w:t>SECTION 13.03 Surrender of Company Powers.</w:t>
      </w:r>
    </w:p>
    <w:p>
      <w:pPr>
        <w:spacing w:after="0" w:line="225"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Company by instrument in writing executed by authority of its Board of Directors and delivered to the Trustee may surrender any of the powers reserved to the Company, and thereupon such power so surrendered shall terminate both as to the Company and as to any successor corporation.</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SECTION 13.04 Notices.</w:t>
      </w:r>
    </w:p>
    <w:p>
      <w:pPr>
        <w:spacing w:after="0" w:line="22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Except as otherwise expressly provided herein any notice or demand that by any provision of this Indenture is required or permitted to be given or served by the Trustee or by the holders of Securities to or on the Company may be given or served by being deposited first class postage prepaid in a post-office letterbox addressed (until another address is filed in writing by the Company with the Trustee), as follows: Microbot Medical Inc., Attn: [ ], 25 Recreation Park Drive, Unit 108, Hingham, MA 02043. Any notice, election, request or demand by the Company or any Securityholder to or upon the Trustee shall be deemed to have been sufficiently given or made, for all purposes, if given or made in writing at the Corporate Trust Office of the Trustee. Any notice or communication to a holder shall be mailed by first-class mail to his address shown on the Security Register kept by the Security Registrar. Failure to mail a notice or communication to a holder or any defect in such notice or communication shall not affect its sufficiency with respect to other holders. If a notice or communication is mailed or sent in the manner provided above within the time prescribed, it is duly given as of the date it is mailed, whether or not the addressee receives it, except that notice to the Trustee or the Company shall only be effective upon receipt thereof by the Trustee or the Company, respectively. If the Company mails a notice or communication to holders of Securities, it shall mail a copy to the Trustee at the same time.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color w:val="auto"/>
        </w:rPr>
        <w:t>SECTION 13.05 Governing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and each Security shall be deemed to be a contract made under the internal laws of the State of New York, and for all purposes shall be construed in accordance with the laws of said State.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13.06 Treatment of Securities as Debt.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It is intended that the Securities will be treated as indebtedness and not as equity for federal income tax purposes. The provisions of this Indenture shall be interpreted to further this intention.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13.07 Compliance Certificates and Opinions.</w:t>
      </w:r>
    </w:p>
    <w:p>
      <w:pPr>
        <w:spacing w:after="0" w:line="225" w:lineRule="exact"/>
        <w:rPr>
          <w:sz w:val="20"/>
          <w:szCs w:val="20"/>
          <w:color w:val="auto"/>
        </w:rPr>
      </w:pPr>
    </w:p>
    <w:p>
      <w:pPr>
        <w:jc w:val="both"/>
        <w:ind w:left="1300" w:hanging="644"/>
        <w:spacing w:after="0" w:line="255"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Upon any application or demand by the Company to the Trustee to take any action under any of the provisions of this Indenture, the Company, shall furnish to the Trustee an Officers’ Certificate stating that all conditions 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92" w:lineRule="exact"/>
        <w:rPr>
          <w:rFonts w:ascii="Arial" w:cs="Arial" w:eastAsia="Arial" w:hAnsi="Arial"/>
          <w:sz w:val="18"/>
          <w:szCs w:val="18"/>
          <w:color w:val="auto"/>
        </w:rPr>
      </w:pPr>
    </w:p>
    <w:p>
      <w:pPr>
        <w:jc w:val="both"/>
        <w:ind w:left="1300" w:hanging="644"/>
        <w:spacing w:after="0" w:line="254" w:lineRule="auto"/>
        <w:tabs>
          <w:tab w:leader="none" w:pos="130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in this Indenture shall include (1) a statement that the Person making such certificate or opinion has read such covenant or condition; (2) a brief statement as to the nature and scope of the examination or investigation upon which the statements or opinions contained in such certificate or opinion are based; (3) a statement that, in the opinion of such Person, he has made such examination or investigation as is necessary to enable him to express an informed opinion as to whether or not such covenant or condition has been complied with; and (4) a statement as to whether or not, in the opinion of such Person, such condition or covenant has been complied with.</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color w:val="auto"/>
        </w:rPr>
        <w:t>SECTION 13.08 Payments on Business Days.</w:t>
      </w:r>
    </w:p>
    <w:p>
      <w:pPr>
        <w:spacing w:after="0" w:line="225"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Except as provided pursuant to Section 2.01 pursuant to a Board Resolution, and as set forth in an Officers’ Certificate, or established in one or more indentures supplemental to this Indenture, in any case where the date of maturity of interest or principal of any Security or the date of redemption of any Security shall not be a Business Day, then payment of interest or principal (and premium, if any) may be made on the next succeeding Business Day with the same force and effect as if made on the nominal date of maturity or redemption, and no interest shall accrue for the period after such nominal date.</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SECTION 13.09 Conflict with Trust Indenture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If and to the extent that any provision of this Indenture limits, qualifies or conflicts with the duties imposed by Sections 310 to 317, inclusive, of the Trust Indenture Act, such imposed duties shall control.</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13.10 Counterparts.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This Indenture may be executed in any number of counterparts, each of which shall be an original, but such counterparts shall together constitute but one and the same instrument.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SECTION 13.11 Separability.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case any one or more of the provisions contained in this Indenture or in the Securities of any series shall for any reason be held to be invalid, illegal or unenforceable in any respect, such invalidity, illegality or unenforceability shall not affect any other provisions of this Indenture or of such Securities, but this Indenture and such Securities shall be construed as if such invalid or illegal or unenforceable provision had never been contained herein or therein.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SECTION 13.12 Assignment.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will have the right at all times to assign any of its rights or obligations under this Indenture to a direct or indirect wholly-owned Subsidiary of the Company, provided that, in the event of any such assignment, the Company, will remain liable for all such obligations. Subject to the foregoing, this Indenture is binding upon and inures to the benefit of the parties thereto and their respective successors and assigns. This Indenture may not otherwise be assigned by the parties thereto.</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SUBORDINATION OF SECURITIES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SECTION 14.01 Subordination Terms.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payment by the Company of the principal of, premium, if any, and interest on any series of Securities issued hereunder shall be subordinated to the extent set forth in an indenture supplemental hereto relating to the Securities of such series.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112" w:name="page113"/>
    <w:bookmarkEnd w:id="112"/>
    <w:p>
      <w:pPr>
        <w:jc w:val="center"/>
        <w:ind w:right="20"/>
        <w:spacing w:after="0"/>
        <w:rPr>
          <w:sz w:val="20"/>
          <w:szCs w:val="20"/>
          <w:color w:val="auto"/>
        </w:rPr>
      </w:pPr>
      <w:r>
        <w:rPr>
          <w:rFonts w:ascii="Arial" w:cs="Arial" w:eastAsia="Arial" w:hAnsi="Arial"/>
          <w:sz w:val="18"/>
          <w:szCs w:val="18"/>
          <w:color w:val="auto"/>
        </w:rPr>
        <w:t>IN WITNESS WHEREOF, the parties hereto have caused this Indenture to be duly executed all as of the day and year first above written.</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MICROBOT MEDICAL INC.</w:t>
      </w:r>
    </w:p>
    <w:p>
      <w:pPr>
        <w:spacing w:after="0" w:line="225"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By:</w:t>
      </w:r>
    </w:p>
    <w:p>
      <w:pPr>
        <w:spacing w:after="0" w:line="36"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-130175</wp:posOffset>
            </wp:positionV>
            <wp:extent cx="3206115" cy="171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6">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 w:lineRule="exact"/>
        <w:rPr>
          <w:sz w:val="20"/>
          <w:szCs w:val="20"/>
          <w:color w:val="auto"/>
        </w:rPr>
      </w:pPr>
    </w:p>
    <w:p>
      <w:pPr>
        <w:jc w:val="center"/>
        <w:ind w:lef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00" w:type="dxa"/>
            <w:vAlign w:val="bottom"/>
          </w:tcPr>
          <w:p>
            <w:pPr>
              <w:ind w:left="5640"/>
              <w:spacing w:after="0"/>
              <w:rPr>
                <w:sz w:val="20"/>
                <w:szCs w:val="20"/>
                <w:color w:val="auto"/>
              </w:rPr>
            </w:pPr>
            <w:r>
              <w:rPr>
                <w:rFonts w:ascii="Arial" w:cs="Arial" w:eastAsia="Arial" w:hAnsi="Arial"/>
                <w:sz w:val="18"/>
                <w:szCs w:val="18"/>
                <w:color w:val="auto"/>
              </w:rPr>
              <w:t>[</w:t>
            </w:r>
          </w:p>
        </w:tc>
        <w:tc>
          <w:tcPr>
            <w:tcW w:w="640" w:type="dxa"/>
            <w:vAlign w:val="bottom"/>
          </w:tcPr>
          <w:p>
            <w:pPr>
              <w:spacing w:after="0"/>
              <w:rPr>
                <w:sz w:val="18"/>
                <w:szCs w:val="18"/>
                <w:color w:val="auto"/>
              </w:rPr>
            </w:pPr>
          </w:p>
        </w:tc>
        <w:tc>
          <w:tcPr>
            <w:tcW w:w="4400" w:type="dxa"/>
            <w:vAlign w:val="bottom"/>
          </w:tcPr>
          <w:p>
            <w:pPr>
              <w:jc w:val="right"/>
              <w:ind w:right="3770"/>
              <w:spacing w:after="0"/>
              <w:rPr>
                <w:sz w:val="20"/>
                <w:szCs w:val="20"/>
                <w:color w:val="auto"/>
              </w:rPr>
            </w:pPr>
            <w:r>
              <w:rPr>
                <w:rFonts w:ascii="Arial" w:cs="Arial" w:eastAsia="Arial" w:hAnsi="Arial"/>
                <w:sz w:val="18"/>
                <w:szCs w:val="18"/>
                <w:color w:val="auto"/>
              </w:rPr>
              <w:t>],</w:t>
            </w:r>
          </w:p>
        </w:tc>
      </w:tr>
      <w:tr>
        <w:trPr>
          <w:trHeight w:val="230"/>
        </w:trPr>
        <w:tc>
          <w:tcPr>
            <w:tcW w:w="6840" w:type="dxa"/>
            <w:vAlign w:val="bottom"/>
            <w:gridSpan w:val="2"/>
          </w:tcPr>
          <w:p>
            <w:pPr>
              <w:ind w:left="5640"/>
              <w:spacing w:after="0"/>
              <w:rPr>
                <w:sz w:val="20"/>
                <w:szCs w:val="20"/>
                <w:color w:val="auto"/>
              </w:rPr>
            </w:pPr>
            <w:r>
              <w:rPr>
                <w:rFonts w:ascii="Arial" w:cs="Arial" w:eastAsia="Arial" w:hAnsi="Arial"/>
                <w:sz w:val="18"/>
                <w:szCs w:val="18"/>
                <w:color w:val="auto"/>
              </w:rPr>
              <w:t>As Trustee</w:t>
            </w:r>
          </w:p>
        </w:tc>
        <w:tc>
          <w:tcPr>
            <w:tcW w:w="4400" w:type="dxa"/>
            <w:vAlign w:val="bottom"/>
          </w:tcPr>
          <w:p>
            <w:pPr>
              <w:spacing w:after="0"/>
              <w:rPr>
                <w:sz w:val="20"/>
                <w:szCs w:val="20"/>
                <w:color w:val="auto"/>
              </w:rPr>
            </w:pPr>
          </w:p>
        </w:tc>
      </w:tr>
      <w:tr>
        <w:trPr>
          <w:trHeight w:val="452"/>
        </w:trPr>
        <w:tc>
          <w:tcPr>
            <w:tcW w:w="6840" w:type="dxa"/>
            <w:vAlign w:val="bottom"/>
            <w:gridSpan w:val="2"/>
          </w:tcPr>
          <w:p>
            <w:pPr>
              <w:ind w:left="5640"/>
              <w:spacing w:after="0"/>
              <w:rPr>
                <w:sz w:val="20"/>
                <w:szCs w:val="20"/>
                <w:color w:val="auto"/>
              </w:rPr>
            </w:pPr>
            <w:r>
              <w:rPr>
                <w:rFonts w:ascii="Arial" w:cs="Arial" w:eastAsia="Arial" w:hAnsi="Arial"/>
                <w:sz w:val="18"/>
                <w:szCs w:val="18"/>
                <w:color w:val="auto"/>
              </w:rPr>
              <w:t>By:</w:t>
            </w:r>
          </w:p>
        </w:tc>
        <w:tc>
          <w:tcPr>
            <w:tcW w:w="4400" w:type="dxa"/>
            <w:vAlign w:val="bottom"/>
          </w:tcPr>
          <w:p>
            <w:pPr>
              <w:spacing w:after="0"/>
              <w:rPr>
                <w:sz w:val="24"/>
                <w:szCs w:val="24"/>
                <w:color w:val="auto"/>
              </w:rPr>
            </w:pPr>
          </w:p>
        </w:tc>
      </w:tr>
      <w:tr>
        <w:trPr>
          <w:trHeight w:val="202"/>
        </w:trPr>
        <w:tc>
          <w:tcPr>
            <w:tcW w:w="6200" w:type="dxa"/>
            <w:vAlign w:val="bottom"/>
          </w:tcPr>
          <w:p>
            <w:pPr>
              <w:ind w:left="5640"/>
              <w:spacing w:after="0" w:line="201" w:lineRule="exact"/>
              <w:rPr>
                <w:sz w:val="20"/>
                <w:szCs w:val="20"/>
                <w:color w:val="auto"/>
              </w:rPr>
            </w:pPr>
            <w:r>
              <w:rPr>
                <w:rFonts w:ascii="Arial" w:cs="Arial" w:eastAsia="Arial" w:hAnsi="Arial"/>
                <w:sz w:val="18"/>
                <w:szCs w:val="18"/>
                <w:color w:val="auto"/>
              </w:rPr>
              <w:t>Name:</w:t>
            </w:r>
          </w:p>
        </w:tc>
        <w:tc>
          <w:tcPr>
            <w:tcW w:w="640" w:type="dxa"/>
            <w:vAlign w:val="bottom"/>
            <w:tcBorders>
              <w:top w:val="single" w:sz="8" w:color="auto"/>
            </w:tcBorders>
          </w:tcPr>
          <w:p>
            <w:pPr>
              <w:spacing w:after="0"/>
              <w:rPr>
                <w:sz w:val="17"/>
                <w:szCs w:val="17"/>
                <w:color w:val="auto"/>
              </w:rPr>
            </w:pPr>
          </w:p>
        </w:tc>
        <w:tc>
          <w:tcPr>
            <w:tcW w:w="4400" w:type="dxa"/>
            <w:vAlign w:val="bottom"/>
            <w:tcBorders>
              <w:top w:val="single" w:sz="8" w:color="auto"/>
            </w:tcBorders>
          </w:tcPr>
          <w:p>
            <w:pPr>
              <w:spacing w:after="0"/>
              <w:rPr>
                <w:sz w:val="17"/>
                <w:szCs w:val="17"/>
                <w:color w:val="auto"/>
              </w:rPr>
            </w:pPr>
          </w:p>
        </w:tc>
      </w:tr>
      <w:tr>
        <w:trPr>
          <w:trHeight w:val="230"/>
        </w:trPr>
        <w:tc>
          <w:tcPr>
            <w:tcW w:w="6840" w:type="dxa"/>
            <w:vAlign w:val="bottom"/>
            <w:gridSpan w:val="2"/>
          </w:tcPr>
          <w:p>
            <w:pPr>
              <w:ind w:left="5640"/>
              <w:spacing w:after="0"/>
              <w:rPr>
                <w:sz w:val="20"/>
                <w:szCs w:val="20"/>
                <w:color w:val="auto"/>
              </w:rPr>
            </w:pPr>
            <w:r>
              <w:rPr>
                <w:rFonts w:ascii="Arial" w:cs="Arial" w:eastAsia="Arial" w:hAnsi="Arial"/>
                <w:sz w:val="18"/>
                <w:szCs w:val="18"/>
                <w:color w:val="auto"/>
              </w:rPr>
              <w:t>Title:</w:t>
            </w:r>
          </w:p>
        </w:tc>
        <w:tc>
          <w:tcPr>
            <w:tcW w:w="4400" w:type="dxa"/>
            <w:vAlign w:val="bottom"/>
          </w:tcPr>
          <w:p>
            <w:pPr>
              <w:spacing w:after="0"/>
              <w:rPr>
                <w:sz w:val="20"/>
                <w:szCs w:val="20"/>
                <w:color w:val="auto"/>
              </w:rPr>
            </w:pPr>
          </w:p>
        </w:tc>
      </w:tr>
      <w:tr>
        <w:trPr>
          <w:trHeight w:val="439"/>
        </w:trPr>
        <w:tc>
          <w:tcPr>
            <w:tcW w:w="6200" w:type="dxa"/>
            <w:vAlign w:val="bottom"/>
            <w:tcBorders>
              <w:bottom w:val="single" w:sz="8" w:color="auto"/>
            </w:tcBorders>
          </w:tcPr>
          <w:p>
            <w:pPr>
              <w:ind w:left="5540"/>
              <w:spacing w:after="0"/>
              <w:rPr>
                <w:sz w:val="20"/>
                <w:szCs w:val="20"/>
                <w:color w:val="auto"/>
              </w:rPr>
            </w:pPr>
            <w:r>
              <w:rPr>
                <w:rFonts w:ascii="Arial" w:cs="Arial" w:eastAsia="Arial" w:hAnsi="Arial"/>
                <w:sz w:val="18"/>
                <w:szCs w:val="18"/>
                <w:color w:val="auto"/>
              </w:rPr>
              <w:t>36</w:t>
            </w:r>
          </w:p>
        </w:tc>
        <w:tc>
          <w:tcPr>
            <w:tcW w:w="640" w:type="dxa"/>
            <w:vAlign w:val="bottom"/>
            <w:tcBorders>
              <w:bottom w:val="single" w:sz="8" w:color="auto"/>
            </w:tcBorders>
          </w:tcPr>
          <w:p>
            <w:pPr>
              <w:spacing w:after="0"/>
              <w:rPr>
                <w:sz w:val="24"/>
                <w:szCs w:val="24"/>
                <w:color w:val="auto"/>
              </w:rPr>
            </w:pPr>
          </w:p>
        </w:tc>
        <w:tc>
          <w:tcPr>
            <w:tcW w:w="4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92" w:right="339" w:bottom="1440" w:gutter="0" w:footer="0" w:header="0"/>
        </w:sectPr>
      </w:pPr>
    </w:p>
    <w:bookmarkStart w:id="113" w:name="page114"/>
    <w:bookmarkEnd w:id="113"/>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One Financial Center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3554095</wp:posOffset>
            </wp:positionH>
            <wp:positionV relativeFrom="paragraph">
              <wp:posOffset>-121920</wp:posOffset>
            </wp:positionV>
            <wp:extent cx="728980" cy="90868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7">
                      <a:extLst>
                        <a:ext uri="{28A0092B-C50C-407E-A947-70E740481C1C}"/>
                      </a:extLst>
                    </a:blip>
                    <a:srcRect/>
                    <a:stretch>
                      <a:fillRect/>
                    </a:stretch>
                  </pic:blipFill>
                  <pic:spPr bwMode="auto">
                    <a:xfrm>
                      <a:off x="0" y="0"/>
                      <a:ext cx="728980" cy="908685"/>
                    </a:xfrm>
                    <a:prstGeom prst="rect">
                      <a:avLst/>
                    </a:prstGeom>
                    <a:noFill/>
                  </pic:spPr>
                </pic:pic>
              </a:graphicData>
            </a:graphic>
          </wp:anchor>
        </w:drawing>
      </w:r>
    </w:p>
    <w:p>
      <w:pPr>
        <w:spacing w:after="0" w:line="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Boston, MA 02111</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617 542 6000</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mintz.com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Microbot Medical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25 Recreation Park Drive, Unit 108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Hingham, MA 02043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have acted as legal counsel to Microbot Medical Inc., a Delaware corporation (the “Company”), in connection with the preparation and filing with the Securities and Exchange Commission (the “Commission”) of a Registration Statement on Form S-3 (the “Registration Statement”), pursuant to which the Company is registering under the Securities Act of 1933, as amended (the “Securities Act”), the following:</w:t>
      </w:r>
    </w:p>
    <w:p>
      <w:pPr>
        <w:spacing w:after="0" w:line="165" w:lineRule="exact"/>
        <w:rPr>
          <w:sz w:val="20"/>
          <w:szCs w:val="20"/>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common stock, $0.01 par value per share (the “Common Stock”);</w:t>
      </w:r>
    </w:p>
    <w:p>
      <w:pPr>
        <w:spacing w:after="0" w:line="225" w:lineRule="exact"/>
        <w:rPr>
          <w:rFonts w:ascii="Arial" w:cs="Arial" w:eastAsia="Arial" w:hAnsi="Arial"/>
          <w:sz w:val="18"/>
          <w:szCs w:val="18"/>
          <w:color w:val="auto"/>
        </w:rPr>
      </w:pPr>
    </w:p>
    <w:p>
      <w:pPr>
        <w:ind w:left="1300" w:hanging="644"/>
        <w:spacing w:after="0"/>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preferred stock, $0.01 par value per share (the “Preferred Stock”);</w:t>
      </w:r>
    </w:p>
    <w:p>
      <w:pPr>
        <w:spacing w:after="0" w:line="225" w:lineRule="exact"/>
        <w:rPr>
          <w:rFonts w:ascii="Arial" w:cs="Arial" w:eastAsia="Arial" w:hAnsi="Arial"/>
          <w:sz w:val="18"/>
          <w:szCs w:val="18"/>
          <w:color w:val="auto"/>
        </w:rPr>
      </w:pPr>
    </w:p>
    <w:p>
      <w:pPr>
        <w:jc w:val="both"/>
        <w:ind w:left="1300" w:hanging="644"/>
        <w:spacing w:after="0" w:line="259"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senior debt securities, in one or more series (the “Senior Debt Securities”), which may be issued pursuant to an indenture to be dated on or about the date of the first issuance of Senior Debt Securities thereunder, by and between the Company and a trustee to be selected by the Company, in the form attached as Exhibit 4.4 to the Registration Statement, as such indenture may be amended or supplemented from time to time (the “Senior Indenture”);</w:t>
      </w:r>
    </w:p>
    <w:p>
      <w:pPr>
        <w:spacing w:after="0" w:line="186" w:lineRule="exact"/>
        <w:rPr>
          <w:rFonts w:ascii="Arial" w:cs="Arial" w:eastAsia="Arial" w:hAnsi="Arial"/>
          <w:sz w:val="18"/>
          <w:szCs w:val="18"/>
          <w:color w:val="auto"/>
        </w:rPr>
      </w:pPr>
    </w:p>
    <w:p>
      <w:pPr>
        <w:jc w:val="both"/>
        <w:ind w:left="1300" w:hanging="644"/>
        <w:spacing w:after="0" w:line="30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subordinated debt securities, in one or more series (the “Subordinated Debt Securities” and, together with the Senior Debt Securities, the “Debt Securities”), which may be issued pursuant to an indenture to be dated on or about the date of the first issuance of Subordinated Debt Securities thereunder, by and between the Company and a trustee to be selected by the Company, in the form attached as Exhibit 4.5 to the Registration Statement, as such indenture may be amended or supplemented from time to time (the “Subordinated Indenture”);</w:t>
      </w:r>
    </w:p>
    <w:p>
      <w:pPr>
        <w:spacing w:after="0" w:line="157" w:lineRule="exact"/>
        <w:rPr>
          <w:rFonts w:ascii="Arial" w:cs="Arial" w:eastAsia="Arial" w:hAnsi="Arial"/>
          <w:sz w:val="16"/>
          <w:szCs w:val="16"/>
          <w:color w:val="auto"/>
        </w:rPr>
      </w:pPr>
    </w:p>
    <w:p>
      <w:pPr>
        <w:jc w:val="both"/>
        <w:ind w:left="1300" w:hanging="644"/>
        <w:spacing w:after="0" w:line="263" w:lineRule="auto"/>
        <w:tabs>
          <w:tab w:leader="none" w:pos="130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warrants to purchase Common Stock, Preferred Stock, and/or Debt Securities (the “Warrants”), which may be issued under warrant agreements, to be dated on or about the date of the first issuance of the applicable Warrants thereunder, by and between the Company and a warrant agent to be selected by the Company (each, a “Warrant Agreement”);</w:t>
      </w:r>
    </w:p>
    <w:p>
      <w:pPr>
        <w:spacing w:after="0" w:line="183" w:lineRule="exact"/>
        <w:rPr>
          <w:rFonts w:ascii="Arial" w:cs="Arial" w:eastAsia="Arial" w:hAnsi="Arial"/>
          <w:sz w:val="18"/>
          <w:szCs w:val="18"/>
          <w:color w:val="auto"/>
        </w:rPr>
      </w:pPr>
    </w:p>
    <w:p>
      <w:pPr>
        <w:jc w:val="both"/>
        <w:ind w:left="1300" w:hanging="644"/>
        <w:spacing w:after="0" w:line="286" w:lineRule="auto"/>
        <w:tabs>
          <w:tab w:leader="none" w:pos="130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rights to purchase Common Stock, Preferred Stock or Debt Securities (the “Rights”), which may be issued pursuant to a rights agreement and certificates issued thereunder, to be dated on or about the date of the first issuance of the applicable Rights thereunder, by and between the Company and a rights agent to be selected by the Company (each, a “Rights Agreement”); and</w:t>
      </w:r>
    </w:p>
    <w:p>
      <w:pPr>
        <w:spacing w:after="0" w:line="165" w:lineRule="exact"/>
        <w:rPr>
          <w:rFonts w:ascii="Arial" w:cs="Arial" w:eastAsia="Arial" w:hAnsi="Arial"/>
          <w:sz w:val="17"/>
          <w:szCs w:val="17"/>
          <w:color w:val="auto"/>
        </w:rPr>
      </w:pPr>
    </w:p>
    <w:p>
      <w:pPr>
        <w:jc w:val="both"/>
        <w:ind w:left="1300" w:hanging="644"/>
        <w:spacing w:after="0" w:line="311" w:lineRule="auto"/>
        <w:tabs>
          <w:tab w:leader="none" w:pos="130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units comprised of one or more Debt Securities, shares of Common Stock, shares of Preferred Stock, Rights and Warrants, in any combination (the “Units”), which may be issued under unit agreements, to be dated on or about the date of the first issuance of the applicable Units thereunder, by and between the Company and a unit agent to be selected by the Company (each, a “Unit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103505</wp:posOffset>
            </wp:positionV>
            <wp:extent cx="7132320" cy="171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85" w:lineRule="exact"/>
        <w:rPr>
          <w:sz w:val="20"/>
          <w:szCs w:val="20"/>
          <w:color w:val="auto"/>
        </w:rPr>
      </w:pPr>
    </w:p>
    <w:p>
      <w:pPr>
        <w:jc w:val="center"/>
        <w:ind w:left="340" w:right="1080"/>
        <w:spacing w:after="0" w:line="277" w:lineRule="auto"/>
        <w:rPr>
          <w:sz w:val="20"/>
          <w:szCs w:val="20"/>
          <w:color w:val="auto"/>
        </w:rPr>
      </w:pPr>
      <w:r>
        <w:rPr>
          <w:rFonts w:ascii="Arial" w:cs="Arial" w:eastAsia="Arial" w:hAnsi="Arial"/>
          <w:sz w:val="18"/>
          <w:szCs w:val="18"/>
          <w:color w:val="auto"/>
        </w:rPr>
        <w:t>BOSTON    LONDON    LOS ANGELES    NEW YORK    SAN DIEGO    SAN FRANCISCO   WASHINGTON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254635</wp:posOffset>
            </wp:positionV>
            <wp:extent cx="7132320" cy="171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114" w:name="page115"/>
    <w:bookmarkEnd w:id="114"/>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6291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30">
                      <a:extLst>
                        <a:ext uri="{28A0092B-C50C-407E-A947-70E740481C1C}"/>
                      </a:extLst>
                    </a:blip>
                    <a:srcRect/>
                    <a:stretch>
                      <a:fillRect/>
                    </a:stretch>
                  </pic:blipFill>
                  <pic:spPr bwMode="auto">
                    <a:xfrm>
                      <a:off x="0" y="0"/>
                      <a:ext cx="368300" cy="46291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21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Common Stock, the Preferred Stock, the Debt Securities, the Warrants, the Rights and the Units are collectively referred to herein as the “Securities.” The Registration Statement relates to the registration of the Securities to be offered and sold by the Company from time to time on a delayed or continuous basis pursuant to Rule 415 under the Securities Act. This opinion is being rendered in connection with the filing of the Registration Statement with the Commission. All capitalized terms used herein and not otherwise defined shall have the respective meanings given to them in the Registration Statement.</w:t>
      </w:r>
    </w:p>
    <w:p>
      <w:pPr>
        <w:spacing w:after="0" w:line="188"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connection with this opinion, we have examined the Company’s Restated Certificate of Incorporation and Amended and Restated By-Laws, each as currently in effect; such other records of the corporate proceedings of the Company and certificates of the Company’s officers as we have deemed relevant; and the Registration Statement and the exhibits thereto.</w:t>
      </w:r>
    </w:p>
    <w:p>
      <w:pPr>
        <w:spacing w:after="0" w:line="18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our examination, we have assumed the genuineness of all signatures, the legal capacity of natural persons, the authenticity of all documents submitted to us as originals, the conformity to original documents of all documents submitted to us as copies, the authenticity of the originals of such copies, and the truth and correctness of any representations and warranties contained therein.</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our capacity as counsel to the Company in connection with such registration, we are familiar with the proceedings taken and proposed to be taken by the Company in connection with the authorization and issuance of the Securities. For purposes of this opinion, we have assumed that such proceedings will be timely and properly completed, in accordance with all requirements of applicable federal and Delaware laws, in the manner presently proposed.</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opinions set forth below are subject to the following exceptions, limitations and qualifications: (i) the effect of bankruptcy, insolvency, reorganization, fraudulent conveyance, moratorium or other similar laws now or hereafter in effect relating to or affecting the rights and remedies of creditors; (ii) the effect of general principles of equity, whether enforcement is considered in a proceeding in equity or at law, and the discretion of the court before which any proceeding therefor may be brought; (iii) the unenforceability under certain circumstances under law or court decisions of provisions providing for the indemnification of, or contribution to, a party with respect to a liability where such indemnification or contribution is contrary to public policy; (iv) we express no opinion concerning the enforceability of any waiver of rights or defenses with respect to stay, extension or usury laws; and (v) we express no opinion with respect to whether acceleration of any Debt Securities may affect the ability to collect any portion of the stated principal amount thereof which might be determined to constitute unearned interest thereon.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259715</wp:posOffset>
            </wp:positionV>
            <wp:extent cx="7132320" cy="171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5" w:name="page116"/>
    <w:bookmarkEnd w:id="115"/>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6291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2">
                      <a:extLst>
                        <a:ext uri="{28A0092B-C50C-407E-A947-70E740481C1C}"/>
                      </a:extLst>
                    </a:blip>
                    <a:srcRect/>
                    <a:stretch>
                      <a:fillRect/>
                    </a:stretch>
                  </pic:blipFill>
                  <pic:spPr bwMode="auto">
                    <a:xfrm>
                      <a:off x="0" y="0"/>
                      <a:ext cx="368300" cy="46291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auto"/>
        </w:rPr>
        <w:t>We have relied as to certain matters on information obtained from public officials, officers of the Company, and other sources believed by us to be responsible and we have assumed that the Senior Indenture and the Subordinated Indenture will be duly authorized, executed, and delivered by the respective trustees thereunder and the Warrant Agreement, Rights Agreement and Unit Agreement will be duly authorized, executed, and delivered by the warrant agent, rights agent and unit agent, respectively, thereunder. With respect to our opinion as to the Common Stock and Securities convertible into or exercisable for shares of Common Stock, we have assumed that, at the time of issuance and sale, a sufficient number of shares of Common Stock are authorized and available for issuance under the Company’s Certificate of Incorporation as then in effect and that the consideration for the issuance and sale of the Common Stock (or Preferred Stock, Debt Securities convertible into Common Stock or Warrants or Rights exercisable for Common Stock or any Units of such Securities) is in an amount that is not less than the par value of the Common Stock. With respect to our opinion as to the Preferred Stock and Securities convertible into or exercisable for shares of Preferred Stock, we have assumed that, at the time of issuance and sale, a sufficient number of shares of Preferred Stock are authorized, designated and available for issuance and that the consideration for the issuance and sale of the Preferred Stock (or Debt Securities convertible into Preferred Stock or Warrants or Rights exercisable for Preferred Stock or any Units of such Securities) is in an amount that is not less than the par value of the Preferred Stock. We have also assumed that any Warrants, Rights and Units offered under the Registration Statement, and the related Warrant Agreement, Rights Agreement and Unit Agreement, as applicable, will be executed in the forms to be filed as exhibits to the Registration Statement or incorporated by reference therein. We have not independently verified any of the foregoing assumptions.</w:t>
      </w:r>
    </w:p>
    <w:p>
      <w:pPr>
        <w:spacing w:after="0" w:line="17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Securities while the Registration Statement is effective under the Securities Act.</w:t>
      </w:r>
    </w:p>
    <w:p>
      <w:pPr>
        <w:spacing w:after="0" w:line="170"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opinion is limited to the General Corporation Law of the State of Delaware and the laws of the State of New York. Without limiting the generality of the foregoing, we express no opinion with respect to (i) the qualification of the Securities under the securities or blue sky laws of any state or any foreign jurisdiction or (ii) the compliance with any federal or state law, rule or regulation relating to securities, or to the sale or issuance thereof.</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Please note that we are opining only as to the matters expressly set forth herein, and no opinion should be inferred as to any other matters. The Securities may be issued from time to time on a delayed or continuous basis, but this opinion is based upon currently existing statutes, rules, regulations and judicial decisions, and we disclaim any obligation to advise you of any change in any of these sources of law or subsequent legal or factual developments which might affect any matters or opinions set forth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264795</wp:posOffset>
            </wp:positionV>
            <wp:extent cx="7132320" cy="171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6" w:name="page117"/>
    <w:bookmarkEnd w:id="116"/>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6291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4">
                      <a:extLst>
                        <a:ext uri="{28A0092B-C50C-407E-A947-70E740481C1C}"/>
                      </a:extLst>
                    </a:blip>
                    <a:srcRect/>
                    <a:stretch>
                      <a:fillRect/>
                    </a:stretch>
                  </pic:blipFill>
                  <pic:spPr bwMode="auto">
                    <a:xfrm>
                      <a:off x="0" y="0"/>
                      <a:ext cx="368300" cy="46291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Based upon the foregoing, and in reliance thereon, and subject to the qualifications herein stated, we are of the opinion that:</w:t>
      </w:r>
    </w:p>
    <w:p>
      <w:pPr>
        <w:spacing w:after="0" w:line="225" w:lineRule="exact"/>
        <w:rPr>
          <w:sz w:val="20"/>
          <w:szCs w:val="20"/>
          <w:color w:val="auto"/>
        </w:rPr>
      </w:pPr>
    </w:p>
    <w:p>
      <w:pPr>
        <w:jc w:val="both"/>
        <w:ind w:firstLine="575"/>
        <w:spacing w:after="0" w:line="287" w:lineRule="auto"/>
        <w:tabs>
          <w:tab w:leader="none" w:pos="778"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With respect to the Common Stock, when (i) specifically authorized for issuance by the Company’s Board of Directors or an authorized committee thereof (the “Authorizing Resolutions”), (ii) the Registration Statement, as finally amended (including all post-effective amendments), has become effective under the Securities Act, (iii) an appropriate prospectus supplement with respect to the applicable shares of Common Stock has been prepared, delivered and filed in compliance with the Securities Act and the applicable rules and regulations thereunder, (iv) if the applicable shares of Common Stock are to be sold pursuant to a purchase, underwriting or similar agreement (an “Underwriting Agreement”), such Underwriting Agreement with respect to the applicable shares of Common Stock in the form filed as an exhibit to the Registration Statement, any post-effective amendment thereto or to a Current Report on Form 8-K, has been duly authorized, executed and delivered by the Company and the other parties thereto, (v) the terms of the sale of the Common Stock have been duly established in conformity with the Company’s then operative Certificate of Incorporation and By-laws and do not violate any applicable law or result in a default under or breach of any agreement or instrument binding on the Company and comply with any requirement or restriction imposed by any court or governmental body having jurisdiction over the Company, (vi) the Common Stock has been issued and sold as contemplated by the Registration Statement and the prospectus included therein, and (vii) the Company has received the consideration provided for in the Authorizing Resolutions and, if applicable, the Underwriting Agreement, the Common Stock will be validly issued, fully paid and nonassessable.</w:t>
      </w:r>
    </w:p>
    <w:p>
      <w:pPr>
        <w:spacing w:after="0" w:line="167" w:lineRule="exact"/>
        <w:rPr>
          <w:rFonts w:ascii="Arial" w:cs="Arial" w:eastAsia="Arial" w:hAnsi="Arial"/>
          <w:sz w:val="16"/>
          <w:szCs w:val="16"/>
          <w:color w:val="auto"/>
        </w:rPr>
      </w:pPr>
    </w:p>
    <w:p>
      <w:pPr>
        <w:jc w:val="both"/>
        <w:ind w:firstLine="575"/>
        <w:spacing w:after="0" w:line="284" w:lineRule="auto"/>
        <w:tabs>
          <w:tab w:leader="none" w:pos="747" w:val="left"/>
        </w:tabs>
        <w:numPr>
          <w:ilvl w:val="1"/>
          <w:numId w:val="112"/>
        </w:numPr>
        <w:rPr>
          <w:rFonts w:ascii="Arial" w:cs="Arial" w:eastAsia="Arial" w:hAnsi="Arial"/>
          <w:sz w:val="16"/>
          <w:szCs w:val="16"/>
          <w:color w:val="auto"/>
        </w:rPr>
      </w:pPr>
      <w:r>
        <w:rPr>
          <w:rFonts w:ascii="Arial" w:cs="Arial" w:eastAsia="Arial" w:hAnsi="Arial"/>
          <w:sz w:val="16"/>
          <w:szCs w:val="16"/>
          <w:color w:val="auto"/>
        </w:rPr>
        <w:t>With respect to the Preferred Stock, when (i) specifically authorized for issuance by the Authorizing Resolutions, (ii) the Registration Statement, as finally amended (including all post-effective amendments), has become effective under the Securities Act, (iii) an appropriate prospectus supplement with respect to the applicable shares of Preferred Stock has been prepared, delivered and filed in compliance with the Securities Act and the applicable rules and regulations thereunder, (iv) if the applicable shares of Preferred Stock are to be sold pursuant to an Underwriting Agreement, such Underwriting Agreement with respect to the applicable shares of Preferred Stock in the form filed as an exhibit to the Registration Statement, any post-effective amendment thereto or to a Current Report on Form 8-K, has been duly authorized, executed and delivered by the Company and the other parties thereto, (v) an appropriate Certificate or Certificates of Amendment or Designation relating to a class or series of the Preferred Stock to be sold under the Registration Statement has been duly authorized and adopted and filed with the Secretary of State of the State of Delaware prior to the issuance of the Preferred Stock,</w:t>
      </w:r>
    </w:p>
    <w:p>
      <w:pPr>
        <w:jc w:val="both"/>
        <w:ind w:firstLine="8"/>
        <w:spacing w:after="0" w:line="270" w:lineRule="auto"/>
        <w:tabs>
          <w:tab w:leader="none" w:pos="31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terms of issuance and sale of shares of such class or series of Preferred Stock have been duly established in conformity with the Company’s then operative Certificate of Incorporation and By-laws and do not violate any applicable law or result in a default under or breach of any agreement or instrument binding upon the Company and comply with any requirement or restriction imposed by any court or governmental body having jurisdiction over the Company, (vii) shares of such class or series of Preferred Stock have been duly issued and sold as contemplated by the Registration Statement and the prospectus included therein, and (viii) the Company has received the consideration provided for in the Authorizing Resolutions and, if applicable, the Underwriting Agreement, the Preferred Stock will be validly issued, fully paid and nonassessable.</w:t>
      </w:r>
    </w:p>
    <w:p>
      <w:pPr>
        <w:spacing w:after="0" w:line="178" w:lineRule="exact"/>
        <w:rPr>
          <w:rFonts w:ascii="Arial" w:cs="Arial" w:eastAsia="Arial" w:hAnsi="Arial"/>
          <w:sz w:val="17"/>
          <w:szCs w:val="17"/>
          <w:color w:val="auto"/>
        </w:rPr>
      </w:pPr>
    </w:p>
    <w:p>
      <w:pPr>
        <w:jc w:val="both"/>
        <w:ind w:firstLine="575"/>
        <w:spacing w:after="0" w:line="268" w:lineRule="auto"/>
        <w:tabs>
          <w:tab w:leader="none" w:pos="748" w:val="left"/>
        </w:tabs>
        <w:numPr>
          <w:ilvl w:val="1"/>
          <w:numId w:val="113"/>
        </w:numPr>
        <w:rPr>
          <w:rFonts w:ascii="Arial" w:cs="Arial" w:eastAsia="Arial" w:hAnsi="Arial"/>
          <w:sz w:val="17"/>
          <w:szCs w:val="17"/>
          <w:color w:val="auto"/>
        </w:rPr>
      </w:pPr>
      <w:r>
        <w:rPr>
          <w:rFonts w:ascii="Arial" w:cs="Arial" w:eastAsia="Arial" w:hAnsi="Arial"/>
          <w:sz w:val="17"/>
          <w:szCs w:val="17"/>
          <w:color w:val="auto"/>
        </w:rPr>
        <w:t>With respect to the Debt Securities, when (i) specifically authorized for issuance by the Authorizing Resolutions, (ii) the Registration Statement, as finally amended (including all post-effective amendments), has become effective under the Securities Act, (iii) the Senior Indenture or the Subordinated Indenture, whichever the case may be, has been duly authorized, executed and delivered by the Company, (iv) an appropriate prospectus supplement with respect to the applicable Debt Securities has been prepared, delivered and filed in compliance with the Securities Act and the applicable rules and regulations thereunder, (v) if the applicable Debt Securities are to be sold pursuant to an Underwriting Agreement, such Underwriting Agreement with respect to the applicable Debt Securities in the form filed as an exhibit to the Registration Statement, any post-effective amendment thereto or to a Current Report on Form 8-K, has been duly authorized, executed and delivered by the Company and the other parties thereto; (vi) the terms of the Debt Securities and of their issuance and sale have been duly established in conformity with the Senior Indenture or the Subordinated Indenture, whichever the case may be, and do not violate any applicable law or result in a default under or breach of any agreement or instrument binding upon the Company and comply with any requirement or restriction imposed by any court or governmental body having jurisdiction over the Company, (vii) such Debt Securities have been duly executed and authenticated in accordance with the Senior Indenture or the Subordinated Indenture, whichever the case may be, and issued and sold as contemplated in the Registration Statement and the prospectus included therein, (viii) the Senior Indenture or the Subordinated Indenture, whichever the case may be, relating to the Debt Securities has been qualified under the Trust Indenture Act of 1939, as amended, and (ix) the Company has received the consideration provided for in the Authorizing Resolutions and, if applicable, the Underwriting Agreement, the Debt Securities will constitute valid and legally binding obligations of the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261620</wp:posOffset>
            </wp:positionV>
            <wp:extent cx="7132320" cy="171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7" w:name="page118"/>
    <w:bookmarkEnd w:id="117"/>
    <w:p>
      <w:pPr>
        <w:spacing w:after="0"/>
        <w:rPr>
          <w:sz w:val="20"/>
          <w:szCs w:val="20"/>
          <w:color w:val="auto"/>
        </w:rPr>
      </w:pPr>
      <w:r>
        <w:rPr>
          <w:rFonts w:ascii="Arial" w:cs="Arial" w:eastAsia="Arial" w:hAnsi="Arial"/>
          <w:sz w:val="18"/>
          <w:szCs w:val="18"/>
          <w:b w:val="1"/>
          <w:bCs w:val="1"/>
          <w:color w:val="auto"/>
        </w:rPr>
        <w:t>MINTZ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6768465</wp:posOffset>
            </wp:positionH>
            <wp:positionV relativeFrom="paragraph">
              <wp:posOffset>-119380</wp:posOffset>
            </wp:positionV>
            <wp:extent cx="368300" cy="4629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6">
                      <a:extLst>
                        <a:ext uri="{28A0092B-C50C-407E-A947-70E740481C1C}"/>
                      </a:extLst>
                    </a:blip>
                    <a:srcRect/>
                    <a:stretch>
                      <a:fillRect/>
                    </a:stretch>
                  </pic:blipFill>
                  <pic:spPr bwMode="auto">
                    <a:xfrm>
                      <a:off x="0" y="0"/>
                      <a:ext cx="368300" cy="462915"/>
                    </a:xfrm>
                    <a:prstGeom prst="rect">
                      <a:avLst/>
                    </a:prstGeom>
                    <a:noFill/>
                  </pic:spPr>
                </pic:pic>
              </a:graphicData>
            </a:graphic>
          </wp:anchor>
        </w:drawing>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211" w:lineRule="exact"/>
        <w:rPr>
          <w:sz w:val="20"/>
          <w:szCs w:val="20"/>
          <w:color w:val="auto"/>
        </w:rPr>
      </w:pPr>
    </w:p>
    <w:p>
      <w:pPr>
        <w:jc w:val="both"/>
        <w:ind w:firstLine="575"/>
        <w:spacing w:after="0" w:line="287" w:lineRule="auto"/>
        <w:tabs>
          <w:tab w:leader="none" w:pos="761"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 respect to the Warrants, when (i) specifically authorized for issuance by the Authorizing Resolutions, (ii) the Registration Statement, as finally amended (including all post-effective amendments), has become effective under the Securities Act, (iii) the Warrant Agreement relating to the Warrants has been duly authorized, executed, and delivered by the Company, (iv) an appropriate prospectus supplement with respect to the applicable Warrants has been prepared, delivered and filed in compliance with the Securities Act and the applicable rules and regulations thereunder, (v) if the applicable Warrants are to be sold pursuant to an Underwriting Agreement, such Underwriting Agreement with respect to the applicable Warrants in the form filed as an exhibit to the Registration Statement, any post-effective amendment thereto or to a Current Report on Form 8-K, has been duly authorized, executed and delivered by the Company and the other parties thereto, (vi) the terms of the Warrants and of their issuance and sale have been duly established in conformity with the Warrant Agreement and do not violate any applicable law or result in a default under or breach of any agreement or instrument binding upon the Company and comply with any requirement or restriction imposed by any court or governmental body having jurisdiction over the Company, (vii) the Warrants have been duly executed and countersigned in accordance with the Warrant Agreement and issued and sold as contemplated by the Registration Statement and the prospectus included therein, and (viii) the Company has received the consideration provided for in the Authorizing Resolutions and, if applicable, the Underwriting Agreement, the Warrants will constitute valid and legally binding obligations of the Company.</w:t>
      </w:r>
    </w:p>
    <w:p>
      <w:pPr>
        <w:spacing w:after="0" w:line="167" w:lineRule="exact"/>
        <w:rPr>
          <w:rFonts w:ascii="Arial" w:cs="Arial" w:eastAsia="Arial" w:hAnsi="Arial"/>
          <w:sz w:val="16"/>
          <w:szCs w:val="16"/>
          <w:color w:val="auto"/>
        </w:rPr>
      </w:pPr>
    </w:p>
    <w:p>
      <w:pPr>
        <w:jc w:val="both"/>
        <w:ind w:firstLine="575"/>
        <w:spacing w:after="0" w:line="287" w:lineRule="auto"/>
        <w:tabs>
          <w:tab w:leader="none" w:pos="744" w:val="left"/>
        </w:tabs>
        <w:numPr>
          <w:ilvl w:val="0"/>
          <w:numId w:val="114"/>
        </w:numPr>
        <w:rPr>
          <w:rFonts w:ascii="Arial" w:cs="Arial" w:eastAsia="Arial" w:hAnsi="Arial"/>
          <w:sz w:val="16"/>
          <w:szCs w:val="16"/>
          <w:color w:val="auto"/>
        </w:rPr>
      </w:pPr>
      <w:r>
        <w:rPr>
          <w:rFonts w:ascii="Arial" w:cs="Arial" w:eastAsia="Arial" w:hAnsi="Arial"/>
          <w:sz w:val="16"/>
          <w:szCs w:val="16"/>
          <w:color w:val="auto"/>
        </w:rPr>
        <w:t>With respect to the Rights, when (i) specifically authorized for issuance by the Authorizing Resolutions, (ii) the Registration Statement, as finally amended (including all post-effective amendments), has become effective under the Securities Act, (iii) the Rights Agreement and any certificates relating to the Rights have been duly authorized, executed, and delivered by the Company, (iv) an appropriate prospectus supplement with respect to the applicable Rights has been prepared, delivered and filed in compliance with the Securities Act and the applicable rules and regulations thereunder, (v) if the applicable Rights are to be sold pursuant to an Underwriting Agreement, such Underwriting Agreement with respect to the applicable Rights in the form filed as an exhibit to the Registration Statement, any post-effective amendment thereto or to a Current Report on Form 8-K, has been duly authorized, executed and delivered by the Company and the other parties thereto, (vi) the terms of the Rights and of their issuance and sale have been duly established in conformity with the Rights Agreement and any rights certificates and do not violate any applicable law or result in a default under or breach of any agreement or instrument binding upon the Company and comply with any requirement or restriction imposed by any court or governmental body having jurisdiction over the Company, (vii) the Rights have been duly executed and countersigned in accordance with the Rights Agreement and issued and sold as contemplated by the Registration Statement and the prospectus included therein, and (viii) the Company has received the consideration provided for in the Authorizing Resolutions and, if applicable, the Underwriting Agreement, the Rights will constitute valid and legally binding obligations of the Company.</w:t>
      </w:r>
    </w:p>
    <w:p>
      <w:pPr>
        <w:spacing w:after="0" w:line="167" w:lineRule="exact"/>
        <w:rPr>
          <w:rFonts w:ascii="Arial" w:cs="Arial" w:eastAsia="Arial" w:hAnsi="Arial"/>
          <w:sz w:val="16"/>
          <w:szCs w:val="16"/>
          <w:color w:val="auto"/>
        </w:rPr>
      </w:pPr>
    </w:p>
    <w:p>
      <w:pPr>
        <w:jc w:val="both"/>
        <w:ind w:firstLine="575"/>
        <w:spacing w:after="0" w:line="269" w:lineRule="auto"/>
        <w:tabs>
          <w:tab w:leader="none" w:pos="748"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With respect to the Units, when (i) specifically authorized for issuance by the Authorizing Resolutions, (ii) the Registration Statement, as finally amended (including all post-effective amendments), has become effective under the Securities Act, (iii) the Unit Agreement relating to the Units has been duly authorized, executed, and delivered by the Company, (iv) an appropriate prospectus supplement with respect to the applicable Units has been prepared, delivered and filed in compliance with the Securities Act and the applicable rules and regulations thereunder, (v) if the applicable Units are to be sold pursuant to an Underwriting Agreement, such Underwriting Agreement with respect to the applicable Units in the form filed as an exhibit to the Registration Statement, any post-effective amendment thereto or to a Current Report on Form 8-K, has been duly authorized, executed and delivered by the Company and the other parties thereto, (vi) the terms of the Units and of their issuance and sale have been duly established in conformity with the Unit Agreement and do not violate any applicable law or result in a default under or breach of any agreement or instrument binding upon the Company and comply with any requirement or restriction imposed by any court or governmental body having jurisdiction over the Company, (vii) the Units have been duly executed and countersigned in accordance with the Unit Agreement and issued and sold as contemplated by the Registration Statement and the prospectus included therein, and (viii) the Company has received the consideration provided for in the Authorizing Resolutions and, if applicable, the Underwriting Agreement, the Units will constitute valid and legally binding obligations of the Company.</w:t>
      </w:r>
    </w:p>
    <w:p>
      <w:pPr>
        <w:spacing w:after="0" w:line="179" w:lineRule="exact"/>
        <w:rPr>
          <w:sz w:val="20"/>
          <w:szCs w:val="20"/>
          <w:color w:val="auto"/>
        </w:rPr>
      </w:pPr>
    </w:p>
    <w:p>
      <w:pPr>
        <w:jc w:val="both"/>
        <w:ind w:firstLine="567"/>
        <w:spacing w:after="0" w:line="257" w:lineRule="auto"/>
        <w:rPr>
          <w:sz w:val="20"/>
          <w:szCs w:val="20"/>
          <w:color w:val="auto"/>
        </w:rPr>
      </w:pPr>
      <w:r>
        <w:rPr>
          <w:rFonts w:ascii="Arial" w:cs="Arial" w:eastAsia="Arial" w:hAnsi="Arial"/>
          <w:sz w:val="18"/>
          <w:szCs w:val="18"/>
          <w:color w:val="auto"/>
        </w:rPr>
        <w:t>We understand that you wish to file this opinion with the Commission as an exhibit to the Registration Statement in accordance with the requirements of Item 601(b)(5) of Regulation S-K promulgated under the Securities Act and to reference the firm’s name under the caption “Legal Matters” in the prospectus which forms part of the Registration Statement, and we hereby consent thereto. In giving this consent, we do not admit that we are within the category of persons whose consent is required under Section 7 of the Securities Act or the rules and regulations of the Commission promulgated thereunder.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3566160" cy="171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7">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color w:val="auto"/>
        </w:rPr>
        <w:t>Mintz, Levin, Cohn, Ferris, Glovsky and Popeo, P.C.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426085</wp:posOffset>
            </wp:positionV>
            <wp:extent cx="7132320" cy="171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18" w:name="page119"/>
    <w:bookmarkEnd w:id="118"/>
    <w:p>
      <w:pPr>
        <w:jc w:val="right"/>
        <w:spacing w:after="0"/>
        <w:rPr>
          <w:sz w:val="20"/>
          <w:szCs w:val="20"/>
          <w:color w:val="auto"/>
        </w:rPr>
      </w:pPr>
      <w:r>
        <w:rPr>
          <w:rFonts w:ascii="Arial" w:cs="Arial" w:eastAsia="Arial" w:hAnsi="Arial"/>
          <w:sz w:val="18"/>
          <w:szCs w:val="18"/>
          <w:b w:val="1"/>
          <w:bCs w:val="1"/>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consent to the incorporation by reference in the Registration Statement on Form S-3 of our report dated April 14, 2020 relating to the consolidated financial statements of Microbot Medical Inc., appearing in the Annual Report on Form 10-K of Microbot Medical Inc. for the year ended December 31, 2019.</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color w:val="auto"/>
        </w:rPr>
        <w:t>We also consent to the reference to our firm under the heading “Experts” in such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Brightman Almagor Zohar &amp; Co.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Brightman Almagor Zohar &amp; Co.,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Certified Public Accountants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 firm in the Deloitte Global Network</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Tel Aviv, Israel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November 25,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171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1)"/>
      <w:numFmt w:val="decimal"/>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
      <w:numFmt w:val="bullet"/>
      <w:start w:val="1"/>
    </w:lvl>
  </w:abstractNum>
  <w:abstractNum w:abstractNumId="6">
    <w:nsid w:val="D34B6A8"/>
    <w:multiLevelType w:val="hybridMultilevel"/>
    <w:lvl w:ilvl="0">
      <w:lvlJc w:val="left"/>
      <w:lvlText w:val="●"/>
      <w:numFmt w:val="bullet"/>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25">
    <w:nsid w:val="5F5E7FD0"/>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26">
    <w:nsid w:val="98A3148"/>
    <w:multiLevelType w:val="hybridMultilevel"/>
    <w:lvl w:ilvl="0">
      <w:lvlJc w:val="left"/>
      <w:lvlText w:val="%1"/>
      <w:numFmt w:val="lowerLetter"/>
      <w:start w:val="1"/>
    </w:lvl>
    <w:lvl w:ilvl="1">
      <w:lvlJc w:val="left"/>
      <w:lvlText w:val="(%2)"/>
      <w:numFmt w:val="decimal"/>
      <w:start w:val="5"/>
    </w:lvl>
    <w:lvl w:ilvl="2">
      <w:lvlJc w:val="left"/>
      <w:lvlText w:val="(%3)"/>
      <w:numFmt w:val="lowerRoman"/>
      <w:start w:val="1"/>
    </w:lvl>
  </w:abstractNum>
  <w:abstractNum w:abstractNumId="27">
    <w:nsid w:val="799D0247"/>
    <w:multiLevelType w:val="hybridMultilevel"/>
    <w:lvl w:ilvl="0">
      <w:lvlJc w:val="left"/>
      <w:lvlText w:val="(%1)"/>
      <w:numFmt w:val="lowerLetter"/>
      <w:start w:val="2"/>
    </w:lvl>
    <w:lvl w:ilvl="1">
      <w:lvlJc w:val="left"/>
      <w:lvlText w:val="%2"/>
      <w:numFmt w:val="decimal"/>
      <w:start w:val="1"/>
    </w:lvl>
    <w:lvl w:ilvl="2">
      <w:lvlJc w:val="left"/>
      <w:lvlText w:val="(%3)"/>
      <w:numFmt w:val="lowerRoman"/>
      <w:start w:val="1"/>
    </w:lvl>
  </w:abstractNum>
  <w:abstractNum w:abstractNumId="28">
    <w:nsid w:val="6B94764"/>
    <w:multiLevelType w:val="hybridMultilevel"/>
    <w:lvl w:ilvl="0">
      <w:lvlJc w:val="left"/>
      <w:lvlText w:val="*"/>
      <w:numFmt w:val="bullet"/>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1)"/>
      <w:numFmt w:val="decimal"/>
      <w:start w:val="1"/>
    </w:lvl>
  </w:abstractNum>
  <w:abstractNum w:abstractNumId="33">
    <w:nsid w:val="5DC79EA8"/>
    <w:multiLevelType w:val="hybridMultilevel"/>
    <w:lvl w:ilvl="0">
      <w:lvlJc w:val="left"/>
      <w:lvlText w:val="(%1)"/>
      <w:numFmt w:val="decimal"/>
      <w:start w:val="2"/>
    </w:lvl>
  </w:abstractNum>
  <w:abstractNum w:abstractNumId="34">
    <w:nsid w:val="540A471C"/>
    <w:multiLevelType w:val="hybridMultilevel"/>
    <w:lvl w:ilvl="0">
      <w:lvlJc w:val="left"/>
      <w:lvlText w:val="(%1)"/>
      <w:numFmt w:val="lowerLetter"/>
      <w:start w:val="3"/>
    </w:lvl>
  </w:abstractNum>
  <w:abstractNum w:abstractNumId="35">
    <w:nsid w:val="7BD3EE7B"/>
    <w:multiLevelType w:val="hybridMultilevel"/>
    <w:lvl w:ilvl="0">
      <w:lvlJc w:val="left"/>
      <w:lvlText w:val="(%1)"/>
      <w:numFmt w:val="lowerLetter"/>
      <w:start w:val="1"/>
    </w:lvl>
  </w:abstractNum>
  <w:abstractNum w:abstractNumId="36">
    <w:nsid w:val="51D9C564"/>
    <w:multiLevelType w:val="hybridMultilevel"/>
    <w:lvl w:ilvl="0">
      <w:lvlJc w:val="left"/>
      <w:lvlText w:val="(%1)"/>
      <w:numFmt w:val="decimal"/>
      <w:start w:val="1"/>
    </w:lvl>
  </w:abstractNum>
  <w:abstractNum w:abstractNumId="37">
    <w:nsid w:val="613EFDC5"/>
    <w:multiLevelType w:val="hybridMultilevel"/>
    <w:lvl w:ilvl="0">
      <w:lvlJc w:val="left"/>
      <w:lvlText w:val="(%1)"/>
      <w:numFmt w:val="decimal"/>
      <w:start w:val="16"/>
    </w:lvl>
  </w:abstractNum>
  <w:abstractNum w:abstractNumId="38">
    <w:nsid w:val="BF72B14"/>
    <w:multiLevelType w:val="hybridMultilevel"/>
    <w:lvl w:ilvl="0">
      <w:lvlJc w:val="left"/>
      <w:lvlText w:val="(%1)"/>
      <w:numFmt w:val="decimal"/>
      <w:start w:val="1"/>
    </w:lvl>
  </w:abstractNum>
  <w:abstractNum w:abstractNumId="39">
    <w:nsid w:val="11447B73"/>
    <w:multiLevelType w:val="hybridMultilevel"/>
    <w:lvl w:ilvl="0">
      <w:lvlJc w:val="left"/>
      <w:lvlText w:val="(%1)"/>
      <w:numFmt w:val="lowerLetter"/>
      <w:start w:val="1"/>
    </w:lvl>
  </w:abstractNum>
  <w:abstractNum w:abstractNumId="40">
    <w:nsid w:val="42963E5A"/>
    <w:multiLevelType w:val="hybridMultilevel"/>
    <w:lvl w:ilvl="0">
      <w:lvlJc w:val="left"/>
      <w:lvlText w:val="(%1)"/>
      <w:numFmt w:val="lowerLetter"/>
      <w:start w:val="1"/>
    </w:lvl>
    <w:lvl w:ilvl="1">
      <w:lvlJc w:val="left"/>
      <w:lvlText w:val="(%2)"/>
      <w:numFmt w:val="lowerLetter"/>
      <w:start w:val="61"/>
    </w:lvl>
  </w:abstractNum>
  <w:abstractNum w:abstractNumId="41">
    <w:nsid w:val="A0382C5"/>
    <w:multiLevelType w:val="hybridMultilevel"/>
    <w:lvl w:ilvl="0">
      <w:lvlJc w:val="left"/>
      <w:lvlText w:val="(%1)"/>
      <w:numFmt w:val="lowerLetter"/>
      <w:start w:val="1"/>
    </w:lvl>
  </w:abstractNum>
  <w:abstractNum w:abstractNumId="42">
    <w:nsid w:val="8F2B15E"/>
    <w:multiLevelType w:val="hybridMultilevel"/>
    <w:lvl w:ilvl="0">
      <w:lvlJc w:val="left"/>
      <w:lvlText w:val="(%1)"/>
      <w:numFmt w:val="lowerLetter"/>
      <w:start w:val="2"/>
    </w:lvl>
  </w:abstractNum>
  <w:abstractNum w:abstractNumId="43">
    <w:nsid w:val="1A32234B"/>
    <w:multiLevelType w:val="hybridMultilevel"/>
    <w:lvl w:ilvl="0">
      <w:lvlJc w:val="left"/>
      <w:lvlText w:val="(%1)"/>
      <w:numFmt w:val="lowerLetter"/>
      <w:start w:val="1"/>
    </w:lvl>
  </w:abstractNum>
  <w:abstractNum w:abstractNumId="44">
    <w:nsid w:val="3B0FD379"/>
    <w:multiLevelType w:val="hybridMultilevel"/>
    <w:lvl w:ilvl="0">
      <w:lvlJc w:val="left"/>
      <w:lvlText w:val="(%1)"/>
      <w:numFmt w:val="lowerLetter"/>
      <w:start w:val="1"/>
    </w:lvl>
    <w:lvl w:ilvl="1">
      <w:lvlJc w:val="left"/>
      <w:lvlText w:val="(%2)"/>
      <w:numFmt w:val="decimal"/>
      <w:start w:val="1"/>
    </w:lvl>
  </w:abstractNum>
  <w:abstractNum w:abstractNumId="45">
    <w:nsid w:val="68EB2F63"/>
    <w:multiLevelType w:val="hybridMultilevel"/>
    <w:lvl w:ilvl="0">
      <w:lvlJc w:val="left"/>
      <w:lvlText w:val="(%1)"/>
      <w:numFmt w:val="lowerLetter"/>
      <w:start w:val="2"/>
    </w:lvl>
  </w:abstractNum>
  <w:abstractNum w:abstractNumId="46">
    <w:nsid w:val="4962813B"/>
    <w:multiLevelType w:val="hybridMultilevel"/>
    <w:lvl w:ilvl="0">
      <w:lvlJc w:val="left"/>
      <w:lvlText w:val="(%1)"/>
      <w:numFmt w:val="lowerLetter"/>
      <w:start w:val="1"/>
    </w:lvl>
  </w:abstractNum>
  <w:abstractNum w:abstractNumId="47">
    <w:nsid w:val="60B6DF70"/>
    <w:multiLevelType w:val="hybridMultilevel"/>
    <w:lvl w:ilvl="0">
      <w:lvlJc w:val="left"/>
      <w:lvlText w:val="(%1)"/>
      <w:numFmt w:val="lowerLetter"/>
      <w:start w:val="3"/>
    </w:lvl>
  </w:abstractNum>
  <w:abstractNum w:abstractNumId="48">
    <w:nsid w:val="6A5EE64"/>
    <w:multiLevelType w:val="hybridMultilevel"/>
    <w:lvl w:ilvl="0">
      <w:lvlJc w:val="left"/>
      <w:lvlText w:val="(%1)"/>
      <w:numFmt w:val="lowerLetter"/>
      <w:start w:val="1"/>
    </w:lvl>
  </w:abstractNum>
  <w:abstractNum w:abstractNumId="49">
    <w:nsid w:val="14330624"/>
    <w:multiLevelType w:val="hybridMultilevel"/>
    <w:lvl w:ilvl="0">
      <w:lvlJc w:val="left"/>
      <w:lvlText w:val="(%1)"/>
      <w:numFmt w:val="lowerLetter"/>
      <w:start w:val="1"/>
    </w:lvl>
  </w:abstractNum>
  <w:abstractNum w:abstractNumId="50">
    <w:nsid w:val="7FFFCA11"/>
    <w:multiLevelType w:val="hybridMultilevel"/>
    <w:lvl w:ilvl="0">
      <w:lvlJc w:val="left"/>
      <w:lvlText w:val="(%1)"/>
      <w:numFmt w:val="lowerLetter"/>
      <w:start w:val="1"/>
    </w:lvl>
  </w:abstractNum>
  <w:abstractNum w:abstractNumId="51">
    <w:nsid w:val="1A27709E"/>
    <w:multiLevelType w:val="hybridMultilevel"/>
    <w:lvl w:ilvl="0">
      <w:lvlJc w:val="left"/>
      <w:lvlText w:val="(%1)"/>
      <w:numFmt w:val="decimal"/>
      <w:start w:val="1"/>
    </w:lvl>
  </w:abstractNum>
  <w:abstractNum w:abstractNumId="52">
    <w:nsid w:val="71EA1109"/>
    <w:multiLevelType w:val="hybridMultilevel"/>
    <w:lvl w:ilvl="0">
      <w:lvlJc w:val="left"/>
      <w:lvlText w:val="%1"/>
      <w:numFmt w:val="lowerLetter"/>
      <w:start w:val="1"/>
    </w:lvl>
    <w:lvl w:ilvl="1">
      <w:lvlJc w:val="left"/>
      <w:lvlText w:val="(%2)"/>
      <w:numFmt w:val="decimal"/>
      <w:start w:val="2"/>
    </w:lvl>
  </w:abstractNum>
  <w:abstractNum w:abstractNumId="53">
    <w:nsid w:val="100F59DC"/>
    <w:multiLevelType w:val="hybridMultilevel"/>
    <w:lvl w:ilvl="0">
      <w:lvlJc w:val="left"/>
      <w:lvlText w:val="(%1)"/>
      <w:numFmt w:val="lowerLetter"/>
      <w:start w:val="2"/>
    </w:lvl>
    <w:lvl w:ilvl="1">
      <w:lvlJc w:val="left"/>
      <w:lvlText w:val="%2"/>
      <w:numFmt w:val="decimal"/>
      <w:start w:val="1"/>
    </w:lvl>
  </w:abstractNum>
  <w:abstractNum w:abstractNumId="54">
    <w:nsid w:val="7FB7E0AA"/>
    <w:multiLevelType w:val="hybridMultilevel"/>
    <w:lvl w:ilvl="0">
      <w:lvlJc w:val="left"/>
      <w:lvlText w:val="(%1)"/>
      <w:numFmt w:val="lowerLetter"/>
      <w:start w:val="4"/>
    </w:lvl>
  </w:abstractNum>
  <w:abstractNum w:abstractNumId="55">
    <w:nsid w:val="6EB5BD4"/>
    <w:multiLevelType w:val="hybridMultilevel"/>
    <w:lvl w:ilvl="0">
      <w:lvlJc w:val="left"/>
      <w:lvlText w:val="(%1)"/>
      <w:numFmt w:val="lowerLetter"/>
      <w:start w:val="1"/>
    </w:lvl>
  </w:abstractNum>
  <w:abstractNum w:abstractNumId="56">
    <w:nsid w:val="6F6DD9AC"/>
    <w:multiLevelType w:val="hybridMultilevel"/>
    <w:lvl w:ilvl="0">
      <w:lvlJc w:val="left"/>
      <w:lvlText w:val="(%1)"/>
      <w:numFmt w:val="lowerLetter"/>
      <w:start w:val="1"/>
    </w:lvl>
  </w:abstractNum>
  <w:abstractNum w:abstractNumId="57">
    <w:nsid w:val="94211F2"/>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58">
    <w:nsid w:val="885E1B"/>
    <w:multiLevelType w:val="hybridMultilevel"/>
    <w:lvl w:ilvl="0">
      <w:lvlJc w:val="left"/>
      <w:lvlText w:val="(%1)"/>
      <w:numFmt w:val="lowerLetter"/>
      <w:start w:val="1"/>
    </w:lvl>
  </w:abstractNum>
  <w:abstractNum w:abstractNumId="59">
    <w:nsid w:val="76272110"/>
    <w:multiLevelType w:val="hybridMultilevel"/>
    <w:lvl w:ilvl="0">
      <w:lvlJc w:val="left"/>
      <w:lvlText w:val="(%1)"/>
      <w:numFmt w:val="lowerLetter"/>
      <w:start w:val="1"/>
    </w:lvl>
  </w:abstractNum>
  <w:abstractNum w:abstractNumId="60">
    <w:nsid w:val="4C04A8AF"/>
    <w:multiLevelType w:val="hybridMultilevel"/>
    <w:lvl w:ilvl="0">
      <w:lvlJc w:val="left"/>
      <w:lvlText w:val="(%1)"/>
      <w:numFmt w:val="lowerLetter"/>
      <w:start w:val="1"/>
    </w:lvl>
  </w:abstractNum>
  <w:abstractNum w:abstractNumId="61">
    <w:nsid w:val="1716703B"/>
    <w:multiLevelType w:val="hybridMultilevel"/>
    <w:lvl w:ilvl="0">
      <w:lvlJc w:val="left"/>
      <w:lvlText w:val="(%1)"/>
      <w:numFmt w:val="lowerLetter"/>
      <w:start w:val="1"/>
    </w:lvl>
    <w:lvl w:ilvl="1">
      <w:lvlJc w:val="left"/>
      <w:lvlText w:val="(%2)"/>
      <w:numFmt w:val="decimal"/>
      <w:start w:val="1"/>
    </w:lvl>
  </w:abstractNum>
  <w:abstractNum w:abstractNumId="62">
    <w:nsid w:val="14E17E33"/>
    <w:multiLevelType w:val="hybridMultilevel"/>
    <w:lvl w:ilvl="0">
      <w:lvlJc w:val="left"/>
      <w:lvlText w:val="(%1)"/>
      <w:numFmt w:val="lowerLetter"/>
      <w:start w:val="3"/>
    </w:lvl>
  </w:abstractNum>
  <w:abstractNum w:abstractNumId="63">
    <w:nsid w:val="3222E7CD"/>
    <w:multiLevelType w:val="hybridMultilevel"/>
    <w:lvl w:ilvl="0">
      <w:lvlJc w:val="left"/>
      <w:lvlText w:val="(%1)"/>
      <w:numFmt w:val="lowerLetter"/>
      <w:start w:val="1"/>
    </w:lvl>
  </w:abstractNum>
  <w:abstractNum w:abstractNumId="64">
    <w:nsid w:val="74DE0EE3"/>
    <w:multiLevelType w:val="hybridMultilevel"/>
    <w:lvl w:ilvl="0">
      <w:lvlJc w:val="left"/>
      <w:lvlText w:val="(%1)"/>
      <w:numFmt w:val="lowerLetter"/>
      <w:start w:val="3"/>
    </w:lvl>
  </w:abstractNum>
  <w:abstractNum w:abstractNumId="65">
    <w:nsid w:val="68EBC550"/>
    <w:multiLevelType w:val="hybridMultilevel"/>
    <w:lvl w:ilvl="0">
      <w:lvlJc w:val="left"/>
      <w:lvlText w:val="(%1)"/>
      <w:numFmt w:val="lowerLetter"/>
      <w:start w:val="1"/>
    </w:lvl>
  </w:abstractNum>
  <w:abstractNum w:abstractNumId="66">
    <w:nsid w:val="2DF6D648"/>
    <w:multiLevelType w:val="hybridMultilevel"/>
    <w:lvl w:ilvl="0">
      <w:lvlJc w:val="left"/>
      <w:lvlText w:val="(%1)"/>
      <w:numFmt w:val="lowerLetter"/>
      <w:start w:val="1"/>
    </w:lvl>
  </w:abstractNum>
  <w:abstractNum w:abstractNumId="67">
    <w:nsid w:val="46B7D447"/>
    <w:multiLevelType w:val="hybridMultilevel"/>
    <w:lvl w:ilvl="0">
      <w:lvlJc w:val="left"/>
      <w:lvlText w:val="(%1)"/>
      <w:numFmt w:val="lowerLetter"/>
      <w:start w:val="1"/>
    </w:lvl>
  </w:abstractNum>
  <w:abstractNum w:abstractNumId="68">
    <w:nsid w:val="4A2AC315"/>
    <w:multiLevelType w:val="hybridMultilevel"/>
    <w:lvl w:ilvl="0">
      <w:lvlJc w:val="left"/>
      <w:lvlText w:val="(%1)"/>
      <w:numFmt w:val="lowerLetter"/>
      <w:start w:val="1"/>
    </w:lvl>
  </w:abstractNum>
  <w:abstractNum w:abstractNumId="69">
    <w:nsid w:val="39EE015C"/>
    <w:multiLevelType w:val="hybridMultilevel"/>
    <w:lvl w:ilvl="0">
      <w:lvlJc w:val="left"/>
      <w:lvlText w:val="(%1)"/>
      <w:numFmt w:val="lowerLetter"/>
      <w:start w:val="1"/>
    </w:lvl>
  </w:abstractNum>
  <w:abstractNum w:abstractNumId="70">
    <w:nsid w:val="57FC4FBB"/>
    <w:multiLevelType w:val="hybridMultilevel"/>
    <w:lvl w:ilvl="0">
      <w:lvlJc w:val="left"/>
      <w:lvlText w:val="(%1)"/>
      <w:numFmt w:val="lowerLetter"/>
      <w:start w:val="1"/>
    </w:lvl>
  </w:abstractNum>
  <w:abstractNum w:abstractNumId="71">
    <w:nsid w:val="CC1016F"/>
    <w:multiLevelType w:val="hybridMultilevel"/>
    <w:lvl w:ilvl="0">
      <w:lvlJc w:val="left"/>
      <w:lvlText w:val="(%1)"/>
      <w:numFmt w:val="lowerLetter"/>
      <w:start w:val="2"/>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1)"/>
      <w:numFmt w:val="decimal"/>
      <w:start w:val="1"/>
    </w:lvl>
  </w:abstractNum>
  <w:abstractNum w:abstractNumId="74">
    <w:nsid w:val="26F324BA"/>
    <w:multiLevelType w:val="hybridMultilevel"/>
    <w:lvl w:ilvl="0">
      <w:lvlJc w:val="left"/>
      <w:lvlText w:val="(%1)"/>
      <w:numFmt w:val="decimal"/>
      <w:start w:val="2"/>
    </w:lvl>
  </w:abstractNum>
  <w:abstractNum w:abstractNumId="75">
    <w:nsid w:val="7F01579B"/>
    <w:multiLevelType w:val="hybridMultilevel"/>
    <w:lvl w:ilvl="0">
      <w:lvlJc w:val="left"/>
      <w:lvlText w:val="(%1)"/>
      <w:numFmt w:val="lowerLetter"/>
      <w:start w:val="1"/>
    </w:lvl>
    <w:lvl w:ilvl="1">
      <w:lvlJc w:val="left"/>
      <w:lvlText w:val="(%2)"/>
      <w:numFmt w:val="decimal"/>
      <w:start w:val="1"/>
    </w:lvl>
  </w:abstractNum>
  <w:abstractNum w:abstractNumId="76">
    <w:nsid w:val="49DA307D"/>
    <w:multiLevelType w:val="hybridMultilevel"/>
    <w:lvl w:ilvl="0">
      <w:lvlJc w:val="left"/>
      <w:lvlText w:val="(%1)"/>
      <w:numFmt w:val="decimal"/>
      <w:start w:val="10"/>
    </w:lvl>
  </w:abstractNum>
  <w:abstractNum w:abstractNumId="77">
    <w:nsid w:val="7055A5F5"/>
    <w:multiLevelType w:val="hybridMultilevel"/>
    <w:lvl w:ilvl="0">
      <w:lvlJc w:val="left"/>
      <w:lvlText w:val="(%1)"/>
      <w:numFmt w:val="decimal"/>
      <w:start w:val="1"/>
    </w:lvl>
  </w:abstractNum>
  <w:abstractNum w:abstractNumId="78">
    <w:nsid w:val="5FB8370B"/>
    <w:multiLevelType w:val="hybridMultilevel"/>
    <w:lvl w:ilvl="0">
      <w:lvlJc w:val="left"/>
      <w:lvlText w:val="(%1)"/>
      <w:numFmt w:val="lowerLetter"/>
      <w:start w:val="1"/>
    </w:lvl>
  </w:abstractNum>
  <w:abstractNum w:abstractNumId="79">
    <w:nsid w:val="50801EE1"/>
    <w:multiLevelType w:val="hybridMultilevel"/>
    <w:lvl w:ilvl="0">
      <w:lvlJc w:val="left"/>
      <w:lvlText w:val="(%1)"/>
      <w:numFmt w:val="lowerLetter"/>
      <w:start w:val="3"/>
    </w:lvl>
  </w:abstractNum>
  <w:abstractNum w:abstractNumId="80">
    <w:nsid w:val="488AC1A"/>
    <w:multiLevelType w:val="hybridMultilevel"/>
    <w:lvl w:ilvl="0">
      <w:lvlJc w:val="left"/>
      <w:lvlText w:val="(%1)"/>
      <w:numFmt w:val="lowerLetter"/>
      <w:start w:val="1"/>
    </w:lvl>
    <w:lvl w:ilvl="1">
      <w:lvlJc w:val="left"/>
      <w:lvlText w:val="(%2)"/>
      <w:numFmt w:val="lowerLetter"/>
      <w:start w:val="61"/>
    </w:lvl>
  </w:abstractNum>
  <w:abstractNum w:abstractNumId="81">
    <w:nsid w:val="5FB8011C"/>
    <w:multiLevelType w:val="hybridMultilevel"/>
    <w:lvl w:ilvl="0">
      <w:lvlJc w:val="left"/>
      <w:lvlText w:val="(%1)"/>
      <w:numFmt w:val="lowerLetter"/>
      <w:start w:val="1"/>
    </w:lvl>
  </w:abstractNum>
  <w:abstractNum w:abstractNumId="82">
    <w:nsid w:val="6AA78F7F"/>
    <w:multiLevelType w:val="hybridMultilevel"/>
    <w:lvl w:ilvl="0">
      <w:lvlJc w:val="left"/>
      <w:lvlText w:val="(%1)"/>
      <w:numFmt w:val="lowerLetter"/>
      <w:start w:val="2"/>
    </w:lvl>
  </w:abstractNum>
  <w:abstractNum w:abstractNumId="83">
    <w:nsid w:val="7672BD23"/>
    <w:multiLevelType w:val="hybridMultilevel"/>
    <w:lvl w:ilvl="0">
      <w:lvlJc w:val="left"/>
      <w:lvlText w:val="(%1)"/>
      <w:numFmt w:val="lowerLetter"/>
      <w:start w:val="1"/>
    </w:lvl>
  </w:abstractNum>
  <w:abstractNum w:abstractNumId="84">
    <w:nsid w:val="6FC75AF8"/>
    <w:multiLevelType w:val="hybridMultilevel"/>
    <w:lvl w:ilvl="0">
      <w:lvlJc w:val="left"/>
      <w:lvlText w:val="(%1)"/>
      <w:numFmt w:val="lowerLetter"/>
      <w:start w:val="1"/>
    </w:lvl>
    <w:lvl w:ilvl="1">
      <w:lvlJc w:val="left"/>
      <w:lvlText w:val="(%2)"/>
      <w:numFmt w:val="decimal"/>
      <w:start w:val="1"/>
    </w:lvl>
  </w:abstractNum>
  <w:abstractNum w:abstractNumId="85">
    <w:nsid w:val="6A5F7029"/>
    <w:multiLevelType w:val="hybridMultilevel"/>
    <w:lvl w:ilvl="0">
      <w:lvlJc w:val="left"/>
      <w:lvlText w:val="(%1)"/>
      <w:numFmt w:val="lowerLetter"/>
      <w:start w:val="3"/>
    </w:lvl>
  </w:abstractNum>
  <w:abstractNum w:abstractNumId="86">
    <w:nsid w:val="7D5E18F8"/>
    <w:multiLevelType w:val="hybridMultilevel"/>
    <w:lvl w:ilvl="0">
      <w:lvlJc w:val="left"/>
      <w:lvlText w:val="(%1)"/>
      <w:numFmt w:val="lowerLetter"/>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1"/>
    </w:lvl>
    <w:lvl w:ilvl="1">
      <w:lvlJc w:val="left"/>
      <w:lvlText w:val="(%2)"/>
      <w:numFmt w:val="decimal"/>
      <w:start w:val="1"/>
    </w:lvl>
  </w:abstractNum>
  <w:abstractNum w:abstractNumId="90">
    <w:nsid w:val="555C55B5"/>
    <w:multiLevelType w:val="hybridMultilevel"/>
    <w:lvl w:ilvl="0">
      <w:lvlJc w:val="left"/>
      <w:lvlText w:val="%1"/>
      <w:numFmt w:val="lowerLetter"/>
      <w:start w:val="1"/>
    </w:lvl>
    <w:lvl w:ilvl="1">
      <w:lvlJc w:val="left"/>
      <w:lvlText w:val="(%2)"/>
      <w:numFmt w:val="decimal"/>
      <w:start w:val="3"/>
    </w:lvl>
  </w:abstractNum>
  <w:abstractNum w:abstractNumId="91">
    <w:nsid w:val="3FA62ACA"/>
    <w:multiLevelType w:val="hybridMultilevel"/>
    <w:lvl w:ilvl="0">
      <w:lvlJc w:val="left"/>
      <w:lvlText w:val="(%1)"/>
      <w:numFmt w:val="lowerLetter"/>
      <w:start w:val="2"/>
    </w:lvl>
    <w:lvl w:ilvl="1">
      <w:lvlJc w:val="left"/>
      <w:lvlText w:val="%2"/>
      <w:numFmt w:val="decimal"/>
      <w:start w:val="1"/>
    </w:lvl>
  </w:abstractNum>
  <w:abstractNum w:abstractNumId="92">
    <w:nsid w:val="14FCE74E"/>
    <w:multiLevelType w:val="hybridMultilevel"/>
    <w:lvl w:ilvl="0">
      <w:lvlJc w:val="left"/>
      <w:lvlText w:val="(%1)"/>
      <w:numFmt w:val="lowerLetter"/>
      <w:start w:val="1"/>
    </w:lvl>
  </w:abstractNum>
  <w:abstractNum w:abstractNumId="93">
    <w:nsid w:val="6A3DD3E8"/>
    <w:multiLevelType w:val="hybridMultilevel"/>
    <w:lvl w:ilvl="0">
      <w:lvlJc w:val="left"/>
      <w:lvlText w:val="(%1)"/>
      <w:numFmt w:val="lowerLetter"/>
      <w:start w:val="1"/>
    </w:lvl>
  </w:abstractNum>
  <w:abstractNum w:abstractNumId="94">
    <w:nsid w:val="71C9129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95">
    <w:nsid w:val="9DAF632"/>
    <w:multiLevelType w:val="hybridMultilevel"/>
    <w:lvl w:ilvl="0">
      <w:lvlJc w:val="left"/>
      <w:lvlText w:val="(%1)"/>
      <w:numFmt w:val="decimal"/>
      <w:start w:val="3"/>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1"/>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1"/>
    </w:lvl>
    <w:lvl w:ilvl="1">
      <w:lvlJc w:val="left"/>
      <w:lvlText w:val="(%2)"/>
      <w:numFmt w:val="decimal"/>
      <w:start w:val="1"/>
    </w:lvl>
  </w:abstractNum>
  <w:abstractNum w:abstractNumId="100">
    <w:nsid w:val="59ADEA3D"/>
    <w:multiLevelType w:val="hybridMultilevel"/>
    <w:lvl w:ilvl="0">
      <w:lvlJc w:val="left"/>
      <w:lvlText w:val="%1"/>
      <w:numFmt w:val="lowerLetter"/>
      <w:start w:val="1"/>
    </w:lvl>
    <w:lvl w:ilvl="1">
      <w:lvlJc w:val="left"/>
      <w:lvlText w:val="(%2)"/>
      <w:numFmt w:val="decimal"/>
      <w:start w:val="3"/>
    </w:lvl>
  </w:abstractNum>
  <w:abstractNum w:abstractNumId="101">
    <w:nsid w:val="288F1A34"/>
    <w:multiLevelType w:val="hybridMultilevel"/>
    <w:lvl w:ilvl="0">
      <w:lvlJc w:val="left"/>
      <w:lvlText w:val="(%1)"/>
      <w:numFmt w:val="lowerLetter"/>
      <w:start w:val="3"/>
    </w:lvl>
    <w:lvl w:ilvl="1">
      <w:lvlJc w:val="left"/>
      <w:lvlText w:val="%2"/>
      <w:numFmt w:val="decimal"/>
      <w:start w:val="1"/>
    </w:lvl>
  </w:abstractNum>
  <w:abstractNum w:abstractNumId="102">
    <w:nsid w:val="2A155DBC"/>
    <w:multiLevelType w:val="hybridMultilevel"/>
    <w:lvl w:ilvl="0">
      <w:lvlJc w:val="left"/>
      <w:lvlText w:val="(%1)"/>
      <w:numFmt w:val="lowerLetter"/>
      <w:start w:val="1"/>
    </w:lvl>
  </w:abstractNum>
  <w:abstractNum w:abstractNumId="103">
    <w:nsid w:val="1D9F6E5F"/>
    <w:multiLevelType w:val="hybridMultilevel"/>
    <w:lvl w:ilvl="0">
      <w:lvlJc w:val="left"/>
      <w:lvlText w:val="(%1)"/>
      <w:numFmt w:val="lowerLetter"/>
      <w:start w:val="3"/>
    </w:lvl>
  </w:abstractNum>
  <w:abstractNum w:abstractNumId="104">
    <w:nsid w:val="97E1B4E"/>
    <w:multiLevelType w:val="hybridMultilevel"/>
    <w:lvl w:ilvl="0">
      <w:lvlJc w:val="left"/>
      <w:lvlText w:val="(%1)"/>
      <w:numFmt w:val="lowerLetter"/>
      <w:start w:val="1"/>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1"/>
    </w:lvl>
  </w:abstractNum>
  <w:abstractNum w:abstractNumId="108">
    <w:nsid w:val="415E286C"/>
    <w:multiLevelType w:val="hybridMultilevel"/>
    <w:lvl w:ilvl="0">
      <w:lvlJc w:val="left"/>
      <w:lvlText w:val="(%1)"/>
      <w:numFmt w:val="lowerLetter"/>
      <w:start w:val="1"/>
    </w:lvl>
  </w:abstractNum>
  <w:abstractNum w:abstractNumId="109">
    <w:nsid w:val="7C58FD05"/>
    <w:multiLevelType w:val="hybridMultilevel"/>
    <w:lvl w:ilvl="0">
      <w:lvlJc w:val="left"/>
      <w:lvlText w:val="(%1)"/>
      <w:numFmt w:val="lowerLetter"/>
      <w:start w:val="1"/>
    </w:lvl>
  </w:abstractNum>
  <w:abstractNum w:abstractNumId="110">
    <w:nsid w:val="23D86AAC"/>
    <w:multiLevelType w:val="hybridMultilevel"/>
    <w:lvl w:ilvl="0">
      <w:lvlJc w:val="left"/>
      <w:lvlText w:val="(%1)"/>
      <w:numFmt w:val="lowerRoman"/>
      <w:start w:val="1"/>
    </w:lvl>
  </w:abstractNum>
  <w:abstractNum w:abstractNumId="111">
    <w:nsid w:val="45E6D486"/>
    <w:multiLevelType w:val="hybridMultilevel"/>
    <w:lvl w:ilvl="0">
      <w:lvlJc w:val="left"/>
      <w:lvlText w:val="%1"/>
      <w:numFmt w:val="lowerRoman"/>
      <w:start w:val="1"/>
    </w:lvl>
    <w:lvl w:ilvl="1">
      <w:lvlJc w:val="left"/>
      <w:lvlText w:val="%2."/>
      <w:numFmt w:val="decimal"/>
      <w:start w:val="1"/>
    </w:lvl>
  </w:abstractNum>
  <w:abstractNum w:abstractNumId="112">
    <w:nsid w:val="5C10FE21"/>
    <w:multiLevelType w:val="hybridMultilevel"/>
    <w:lvl w:ilvl="0">
      <w:lvlJc w:val="left"/>
      <w:lvlText w:val="(%1)"/>
      <w:numFmt w:val="lowerRoman"/>
      <w:start w:val="6"/>
    </w:lvl>
    <w:lvl w:ilvl="1">
      <w:lvlJc w:val="left"/>
      <w:lvlText w:val="%2."/>
      <w:numFmt w:val="decimal"/>
      <w:start w:val="3"/>
    </w:lvl>
  </w:abstractNum>
  <w:abstractNum w:abstractNumId="113">
    <w:nsid w:val="E7FFA2B"/>
    <w:multiLevelType w:val="hybridMultilevel"/>
    <w:lvl w:ilvl="0">
      <w:lvlJc w:val="left"/>
      <w:lvlText w:val="%1."/>
      <w:numFmt w:val="decimal"/>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8" Type="http://schemas.openxmlformats.org/officeDocument/2006/relationships/image" Target="media/image36.png"/><Relationship Id="rId49" Type="http://schemas.openxmlformats.org/officeDocument/2006/relationships/image" Target="media/image37.png"/><Relationship Id="rId50" Type="http://schemas.openxmlformats.org/officeDocument/2006/relationships/image" Target="media/image38.png"/><Relationship Id="rId51" Type="http://schemas.openxmlformats.org/officeDocument/2006/relationships/image" Target="media/image39.png"/><Relationship Id="rId52" Type="http://schemas.openxmlformats.org/officeDocument/2006/relationships/image" Target="media/image40.png"/><Relationship Id="rId53" Type="http://schemas.openxmlformats.org/officeDocument/2006/relationships/image" Target="media/image41.png"/><Relationship Id="rId54" Type="http://schemas.openxmlformats.org/officeDocument/2006/relationships/image" Target="media/image42.png"/><Relationship Id="rId55" Type="http://schemas.openxmlformats.org/officeDocument/2006/relationships/image" Target="media/image43.png"/><Relationship Id="rId56" Type="http://schemas.openxmlformats.org/officeDocument/2006/relationships/image" Target="media/image44.png"/><Relationship Id="rId57" Type="http://schemas.openxmlformats.org/officeDocument/2006/relationships/image" Target="media/image45.png"/><Relationship Id="rId58" Type="http://schemas.openxmlformats.org/officeDocument/2006/relationships/image" Target="media/image46.png"/><Relationship Id="rId59" Type="http://schemas.openxmlformats.org/officeDocument/2006/relationships/image" Target="media/image47.png"/><Relationship Id="rId60" Type="http://schemas.openxmlformats.org/officeDocument/2006/relationships/image" Target="media/image48.png"/><Relationship Id="rId61" Type="http://schemas.openxmlformats.org/officeDocument/2006/relationships/image" Target="media/image49.png"/><Relationship Id="rId62" Type="http://schemas.openxmlformats.org/officeDocument/2006/relationships/image" Target="media/image50.png"/><Relationship Id="rId63" Type="http://schemas.openxmlformats.org/officeDocument/2006/relationships/image" Target="media/image51.png"/><Relationship Id="rId64"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67" Type="http://schemas.openxmlformats.org/officeDocument/2006/relationships/image" Target="media/image55.png"/><Relationship Id="rId68" Type="http://schemas.openxmlformats.org/officeDocument/2006/relationships/image" Target="media/image56.png"/><Relationship Id="rId69" Type="http://schemas.openxmlformats.org/officeDocument/2006/relationships/image" Target="media/image57.png"/><Relationship Id="rId70" Type="http://schemas.openxmlformats.org/officeDocument/2006/relationships/image" Target="media/image58.png"/><Relationship Id="rId71" Type="http://schemas.openxmlformats.org/officeDocument/2006/relationships/image" Target="media/image59.png"/><Relationship Id="rId72" Type="http://schemas.openxmlformats.org/officeDocument/2006/relationships/image" Target="media/image60.png"/><Relationship Id="rId73" Type="http://schemas.openxmlformats.org/officeDocument/2006/relationships/image" Target="media/image61.png"/><Relationship Id="rId74" Type="http://schemas.openxmlformats.org/officeDocument/2006/relationships/image" Target="media/image62.png"/><Relationship Id="rId75" Type="http://schemas.openxmlformats.org/officeDocument/2006/relationships/image" Target="media/image63.png"/><Relationship Id="rId76" Type="http://schemas.openxmlformats.org/officeDocument/2006/relationships/image" Target="media/image64.png"/><Relationship Id="rId77" Type="http://schemas.openxmlformats.org/officeDocument/2006/relationships/image" Target="media/image65.png"/><Relationship Id="rId78" Type="http://schemas.openxmlformats.org/officeDocument/2006/relationships/image" Target="media/image66.png"/><Relationship Id="rId79" Type="http://schemas.openxmlformats.org/officeDocument/2006/relationships/image" Target="media/image67.png"/><Relationship Id="rId80" Type="http://schemas.openxmlformats.org/officeDocument/2006/relationships/image" Target="media/image68.png"/><Relationship Id="rId81" Type="http://schemas.openxmlformats.org/officeDocument/2006/relationships/image" Target="media/image69.png"/><Relationship Id="rId82" Type="http://schemas.openxmlformats.org/officeDocument/2006/relationships/image" Target="media/image70.png"/><Relationship Id="rId83" Type="http://schemas.openxmlformats.org/officeDocument/2006/relationships/image" Target="media/image71.png"/><Relationship Id="rId84" Type="http://schemas.openxmlformats.org/officeDocument/2006/relationships/image" Target="media/image72.png"/><Relationship Id="rId85" Type="http://schemas.openxmlformats.org/officeDocument/2006/relationships/image" Target="media/image73.png"/><Relationship Id="rId86" Type="http://schemas.openxmlformats.org/officeDocument/2006/relationships/image" Target="media/image74.png"/><Relationship Id="rId87" Type="http://schemas.openxmlformats.org/officeDocument/2006/relationships/image" Target="media/image75.png"/><Relationship Id="rId88" Type="http://schemas.openxmlformats.org/officeDocument/2006/relationships/image" Target="media/image76.png"/><Relationship Id="rId89" Type="http://schemas.openxmlformats.org/officeDocument/2006/relationships/image" Target="media/image77.png"/><Relationship Id="rId90" Type="http://schemas.openxmlformats.org/officeDocument/2006/relationships/image" Target="media/image78.png"/><Relationship Id="rId91" Type="http://schemas.openxmlformats.org/officeDocument/2006/relationships/image" Target="media/image79.png"/><Relationship Id="rId92" Type="http://schemas.openxmlformats.org/officeDocument/2006/relationships/image" Target="media/image80.png"/><Relationship Id="rId93" Type="http://schemas.openxmlformats.org/officeDocument/2006/relationships/image" Target="media/image81.png"/><Relationship Id="rId94" Type="http://schemas.openxmlformats.org/officeDocument/2006/relationships/image" Target="media/image82.png"/><Relationship Id="rId95" Type="http://schemas.openxmlformats.org/officeDocument/2006/relationships/image" Target="media/image83.png"/><Relationship Id="rId96" Type="http://schemas.openxmlformats.org/officeDocument/2006/relationships/image" Target="media/image84.png"/><Relationship Id="rId97" Type="http://schemas.openxmlformats.org/officeDocument/2006/relationships/image" Target="media/image85.png"/><Relationship Id="rId98" Type="http://schemas.openxmlformats.org/officeDocument/2006/relationships/image" Target="media/image86.png"/><Relationship Id="rId99" Type="http://schemas.openxmlformats.org/officeDocument/2006/relationships/image" Target="media/image87.png"/><Relationship Id="rId100" Type="http://schemas.openxmlformats.org/officeDocument/2006/relationships/image" Target="media/image88.png"/><Relationship Id="rId101" Type="http://schemas.openxmlformats.org/officeDocument/2006/relationships/image" Target="media/image89.png"/><Relationship Id="rId102" Type="http://schemas.openxmlformats.org/officeDocument/2006/relationships/image" Target="media/image90.png"/><Relationship Id="rId103" Type="http://schemas.openxmlformats.org/officeDocument/2006/relationships/image" Target="media/image91.png"/><Relationship Id="rId104" Type="http://schemas.openxmlformats.org/officeDocument/2006/relationships/image" Target="media/image92.png"/><Relationship Id="rId105" Type="http://schemas.openxmlformats.org/officeDocument/2006/relationships/image" Target="media/image93.png"/><Relationship Id="rId106" Type="http://schemas.openxmlformats.org/officeDocument/2006/relationships/image" Target="media/image94.png"/><Relationship Id="rId107" Type="http://schemas.openxmlformats.org/officeDocument/2006/relationships/image" Target="media/image95.png"/><Relationship Id="rId108" Type="http://schemas.openxmlformats.org/officeDocument/2006/relationships/image" Target="media/image96.png"/><Relationship Id="rId109" Type="http://schemas.openxmlformats.org/officeDocument/2006/relationships/image" Target="media/image97.png"/><Relationship Id="rId110" Type="http://schemas.openxmlformats.org/officeDocument/2006/relationships/image" Target="media/image98.png"/><Relationship Id="rId111" Type="http://schemas.openxmlformats.org/officeDocument/2006/relationships/image" Target="media/image99.png"/><Relationship Id="rId112" Type="http://schemas.openxmlformats.org/officeDocument/2006/relationships/image" Target="media/image100.png"/><Relationship Id="rId113" Type="http://schemas.openxmlformats.org/officeDocument/2006/relationships/image" Target="media/image101.png"/><Relationship Id="rId114" Type="http://schemas.openxmlformats.org/officeDocument/2006/relationships/image" Target="media/image102.png"/><Relationship Id="rId115" Type="http://schemas.openxmlformats.org/officeDocument/2006/relationships/image" Target="media/image103.png"/><Relationship Id="rId116" Type="http://schemas.openxmlformats.org/officeDocument/2006/relationships/image" Target="media/image104.png"/><Relationship Id="rId117" Type="http://schemas.openxmlformats.org/officeDocument/2006/relationships/image" Target="media/image105.png"/><Relationship Id="rId118" Type="http://schemas.openxmlformats.org/officeDocument/2006/relationships/image" Target="media/image106.png"/><Relationship Id="rId119" Type="http://schemas.openxmlformats.org/officeDocument/2006/relationships/image" Target="media/image107.png"/><Relationship Id="rId120" Type="http://schemas.openxmlformats.org/officeDocument/2006/relationships/image" Target="media/image108.png"/><Relationship Id="rId121" Type="http://schemas.openxmlformats.org/officeDocument/2006/relationships/image" Target="media/image109.png"/><Relationship Id="rId122" Type="http://schemas.openxmlformats.org/officeDocument/2006/relationships/image" Target="media/image110.png"/><Relationship Id="rId123" Type="http://schemas.openxmlformats.org/officeDocument/2006/relationships/image" Target="media/image111.png"/><Relationship Id="rId124" Type="http://schemas.openxmlformats.org/officeDocument/2006/relationships/image" Target="media/image112.png"/><Relationship Id="rId125" Type="http://schemas.openxmlformats.org/officeDocument/2006/relationships/image" Target="media/image113.png"/><Relationship Id="rId126" Type="http://schemas.openxmlformats.org/officeDocument/2006/relationships/image" Target="media/image114.png"/><Relationship Id="rId127" Type="http://schemas.openxmlformats.org/officeDocument/2006/relationships/image" Target="media/image115.jpeg"/><Relationship Id="rId128" Type="http://schemas.openxmlformats.org/officeDocument/2006/relationships/image" Target="media/image116.png"/><Relationship Id="rId129" Type="http://schemas.openxmlformats.org/officeDocument/2006/relationships/image" Target="media/image117.png"/><Relationship Id="rId130" Type="http://schemas.openxmlformats.org/officeDocument/2006/relationships/image" Target="media/image118.jpeg"/><Relationship Id="rId131" Type="http://schemas.openxmlformats.org/officeDocument/2006/relationships/image" Target="media/image119.png"/><Relationship Id="rId132" Type="http://schemas.openxmlformats.org/officeDocument/2006/relationships/image" Target="media/image120.jpeg"/><Relationship Id="rId133" Type="http://schemas.openxmlformats.org/officeDocument/2006/relationships/image" Target="media/image121.png"/><Relationship Id="rId134" Type="http://schemas.openxmlformats.org/officeDocument/2006/relationships/image" Target="media/image122.jpeg"/><Relationship Id="rId135" Type="http://schemas.openxmlformats.org/officeDocument/2006/relationships/image" Target="media/image123.png"/><Relationship Id="rId136" Type="http://schemas.openxmlformats.org/officeDocument/2006/relationships/image" Target="media/image124.jpeg"/><Relationship Id="rId137" Type="http://schemas.openxmlformats.org/officeDocument/2006/relationships/image" Target="media/image125.png"/><Relationship Id="rId138" Type="http://schemas.openxmlformats.org/officeDocument/2006/relationships/image" Target="media/image126.png"/><Relationship Id="rId139" Type="http://schemas.openxmlformats.org/officeDocument/2006/relationships/image" Target="media/image127.png"/><Relationship Id="rId43" Type="http://schemas.openxmlformats.org/officeDocument/2006/relationships/hyperlink" Target="https://www.sec.gov/Archives/edgar/data/883975/000095013407005808/f27726exv3w1.htm" TargetMode="External"/><Relationship Id="rId44" Type="http://schemas.openxmlformats.org/officeDocument/2006/relationships/hyperlink" Target="https://www.sec.gov/Archives/edgar/data/883975/000119312516779729/d296933dex31.htm" TargetMode="External"/><Relationship Id="rId45" Type="http://schemas.openxmlformats.org/officeDocument/2006/relationships/hyperlink" Target="https://www.sec.gov/Archives/edgar/data/883975/000149315218012872/ex3-1.htm" TargetMode="External"/><Relationship Id="rId46" Type="http://schemas.openxmlformats.org/officeDocument/2006/relationships/hyperlink" Target="https://www.sec.gov/Archives/edgar/data/883975/000149315219013998/ex3-1.htm" TargetMode="External"/><Relationship Id="rId47" Type="http://schemas.openxmlformats.org/officeDocument/2006/relationships/hyperlink" Target="https://www.sec.gov/Archives/edgar/data/883975/000129993316002374/exhibit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2020-11-25T15:31:21Z</dcterms:created>
  <dcterms:modified xsi:type="dcterms:W3CDTF">2020-11-25T15:31:21Z</dcterms:modified>
</cp:coreProperties>
</file>