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23,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February 23, 2023, Microbot Medical Inc. issued a press release announcing that its remote controller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received a design patent allowance in Japan.</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780" w:type="dxa"/>
            <w:vAlign w:val="bottom"/>
          </w:tcPr>
          <w:p>
            <w:pPr>
              <w:spacing w:after="0"/>
              <w:rPr>
                <w:sz w:val="20"/>
                <w:szCs w:val="20"/>
                <w:color w:val="auto"/>
              </w:rPr>
            </w:pPr>
          </w:p>
        </w:tc>
        <w:tc>
          <w:tcPr>
            <w:tcW w:w="73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8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February 23,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Medical’s Remote Controller for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Robotic System Receives Design Patent Allowance in Japan</w:t>
      </w:r>
    </w:p>
    <w:p>
      <w:pPr>
        <w:spacing w:after="0" w:line="137" w:lineRule="exact"/>
        <w:rPr>
          <w:sz w:val="20"/>
          <w:szCs w:val="20"/>
          <w:color w:val="auto"/>
        </w:rPr>
      </w:pPr>
    </w:p>
    <w:p>
      <w:pPr>
        <w:jc w:val="center"/>
        <w:ind w:left="340" w:right="160"/>
        <w:spacing w:after="0" w:line="284" w:lineRule="auto"/>
        <w:rPr>
          <w:sz w:val="20"/>
          <w:szCs w:val="20"/>
          <w:color w:val="auto"/>
        </w:rPr>
      </w:pPr>
      <w:r>
        <w:rPr>
          <w:rFonts w:ascii="Times New Roman" w:cs="Times New Roman" w:eastAsia="Times New Roman" w:hAnsi="Times New Roman"/>
          <w:sz w:val="18"/>
          <w:szCs w:val="18"/>
          <w:i w:val="1"/>
          <w:iCs w:val="1"/>
          <w:color w:val="auto"/>
        </w:rPr>
        <w:t>Allows Endovascular Procedure to be Performed from the Cath-Lab Control Room, Potentially Minimizing Radiation Exposure and Reducing Physical Strain for the Healthcare Providers</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Design Patent Complements Existing U.S. and European Design Patents as Feedback During Recent Meetings Continues to Support a Positive User Experience</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HINGHAM, Mass., February 23, 2023 </w:t>
      </w:r>
      <w:r>
        <w:rPr>
          <w:rFonts w:ascii="Times New Roman" w:cs="Times New Roman" w:eastAsia="Times New Roman" w:hAnsi="Times New Roman"/>
          <w:sz w:val="18"/>
          <w:szCs w:val="18"/>
          <w:color w:val="auto"/>
        </w:rPr>
        <w:t>– Microbot Medical Inc. (Nasdaq: MBOT), announced that Japan is the most recent global jurisdiction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 the unique interface design of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color w:val="auto"/>
        </w:rPr>
        <w:t xml:space="preserve"> Robotic System’s remote controller. The design patent, which was issued by the Japan Patent Office (JPO), complements similar design patent allowances in the U.S. and Europe, further strengthening the Company’s global intellectual property (IP) portfolio.</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ability to perform an endovascular procedure remotely, while reducing radiation exposure and the physical strain due to wearing a lead vest for an extensive period of time, is a major benefit to the physician and patients,” commented Dr. Eyal Morag, Chief Medical Officer. “By eliminating these issues, it allows the healthcare provider to better focus on delivering the best patient care to achieve better outcomes.”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recent pivotal animal study, as well as other physician-sponsored lab sessions with multiple Key Opinion Leaders in Europe and the Americas, when using the LIBERTY Robotic System physicians were given the option to use the remote-controlled activation from the safety and convenience of the cath-lab control room.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R&amp;D team spent a considerable amount of time designing the remote controller for the LIBERTY Robotic System and the recognition by Japan, along with other jurisdictions, proves that the design is unique and innovative,” commented Simon Sharon, General Manager and Chief Technology Officer. “We developed a controller that is ergonomic, and we believe is ready to meet the demands of the interventional radiologist community, aimed to allow users to perform procedures, safely and away from the radiation source.”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w:t>
      </w:r>
    </w:p>
    <w:p>
      <w:pPr>
        <w:spacing w:after="0" w:line="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technologies, the outcome of its studies to evaluate LIBERTY, the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technologies and other existing and future technologies, any failure or inability to recruit physicians and clinicians to serve as primary investigators to conduct regulatory studies which could adversely affect or delay such studies, uncertainty in the results of pre-clinical studies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2023-02-23T07:35:41Z</dcterms:created>
  <dcterms:modified xsi:type="dcterms:W3CDTF">2023-02-23T07:35:41Z</dcterms:modified>
</cp:coreProperties>
</file>