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6,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by Microbot Medical Inc. (the “Company”), on June 10, 2021, the Company entered into an At-the-Market Offering Agreement, as amended on July 1, 2024 (the “ATM Agreement”) with H.C. Wainwright &amp; Co. LLC (“Wainwright”), as sales agent, in connection with an “at the market offering” under which the Company may offer and sell, from time to time in its sole discretion, shares of its common stock having an aggregate offering price of up to $4,819,905 at market prices or as otherwise agreed with Wainwright. The compensation to Wainwright for sales of the shares is a placement fee of 3.0% of the gross sales price of the shares of common stock sold pursuant to this ATM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the Company filed with the SEC a prospectus supplement relating to the offer, issuance and sale of up to $4,819,905 of the Company’s shares of common stock pursuant to the ATM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 January 3, 2025, the Company issued and sold an aggregate of 4,276,486 shares of the Company’s common stock pursuant to the ATM Agreement, for total gross proceeds of $4,819,278 before deducting aggregate placement fees of $144,578 and other offering expenses. Accordingly, the Company is no longer selling any further shares of its common stock under the ATM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January 3, 2025, after taking into account the issuance of all of the shares sold under the ATM Agreement, the Company had 20,242,119 shares of its common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Update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currently holds an intellectual property portfolio of 16 patents issued/allowed and 59 patent applications pending worldwide. The Company also holds 11 design patents issued/allowed and 3 design patents pending worldwide. It also has registered trademarks in Israel, Europe, UK and</w:t>
      </w:r>
    </w:p>
    <w:p>
      <w:pPr>
        <w:jc w:val="both"/>
        <w:spacing w:after="0" w:line="221" w:lineRule="auto"/>
        <w:rPr>
          <w:sz w:val="20"/>
          <w:szCs w:val="20"/>
          <w:color w:val="auto"/>
        </w:rPr>
      </w:pPr>
      <w:r>
        <w:rPr>
          <w:rFonts w:ascii="Times New Roman" w:cs="Times New Roman" w:eastAsia="Times New Roman" w:hAnsi="Times New Roman"/>
          <w:sz w:val="18"/>
          <w:szCs w:val="18"/>
          <w:color w:val="auto"/>
        </w:rPr>
        <w:t>the U.S.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also has trademarks relating to its proprietary Microbot Medical wordmark and logo registered in the U.S., Israel, Europe, and UK, in addition to having registered trademarks for the “One &amp; Done” wordmark in Israel, Europe, the U.S., UK, and Japan. The Company also has a registered trademark in the U.S. for the NovaCross trademark.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2025-01-06T06:08:10Z</dcterms:created>
  <dcterms:modified xsi:type="dcterms:W3CDTF">2025-01-06T06:08:10Z</dcterms:modified>
</cp:coreProperties>
</file>