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229870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21, 2005</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StemCells, Inc.</w:t>
      </w: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967" w:right="359" w:bottom="1440" w:gutter="0" w:footer="0" w:header="0"/>
        </w:sectPr>
      </w:pP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(State or other</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jurisdiction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100"/>
        <w:spacing w:after="0"/>
        <w:rPr>
          <w:sz w:val="20"/>
          <w:szCs w:val="20"/>
          <w:color w:val="auto"/>
        </w:rPr>
      </w:pPr>
      <w:r>
        <w:rPr>
          <w:rFonts w:ascii="Arial" w:cs="Arial" w:eastAsia="Arial" w:hAnsi="Arial"/>
          <w:sz w:val="18"/>
          <w:szCs w:val="18"/>
          <w:b w:val="1"/>
          <w:bCs w:val="1"/>
          <w:color w:val="auto"/>
        </w:rPr>
        <w:t>0-19871</w:t>
      </w:r>
    </w:p>
    <w:p>
      <w:pPr>
        <w:spacing w:after="0" w:line="27"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(Commission</w:t>
      </w:r>
    </w:p>
    <w:p>
      <w:pPr>
        <w:spacing w:after="0" w:line="32"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0" w:lineRule="exact"/>
        <w:rPr>
          <w:sz w:val="20"/>
          <w:szCs w:val="20"/>
          <w:color w:val="auto"/>
        </w:rPr>
      </w:pPr>
    </w:p>
    <w:p>
      <w:pPr>
        <w:sectPr>
          <w:pgSz w:w="11900" w:h="16838" w:orient="portrait"/>
          <w:cols w:equalWidth="0" w:num="3">
            <w:col w:w="4520" w:space="720"/>
            <w:col w:w="3080" w:space="720"/>
            <w:col w:w="2260"/>
          </w:cols>
          <w:pgMar w:left="240" w:top="967" w:right="35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of incorporation)</w:t>
      </w:r>
    </w:p>
    <w:p>
      <w:pPr>
        <w:sectPr>
          <w:pgSz w:w="11900" w:h="16838" w:orient="portrait"/>
          <w:cols w:equalWidth="0" w:num="1">
            <w:col w:w="11300"/>
          </w:cols>
          <w:pgMar w:left="240" w:top="967" w:right="359" w:bottom="1440" w:gutter="0" w:footer="0" w:header="0"/>
          <w:type w:val="continuous"/>
        </w:sectPr>
      </w:pPr>
    </w:p>
    <w:p>
      <w:pPr>
        <w:spacing w:after="0" w:line="230" w:lineRule="exact"/>
        <w:rPr>
          <w:sz w:val="20"/>
          <w:szCs w:val="20"/>
          <w:color w:val="auto"/>
        </w:rPr>
      </w:pPr>
    </w:p>
    <w:p>
      <w:pPr>
        <w:jc w:val="center"/>
        <w:ind w:right="2160"/>
        <w:spacing w:after="0"/>
        <w:rPr>
          <w:sz w:val="20"/>
          <w:szCs w:val="20"/>
          <w:color w:val="auto"/>
        </w:rPr>
      </w:pPr>
      <w:r>
        <w:rPr>
          <w:rFonts w:ascii="Arial" w:cs="Arial" w:eastAsia="Arial" w:hAnsi="Arial"/>
          <w:sz w:val="16"/>
          <w:szCs w:val="16"/>
          <w:b w:val="1"/>
          <w:bCs w:val="1"/>
          <w:color w:val="auto"/>
        </w:rPr>
        <w:t>3155 Porter Drive, Palo Alto, California</w:t>
      </w:r>
    </w:p>
    <w:p>
      <w:pPr>
        <w:spacing w:after="0" w:line="50" w:lineRule="exact"/>
        <w:rPr>
          <w:sz w:val="20"/>
          <w:szCs w:val="20"/>
          <w:color w:val="auto"/>
        </w:rPr>
      </w:pPr>
    </w:p>
    <w:p>
      <w:pPr>
        <w:jc w:val="center"/>
        <w:ind w:right="216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200"/>
        <w:spacing w:after="0"/>
        <w:rPr>
          <w:sz w:val="20"/>
          <w:szCs w:val="20"/>
          <w:color w:val="auto"/>
        </w:rPr>
      </w:pPr>
      <w:r>
        <w:rPr>
          <w:rFonts w:ascii="Arial" w:cs="Arial" w:eastAsia="Arial" w:hAnsi="Arial"/>
          <w:sz w:val="18"/>
          <w:szCs w:val="18"/>
          <w:b w:val="1"/>
          <w:bCs w:val="1"/>
          <w:color w:val="auto"/>
        </w:rPr>
        <w:t>94304</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11" w:lineRule="exact"/>
        <w:rPr>
          <w:sz w:val="20"/>
          <w:szCs w:val="20"/>
          <w:color w:val="auto"/>
        </w:rPr>
      </w:pPr>
    </w:p>
    <w:p>
      <w:pPr>
        <w:sectPr>
          <w:pgSz w:w="11900" w:h="16838" w:orient="portrait"/>
          <w:cols w:equalWidth="0" w:num="2">
            <w:col w:w="7580" w:space="720"/>
            <w:col w:w="3000"/>
          </w:cols>
          <w:pgMar w:left="240" w:top="967" w:right="359" w:bottom="1440" w:gutter="0" w:footer="0" w:header="0"/>
          <w:type w:val="continuous"/>
        </w:sect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On April 21, 2005, StemCells, Inc. (the “Company”) entered into a Second Amendment to Lease by and between The Board of Trustees of Leland Stanford Junior University and the Company (the “Lease Amendment”) regarding the lease of the Company’s primary office and research facility located at 3155 Porter Drive, Palo Alto, California. The Lease Amendment, effective as of April 1, 2005, extends the term of the lease through March 31, 2010, includes an immediately effective reduction in the rent per square foot, provides for an expansion of the leased premises by approximately 28,000 additional square feet effective July 1, 2006, and provides the Company a renewal option to extend the term of the lease through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Martin McGlynn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2005</w:t>
      </w:r>
    </w:p>
    <w:sectPr>
      <w:pgSz w:w="11900" w:h="16838" w:orient="portrait"/>
      <w:cols w:equalWidth="0" w:num="1">
        <w:col w:w="10520"/>
      </w:cols>
      <w:pgMar w:left="240" w:top="93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2019-12-11T22:46:01Z</dcterms:created>
  <dcterms:modified xsi:type="dcterms:W3CDTF">2019-12-11T22:46:01Z</dcterms:modified>
</cp:coreProperties>
</file>