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142875</wp:posOffset>
            </wp:positionV>
            <wp:extent cx="253746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$10,000,000 of Common Stock</w:t>
      </w:r>
    </w:p>
    <w:p>
      <w:pPr>
        <w:spacing w:after="0" w:line="229"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entered into an At The Market Offering Agreement, or sales agreement, with H.C. Wainwright &amp; Co., LLC, or Wainwright, dated June 10, 2021, relating to the sale of shares of our common stock offered by this prospectus supplement and the accompanying prospectus. In accordance with the terms of the sales agreement, we may offer and sell shares of our common stock having an aggregate offering price of up to $10,000,000 from time to time through Wainwright, acting as sales agent, under this prospectus supplement and the accompanying prospectus.</w:t>
      </w:r>
    </w:p>
    <w:p>
      <w:pPr>
        <w:spacing w:after="0" w:line="17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On June 8, 2021, the last reported sale price of our common stock on The Nasdaq Capital Market was $7.48 per share.</w:t>
      </w:r>
    </w:p>
    <w:p>
      <w:pPr>
        <w:spacing w:after="0" w:line="170" w:lineRule="exact"/>
        <w:rPr>
          <w:sz w:val="24"/>
          <w:szCs w:val="24"/>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registration statement to which this prospectus supplement forms a part contains a prospectus which covers the offering, issuance and sale by us of up to $75,000,000 in the aggregate of our common stock, preferred stock, warrants, debt securities, rights and units from time to time in one or more offerings, which we refer to as the base prospectus. The $10,000,000 of common stock that may be offered, issued and sold under this prospectus supplement is included in the $75,000,000 of securities that may be offered, issued and sold by us under the base prospectus. This prospectus supplement should be read in conjunction with the base prospectus, and is qualified by reference thereto, except to the extent that the information herein amends or supersedes the information contained in the base prospectus. This prospectus supplement is not complete without, and may only be delivered or utilized in connection with, the base prospectus and any future amendments or supplements thereto.</w:t>
      </w:r>
    </w:p>
    <w:p>
      <w:pPr>
        <w:spacing w:after="0" w:line="177"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our delivery of a placement notice and subject to the terms and conditions of the sales agreement, Wainwright may sell shares of our common stock under this prospectus supplement by any method permitted that is deemed an “at the market offering” as defined in Rule 415 under the Securities Act of 1933, as amended, or the Securities Act, including sales made directly on the Nasdaq Capital Market or sales made to or through a market maker other than on an exchange, at market prices prevailing at the time of sale or in negotiated transactions. If we and Wainwright agree on any method of distribution other than sales of shares of our common stock into the Nasdaq Capital Market or another existing trading market in the United States at market prices, we will file a further prospectus supplement providing all information about such offering as required by Rule 424(b) under the Securities Act. Wainwright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6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pay Wainwright a commission of 3.0% of the gross proceeds of the sales price per share. In connection with the sale of common stock on our behalf pursuant to this prospectus supplement and the accompanying prospectus, Wainwright will be deemed to be an “underwriter” within the meaning of the Securities Act and the compensation of Wainwright will be deemed to be underwriting commissions or discounts. We have agreed to provide indemnification and contribution to Wainwright against certain civil liabilities, including liabilities under the Securities Act.</w:t>
      </w:r>
    </w:p>
    <w:p>
      <w:pPr>
        <w:spacing w:after="0" w:line="171"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8, 2021, the aggregate market value of our outstanding common stock held by non-affiliates, computed by reference to the price at which our common stock was last sold on The Nasdaq Capital Market on June 8, 2021, which was $7.48 per share, was approximately $50,334,850, based on 7,108,133 shares of our outstanding common stock as of the date of this prospectus supplement, of which 6,729,258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not sold any securities pursuant to General Instruction I.B.6 of Form S-3.</w:t>
      </w:r>
    </w:p>
    <w:p>
      <w:pPr>
        <w:spacing w:after="0" w:line="160"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common stock involves certain risks. See “Risk Factors” beginning on page S-7 of this prospectus supplement and page 4 of the accompanying base prospectus and the risks and uncertainties described in the documents we file with the Securities and Exchange Commission that are incorporated by reference in this prospectus supplement for certain risks and uncertainties relating to an investment in our common stock.</w:t>
      </w:r>
    </w:p>
    <w:p>
      <w:pPr>
        <w:spacing w:after="0" w:line="180"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60" w:type="dxa"/>
            <w:vAlign w:val="bottom"/>
            <w:gridSpan w:val="4"/>
          </w:tcPr>
          <w:p>
            <w:pPr>
              <w:jc w:val="center"/>
              <w:ind w:right="2780"/>
              <w:spacing w:after="0"/>
              <w:rPr>
                <w:sz w:val="20"/>
                <w:szCs w:val="20"/>
                <w:color w:val="auto"/>
              </w:rPr>
            </w:pPr>
            <w:r>
              <w:rPr>
                <w:rFonts w:ascii="Arial" w:cs="Arial" w:eastAsia="Arial" w:hAnsi="Arial"/>
                <w:sz w:val="18"/>
                <w:szCs w:val="18"/>
                <w:b w:val="1"/>
                <w:bCs w:val="1"/>
                <w:color w:val="auto"/>
                <w:w w:val="97"/>
              </w:rPr>
              <w:t>PROSPECTUS SUPPLEMENT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0600" w:type="dxa"/>
            <w:vAlign w:val="bottom"/>
            <w:tcBorders>
              <w:top w:val="single" w:sz="8" w:color="CCEEFF"/>
            </w:tcBorders>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SPECIAL SUPPLEMENT SUMMARY</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70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93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3"/>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DILUTION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914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13"/>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WHERE YOU CAN FIND ADDITIONAL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3"/>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INCORPORATION OF CERTAIN INFORMATION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6"/>
              </w:rPr>
              <w:t>PROSPECTUS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bottom w:val="single" w:sz="8" w:color="0000EE"/>
            </w:tcBorders>
            <w:gridSpan w:val="7"/>
            <w:shd w:val="clear" w:color="auto" w:fill="CCEEFF"/>
          </w:tcPr>
          <w:p>
            <w:pPr>
              <w:spacing w:after="0" w:line="142" w:lineRule="exact"/>
              <w:rPr>
                <w:rFonts w:ascii="Arial" w:cs="Arial" w:eastAsia="Arial" w:hAnsi="Arial"/>
                <w:sz w:val="16"/>
                <w:szCs w:val="16"/>
                <w:color w:val="0000EE"/>
              </w:rPr>
            </w:pPr>
            <w:hyperlink w:anchor="page18">
              <w:r>
                <w:rPr>
                  <w:rFonts w:ascii="Arial" w:cs="Arial" w:eastAsia="Arial" w:hAnsi="Arial"/>
                  <w:sz w:val="16"/>
                  <w:szCs w:val="16"/>
                  <w:color w:val="0000EE"/>
                </w:rPr>
                <w:t>PROSPECTUS SUMMARY</w:t>
              </w:r>
            </w:hyperlink>
          </w:p>
        </w:tc>
        <w:tc>
          <w:tcPr>
            <w:tcW w:w="850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SPECIAL NOTE REGARDING FORWARD-LOOKING STATEMENTS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4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PLAN OF DISTRIBUTION</w:t>
              </w:r>
            </w:hyperlink>
          </w:p>
        </w:tc>
        <w:tc>
          <w:tcPr>
            <w:tcW w:w="85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COMMON STOCK</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PREFERRED STOCK</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4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WARRANTS</w:t>
              </w:r>
            </w:hyperlink>
          </w:p>
        </w:tc>
        <w:tc>
          <w:tcPr>
            <w:tcW w:w="74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DEBT SECURITIES</w:t>
              </w:r>
            </w:hyperlink>
          </w:p>
        </w:tc>
        <w:tc>
          <w:tcPr>
            <w:tcW w:w="75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RIGHTS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UNITS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858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98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ADDITIONAL INFORMATION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you should carefully read the accompanying base prospectus, this prospectus supplement, any supplement to this prospectus supplement, the information and documents incorporated herein by reference and the additional information under the heading “Where You Can Find Additional Information” and “Incorporation of Certain Information by Reference.” These documents contain important information that you should consider when making your investment decision.</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provide information to you about this offering of our common stock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You should rely only on this prospectus supplement and the information incorporated or deemed to be incorporated by reference in this prospectus supplement or in any free writing prospectuses we provide you. We have not, and Wainwright has not, authorized anyone to provide you with information that is in addition to, or different from, that contained or incorporated by reference in this prospectus supplement. If anyone provides you with different or inconsistent information, you should not rely on it. We are not, and Wainwright is not, offering to sell securities in any jurisdiction where the offer or sale is not permitted. You should not assume that the information contained or incorporated by reference in this prospectus supplement is accurate as of any date other than as of the date of this prospectus supplement or in the case of the documents incorporated by reference, the date of such documents regardless of the time of delivery of this prospectus supplement or any sale of our common stock. Our business, financial condition, liquidity, results of operations, and prospects may have changed since those dates.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used in this prospectus supplement, the terms “Microbot,” “we,” “our” and “us” refer to Microbot Medical Inc. and its consolidated subsidiaries, unless otherwise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supplement and the documents incorporated by reference in this prospectus supplement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53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25348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and certain CardioSert assets, are comprised of 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42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highlight w:val="white"/>
        </w:rPr>
        <w:t xml:space="preserve">The ViRob is an autonomous crawling micro-robot which can be controlled remotely or within the body. Its miniature dimensions are </w:t>
      </w:r>
      <w:r>
        <w:rPr>
          <w:rFonts w:ascii="Arial" w:cs="Arial" w:eastAsia="Arial" w:hAnsi="Arial"/>
          <w:sz w:val="18"/>
          <w:szCs w:val="18"/>
          <w:color w:val="auto"/>
        </w:rPr>
        <w:t xml:space="preserve">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w:t>
      </w:r>
      <w:r>
        <w:rPr>
          <w:rFonts w:ascii="Arial" w:cs="Arial" w:eastAsia="Arial" w:hAnsi="Arial"/>
          <w:sz w:val="18"/>
          <w:szCs w:val="18"/>
          <w:color w:val="auto"/>
          <w:highlight w:val="white"/>
        </w:rPr>
        <w:t>ViRob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61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461885"/>
                    </a:xfrm>
                    <a:prstGeom prst="rect">
                      <a:avLst/>
                    </a:prstGeom>
                    <a:noFill/>
                  </pic:spPr>
                </pic:pic>
              </a:graphicData>
            </a:graphic>
          </wp:anchor>
        </w:drawing>
        <w:t>CardioSert Technology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when integrated into the LIBERTY device, may drastically reduce procedure time and costs while enhancing the operator experience.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we announced that the Israel Intellectual Property Office issued a Notice of Allowance for our ‘One &amp; Done’ guidewire technology relating to the LIBERTY device. The allowed application covers our double guidewire technology that has already been granted in Europe and Japan.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June 2021, we announced that Giora Weisz, MD joined our Scientific Advisory Board. Dr. Weisz is a practicing interventional cardiologist and clinical researcher who has pioneered novel robotic-enhanced coronary interventions, as well as navigation and positioning technologies. His areas of expertise include cardiac catheterization, coronary artery disease and diagnostic angiography, which make his assistance an asset to Microbot as it continues to develop the LIBERTY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Robotic System.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2020 as described under the caption “Incorporation of Documents by Reference” on page S-13 of this prospectus supplement.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28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428180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highlight w:val="white"/>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025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THE OFFERING</w:t>
      </w:r>
    </w:p>
    <w:p>
      <w:pPr>
        <w:sectPr>
          <w:pgSz w:w="11900" w:h="16838" w:orient="portrait"/>
          <w:cols w:equalWidth="0" w:num="1">
            <w:col w:w="10920"/>
          </w:cols>
          <w:pgMar w:left="480" w:top="931" w:right="499" w:bottom="1440" w:gutter="0" w:footer="0" w:header="0"/>
        </w:sectPr>
      </w:pP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Up to $10,000,000 of common stock.</w:t>
      </w:r>
    </w:p>
    <w:p>
      <w:pPr>
        <w:spacing w:after="0" w:line="460" w:lineRule="exact"/>
        <w:rPr>
          <w:sz w:val="20"/>
          <w:szCs w:val="20"/>
          <w:color w:val="auto"/>
        </w:rPr>
      </w:pPr>
    </w:p>
    <w:p>
      <w:pPr>
        <w:sectPr>
          <w:pgSz w:w="11900" w:h="16838" w:orient="portrait"/>
          <w:cols w:equalWidth="0" w:num="2">
            <w:col w:w="1760" w:space="440"/>
            <w:col w:w="8720"/>
          </w:cols>
          <w:pgMar w:left="480" w:top="931" w:right="499" w:bottom="1440" w:gutter="0" w:footer="0" w:header="0"/>
          <w:type w:val="continuous"/>
        </w:sectPr>
      </w:pPr>
    </w:p>
    <w:p>
      <w:pPr>
        <w:spacing w:after="0" w:line="314"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Up to 8,445,031 shares, after giving effect to the assumed sale of 1,336,898 shares of our common stock at an assumed price of $7.48 per share, which was the closing price of our common stock on the Nasdaq Capital Market on June 8, 2021. The actual number of shares issued will vary depending on the price at which shares may be sold from time to time during this offering.</w:t>
      </w:r>
    </w:p>
    <w:p>
      <w:pPr>
        <w:spacing w:after="0" w:line="183" w:lineRule="exact"/>
        <w:rPr>
          <w:sz w:val="20"/>
          <w:szCs w:val="20"/>
          <w:color w:val="auto"/>
        </w:rPr>
      </w:pPr>
    </w:p>
    <w:p>
      <w:pPr>
        <w:sectPr>
          <w:pgSz w:w="11900" w:h="16838" w:orient="portrait"/>
          <w:cols w:equalWidth="0" w:num="2">
            <w:col w:w="1900" w:space="300"/>
            <w:col w:w="8720"/>
          </w:cols>
          <w:pgMar w:left="480" w:top="931"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Manner of offering</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Sales of shares of our common stock under this prospectus supplement may be made by any method deemed to be an “at the market offering” as defined in Rule 415 under the Securities Act. Wainwright will make all sales using commercially reasonable efforts consistent with its normal trading and sales practices. See “Plan of Distribution.”</w:t>
      </w:r>
    </w:p>
    <w:p>
      <w:pPr>
        <w:spacing w:after="0" w:line="161" w:lineRule="exact"/>
        <w:rPr>
          <w:sz w:val="20"/>
          <w:szCs w:val="20"/>
          <w:color w:val="auto"/>
        </w:rPr>
      </w:pPr>
    </w:p>
    <w:p>
      <w:pPr>
        <w:sectPr>
          <w:pgSz w:w="11900" w:h="16838" w:orient="portrait"/>
          <w:cols w:equalWidth="0" w:num="2">
            <w:col w:w="1480" w:space="720"/>
            <w:col w:w="8720"/>
          </w:cols>
          <w:pgMar w:left="480" w:top="931"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Any net proceeds from the sales of shares pursuant to this offering will be used for general corporate purposes, including working capital and capital expenditure, and may further be used to acquire, develop or in-license complementary assets. See “Use of Proceeds.”</w:t>
      </w:r>
    </w:p>
    <w:p>
      <w:pPr>
        <w:spacing w:after="0" w:line="180" w:lineRule="exact"/>
        <w:rPr>
          <w:sz w:val="20"/>
          <w:szCs w:val="20"/>
          <w:color w:val="auto"/>
        </w:rPr>
      </w:pPr>
    </w:p>
    <w:p>
      <w:pPr>
        <w:sectPr>
          <w:pgSz w:w="11900" w:h="16838" w:orient="portrait"/>
          <w:cols w:equalWidth="0" w:num="2">
            <w:col w:w="1480" w:space="720"/>
            <w:col w:w="8720"/>
          </w:cols>
          <w:pgMar w:left="480" w:top="931"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See “Risk Factors” beginning on page S-7 of this prospectus supplement and the other information included in, or incorporated by reference into, this prospectus supplement for a discussion of certain factors you should carefully consider before deciding to invest in shares of our common stock.</w:t>
      </w:r>
    </w:p>
    <w:p>
      <w:pPr>
        <w:spacing w:after="0" w:line="180" w:lineRule="exact"/>
        <w:rPr>
          <w:sz w:val="20"/>
          <w:szCs w:val="20"/>
          <w:color w:val="auto"/>
        </w:rPr>
      </w:pPr>
    </w:p>
    <w:p>
      <w:pPr>
        <w:sectPr>
          <w:pgSz w:w="11900" w:h="16838" w:orient="portrait"/>
          <w:cols w:equalWidth="0" w:num="2">
            <w:col w:w="1480" w:space="720"/>
            <w:col w:w="8720"/>
          </w:cols>
          <w:pgMar w:left="480" w:top="931" w:right="49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The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MBOT</w:t>
      </w:r>
    </w:p>
    <w:p>
      <w:pPr>
        <w:spacing w:after="0" w:line="452" w:lineRule="exact"/>
        <w:rPr>
          <w:sz w:val="20"/>
          <w:szCs w:val="20"/>
          <w:color w:val="auto"/>
        </w:rPr>
      </w:pPr>
    </w:p>
    <w:p>
      <w:pPr>
        <w:sectPr>
          <w:pgSz w:w="11900" w:h="16838" w:orient="portrait"/>
          <w:cols w:equalWidth="0" w:num="2">
            <w:col w:w="1540" w:space="660"/>
            <w:col w:w="8720"/>
          </w:cols>
          <w:pgMar w:left="480" w:top="931" w:right="49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7,108,133 shares of our common stock outstanding as of June 8, 2021 and excludes the following securities outstanding on June 8, 2021:</w:t>
      </w:r>
    </w:p>
    <w:p>
      <w:pPr>
        <w:spacing w:after="0" w:line="170" w:lineRule="exact"/>
        <w:rPr>
          <w:sz w:val="20"/>
          <w:szCs w:val="20"/>
          <w:color w:val="auto"/>
        </w:rPr>
      </w:pPr>
    </w:p>
    <w:p>
      <w:pPr>
        <w:ind w:left="66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893,222 shares of our common stock issuable upon the exercise of outstanding stock options, with exercise prices ranging from approximately $0.005 to $15.75 and having a weighted-average exercise price of $8.64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92,419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1,198,152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2,953 shares of our common stock issuable upon the exercise of outstanding warrants, with exercise prices ranging from approximately $40.50 to $2,754.00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8,082 shares of our common stock issuable upon the exercise of outstanding warrants expiring in July 2022, at an exercise price per share of $8.13;</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29,500 shares of our common stock issuable upon the exercise of outstanding warrants expiring in July 2022, at an exercise price per share of $12.50;</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 and</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Securities and Exchange Commission, and in other documents incorporated by reference to our filings with the Securities and Exchange Commission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will have broad discretion as to the use of the net proceeds from any offering by us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Microbot.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markets could depress the market price of our common stock and impair our ability to raise capital through the sale of additional equity securities. We cannot predict the effect that future sales of our common stock would have on the market price of our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 and, therefore, any return on your investment in our common stock must come from increases in the fair market value and trading price of our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present time, we intend to use available funds to finance our operations. Accordingly, we have no present intention of paying any cash dividends on our common stock in the foreseeable future. Therefore, any return on your investment in our common stock must come from increases in the fair market value and trading price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The shares of common stock offered under this prospectus supplement and the accompanying base prospectus may be sold in “at the market” offerings, and investors who buy shares at different times will likely pay different prices.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Investors who purchase shares under this prospectus supplement and the accompanying base prospectus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sales agreement, at any one time or in total, is uncertain.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sales notice to Wainwright at any time throughout the term of the sales agreement. The number of shares that are sold by Wainwright after we deliver a sales notice will fluctuate based on the market price of the common stock during the sales period and limits we set with Wainwright. Because the price per share of each share sold will fluctuate based on the market price of our common stock during the sales period, it is not possible at this stage to predict the number of shares, if any, that will ultimately be issued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suffer immediate and substantial dilution in the net tangible book value per share of the common stock that you purchase in this offering.</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shares sold in this offering, if any, will be sold from time to time at various prices; however, the assumed public offering price of our common stock is substantially higher than the as adjusted net tangible book value per share of our common stock. Therefore, investors purchasing shares of our common stock in this offering will pay a price per share that substantially exceeds the as adjusted net tangible book value per share after this offering. Assuming that an aggregate of 1,336,898 shares of our common stock are sold at an assumed public offering price of $7.48 per share, the last reported sale price of our common stock on The Nasdaq Capital Market on June 8, 2021, for aggregate gross proceeds of approximately $10,000,000, and after deducting commissions and estimated offering expenses payable by us, new investors in this offering will experience immediate dilution of $3.70 per share, representing the difference between the assumed public offering price and our as adjusted net tangible book value per share after giving effect to this offering. See “Dilution” for a more detailed discussion of the dilution you would incur if you purchase shares of common stock in this offering.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may sell shares of our common stock pursuant to the sales agreement with Wainwright, which may result in aggregate gross proceeds of up to $10,000,000, or approximately $[9,550,000] in proceeds net of Wainwright’s fee and other offering expenses payable by the Company. Because there is no minimum amount of shares of our common stock that must be sold pursuant to our sales agreement with Wainwright, the actual number of shares of our common stock sold and aggregate net proceeds to us are not presently determinable and may be substantially less than the amounts set forth above.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invest in our shares of common stock, your interest in our common stock will be diluted immediately to the extent of the difference between the public offering price and the adjusted net tangible book value per share of our common stock after this offering. Net tangible book value on March 31, 2021, was approximately $22,330,000 or $3.14 per share. “Net tangible book value” is total assets minus the sum of liabilities and intangible assets. “Net tangible book value per share” is net tangible book value divided by the total number of shares outstanding.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the sale by us in this offering of 1,336,898 shares of common stock at an assumed public offering price of $7.48 per share (the closing price of our common stock as quoted on The Nasdaq Capital Market on June 8, 2021), and after deducting the estimated commissions and estimated offering expenses that we will pay, our as adjusted net tangible book value as of March 31, 2021 would have been approximately $31,879,997, or $3.78 per share of common stock. This amount represents an immediate increase in net tangible book value of $0.64 per share to existing stockholders and an immediate dilution of $3.70 per share to purchasers in this offering.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March 31, 2021</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As adjusted net tangible book value per share as of March 31, 2021 after giving effect to the offering</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offering</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bl>
    <w:p>
      <w:pPr>
        <w:spacing w:after="0" w:line="202" w:lineRule="exact"/>
        <w:rPr>
          <w:sz w:val="20"/>
          <w:szCs w:val="20"/>
          <w:color w:val="auto"/>
        </w:rPr>
      </w:pPr>
    </w:p>
    <w:p>
      <w:pPr>
        <w:jc w:val="both"/>
        <w:ind w:firstLine="1080"/>
        <w:spacing w:after="0" w:line="255" w:lineRule="auto"/>
        <w:rPr>
          <w:sz w:val="20"/>
          <w:szCs w:val="20"/>
          <w:color w:val="auto"/>
        </w:rPr>
      </w:pPr>
      <w:r>
        <w:rPr>
          <w:rFonts w:ascii="Arial" w:cs="Arial" w:eastAsia="Arial" w:hAnsi="Arial"/>
          <w:sz w:val="18"/>
          <w:szCs w:val="18"/>
          <w:color w:val="auto"/>
        </w:rPr>
        <w:t>A $0.50 increase in the assumed public offering price of the shares of common stock would increase our as adjusted net tangible book value per share after this offering by $3.85, assuming the number of shares of common stock offered by us remains the same and after deducting the estimated commissions and estimated offering expenses that we will pay, while diluting new investors by $4.13 per share. A $0.50 decrease in the assumed public offering price of the shares of common stock would decrease our as adjusted net tangible book value per share after this offering by $3.70, assuming the number of shares of common stock offered by us remains the same and after deducting the estimated commissions and estimated offering expenses that we will pay, while diluting new investors by $3.28 per share.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discussion and table are based on 7,108,133 shares of our common stock outstanding as of March 31, 2021 and exclude the following as of that date:</w:t>
      </w:r>
    </w:p>
    <w:p>
      <w:pPr>
        <w:spacing w:after="0" w:line="170"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765,722 shares of our common stock issuable upon the exercise of outstanding stock options, with exercise prices ranging from approximately $0.005 to $15.75 and having a weighted-average exercise price of $8.97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187,419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1,230,652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2,953 shares of our common stock issuable upon the exercise of outstanding warrants, with exercise prices ranging from approximately $40.50 to $2,754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8,082 shares of our common stock issuable upon the exercise of outstanding warrants expiring in July 2022, at an exercise price per share of $8.13;</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29,500 shares of our common stock issuable upon the exercise of outstanding warrants expiring in July 2022, at an exercise price per share of $12.50;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discussed above is illustrative only and will adjust based on the actual public offering price, the actual number of shares that we offer in this offering, and other terms of this offering determined at pricing. In addition, the information discussed above assumes no exercise of the underwriter’s over-allotment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our sales agreement with Wainwright, we may sell an aggregate of up to $10,000,000 of shares of our common stock from time to time through Wainwright as our agent for the offer and sale of the common stock pursuant to this prospectus supplement and the accompanying prospectus. The actual dollar amount and number of shares of common stock we sell pursuant to the sales agreement will be dependent on, among other things, market conditions and our capital requirements. Wainwright may sell the common stock by any method deemed to be an “at the market offering” as defined in Rule 415 of the Securities Act, including sales made directly on the Nasdaq Capital Market or sales made to or through a market maker other than on an exchange, at market prices prevailing at the time of sale or in negotiated transactions. If we and Wainwright agree on any method of distribution other than sales of shares of our common stock into the Nasdaq Capital Market or another existing trading market in the United States at market prices, we will file a further prospectus supplement providing all information about such offering as required by Rule 424(b) under the Securities Act. We may instruct Wainwright not to sell our common stock if the sales cannot be effected at or above the price designated by us from time to time. We or Wainwright may suspend the offering of our common stock upon notice and subject to other conditions.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time that we wish to sell common stock under the sales agreement, we will provide Wainwright with a placement notice describing the number of shares to be issued, the time period during which sales are requested to be made, any limitation on the number of shares that may be sold in any one day, any minimum price below which sales may not be made and other sales parameters as we deem appropriate.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receipt of a placement notice from us, and subject to the terms and conditions of the sales agreement, Wainwright has agreed to use its commercially reasonable efforts consistent with its normal trading and sales practices to sell such shares up to the amount specified. The settlement between us and Wainwright of each sale will occur on the second trading day following the date on which the sale was made or on such other date that is agreed upon by us and Wainwright in connection with a particular transaction. The obligation of Wainwright under the sales agreement to sell our common stock pursuant to a placement notice is subject to a number of conditions.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pay Wainwright commissions for its services in acting as agent in the sale of our common stock. Wainwright will be entitled to compensation at a commission rate of 3.0% of the gross proceeds of the sales price per share sold. Wainwright may also receive customary brokerage commissions from purchasers of the common stock in compliance with FINRA Rule 2121. Wainwright may effect sales to or through dealers, and such dealers may receive compensation in the form of discounts, concessions or commissions from Wainwright and/or purchasers of shares of common stock for whom they may act as agents or to whom they may sell as principal. In addition, we have agreed to reimburse Wainwright for fees and disbursements of its legal counsel in an amount not to exceed $50,000. We estimate that the total expenses for the offering, excluding compensation and reimbursements payable to Wainwright under the terms of the sales agreement, will be approximately $100,000.</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sale of our common stock on our behalf pursuant to this prospectus supplement and the accompanying prospectus, Wainwright will be deemed to be an “underwriter” within the meaning of the Securities Act and the compensation paid to Wainwright will be deemed to be underwriting commissions or discounts. We have agreed to provide indemnification and contribution to Wainwright against certain civil liabilities, including liabilities under the Securities Act.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required by Regulation M, Wainwright will not engage in any market making activities involving our shares of common stock while the offering is ongoing under this prospectus supplement.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Wainwright and its affiliates may in the future provide various investment banking and other financial services for us and our affiliates, for which services they may in the future receive customary fees.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our common stock as contemplated in this prospectus supplement and the accompanying prospectus will be settled through the facilities of The Depository Trust Company or by such other means as we and Wainwright may agree upon. There is no arrangement for funds to be received in escrow, trust or similar arrangement.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We will report at least quarterly the number of shares of our common stock sold through Wainwright, as our agent, in this offering and, to the extent applicable, the number of shares of our common stock issued upon settlement of any placement notice, and the net proceeds to us in connection with such sales of our common stock.</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offering of our common stock pursuant to the sales agreement will terminate on the earlier of (i) the sale of all of our common stock pursuant to this prospectus supplement, or (ii) termination of the sales agreement as permitted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is a brief summary of the material provisions of the sales agreement and does not purport to be a complete statement of its terms and conditions. We are filing a copy of the sales agreement with the Securities and Exchange Commission on a Current Report on Form 8-K concurrently with the filing of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legal matters with respect to the validity of the shares of common stock offered by this prospectus supplement have been passed upon for us by Mintz, Levin, Cohn, Ferris, Glovsky and Popeo, P.C., Boston, Massachusetts. Wainwright is being represented in connection with this offering by Ellenoff Grossman &amp; Schole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financial statements of Microbot Medical Inc. as of December 31, 2020, and for the year then ended, incorporated by reference in this prospectus supplement and the registration statement of which this prospectus supplement forms a part have been audited by Brightman Almagor Zohar &amp; Co., a firm in the Deloitte Global Network, independent registered public accounting firm, as set forth in its report thereon incorporated by reference herein, and are included in reliance upon such reports given on the authority of such firms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filed with the Securities and Exchange Commission a registration statement on Form S-3 under the Securities Act, and the rules and regulations promulgated under the Securities Act, with respect to the securities offered under this prospectus supplement. This prospectus supplement, which constitutes a part of the registration statement, does not contain all of the information contained in the registration statement and the exhibits and schedules to the registration statement. Many of the contracts and documents described in this prospectus supplement are filed as exhibits to the registration statements and you may review the full text of these contracts and documents by referring to these exhibits.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further information with respect to us and the securities offered under this prospectus supplement, reference is made to the registration statement and its exhibits and schedules. We file reports, including annual reports on Form 10-K, quarterly reports on Form 10-Q and current reports on Form 8-K with the Securities and Exchange Commission.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Securities and Exchange Commission maintains an Internet web site that contains reports, proxy and information statements and other information regarding issuers, including Microbot, that file electronically with the Securities and Exchange Commission. The Securities and Exchange Commission’s Internet website address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and Exchange Commission allows us to “incorporate by reference” the information we file with the Securities and Exchange Commission. This means that we can disclose important information to you by referring you to another filed document. Any information referred to in this way is considered part of this prospectus supplement from the date we file that document. Any reports filed by us with the Securities and Exchange Commission after the date of this prospectus supplement and before the date that the offering of the securities by means of this prospectus supplement is terminated will automatically update and, where applicable, supersede any information contained in this prospectus supplement or incorporated by reference in this prospectus supplement. Accordingly, we incorporate by reference the following documents or information filed with the Securities and Exchange Commission:</w:t>
      </w:r>
    </w:p>
    <w:p>
      <w:pPr>
        <w:spacing w:after="0" w:line="19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2020 filed with the SEC on March 31, 2021 and Amendment No. 1 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on April 14,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 that we filed with the SEC on May 17, 2021;</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(except for the information furnished under Items 2.02 or 7.01 and the exhibits furnished thereto) on: </w:t>
      </w:r>
      <w:hyperlink r:id="rId30">
        <w:r>
          <w:rPr>
            <w:rFonts w:ascii="Arial" w:cs="Arial" w:eastAsia="Arial" w:hAnsi="Arial"/>
            <w:sz w:val="18"/>
            <w:szCs w:val="18"/>
            <w:u w:val="single" w:color="auto"/>
            <w:color w:val="0000EE"/>
          </w:rPr>
          <w:t>April 7, 2021</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April 22, 2021</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May 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10, 2021</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supplement and prior to the termination of this offering, other than documents or information deemed furnished and not filed in accordance with SEC rules.</w:t>
      </w:r>
    </w:p>
    <w:p>
      <w:pPr>
        <w:spacing w:after="0" w:line="184" w:lineRule="exact"/>
        <w:rPr>
          <w:rFonts w:ascii="Arial" w:cs="Arial" w:eastAsia="Arial" w:hAnsi="Arial"/>
          <w:sz w:val="18"/>
          <w:szCs w:val="18"/>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provide, upon written or oral request, without charge to each person, including any beneficial owner, to whom a copy of this prospectus supplement is delivered, a copy of any or all of the information incorporated herein by reference (exclusive of exhibits to such documents unless such exhibits are specifically incorporated by reference herein).</w:t>
      </w:r>
    </w:p>
    <w:p>
      <w:pPr>
        <w:spacing w:after="0" w:line="184"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6"/>
          <w:szCs w:val="16"/>
          <w:color w:val="auto"/>
        </w:rPr>
        <w:t>You may request a copy of any or all of these filings, at no cost, by writing or telephoning us at: Microbot Medical Inc., 25 Recreation Park Drive,</w:t>
      </w:r>
    </w:p>
    <w:p>
      <w:pPr>
        <w:spacing w:after="0" w:line="4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Unit 108, Hingham, MA 02043; Attention: Harel Gadot; telephone number (908) 938-5561.</w:t>
      </w:r>
    </w:p>
    <w:p>
      <w:pPr>
        <w:spacing w:after="0" w:line="21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154305</wp:posOffset>
            </wp:positionV>
            <wp:extent cx="3128645" cy="1568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12864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PROSPECTUS SUMMARY</w:t>
              </w:r>
            </w:hyperlink>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5"/>
        </w:trPr>
        <w:tc>
          <w:tcPr>
            <w:tcW w:w="10600" w:type="dxa"/>
            <w:vAlign w:val="bottom"/>
            <w:gridSpan w:val="18"/>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5660" w:type="dxa"/>
            <w:vAlign w:val="bottom"/>
            <w:tcBorders>
              <w:top w:val="single" w:sz="8" w:color="0000EE"/>
            </w:tcBorders>
            <w:gridSpan w:val="16"/>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USE OF PROCEEDS</w:t>
              </w:r>
            </w:hyperlink>
          </w:p>
        </w:tc>
        <w:tc>
          <w:tcPr>
            <w:tcW w:w="4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336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WARRANTS</w:t>
              </w:r>
            </w:hyperlink>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322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RIGHTS</w:t>
              </w:r>
            </w:hyperlink>
          </w:p>
        </w:tc>
        <w:tc>
          <w:tcPr>
            <w:tcW w:w="73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5"/>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EXPERTS</w:t>
              </w:r>
            </w:hyperlink>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600" w:type="dxa"/>
            <w:vAlign w:val="bottom"/>
            <w:gridSpan w:val="18"/>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April 14, 2020 and Amendment No. 1 to our Annual Report on Form 10-K for the year ended December 31, 2019 filed on April 29, 2020;</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2020, June 30, 2020 and September 30, 2020 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(except for the information furnished under Items 2.02 or 7.01 and the exhibits furnished thereto) on: February 25, 2020, February 28, 2020, March 3, 2020, April 1, 2020, May 7, 2020, June 19, 2020, August 3, 2020 and September 4, 2020;</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154305</wp:posOffset>
            </wp:positionV>
            <wp:extent cx="2897505" cy="1457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9750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MICROBOT MEDICAL INC.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PROSPECTUS SUPPLEMENT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H.C. Wainwright &amp; Co.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supplement is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jpeg"/><Relationship Id="rId64" Type="http://schemas.openxmlformats.org/officeDocument/2006/relationships/image" Target="media/image49.png"/><Relationship Id="rId27" Type="http://schemas.openxmlformats.org/officeDocument/2006/relationships/hyperlink" Target="https://www.sec.gov/Archives/edgar/data/883975/000149315221007453/form10-k.htm" TargetMode="External"/><Relationship Id="rId28" Type="http://schemas.openxmlformats.org/officeDocument/2006/relationships/hyperlink" Target="https://www.sec.gov/Archives/edgar/data/883975/000149315221008776/form10ka.htm" TargetMode="External"/><Relationship Id="rId29" Type="http://schemas.openxmlformats.org/officeDocument/2006/relationships/hyperlink" Target="https://www.sec.gov/Archives/edgar/data/883975/000149315221011806/form10-q.htm" TargetMode="External"/><Relationship Id="rId30" Type="http://schemas.openxmlformats.org/officeDocument/2006/relationships/hyperlink" Target="https://www.sec.gov/Archives/edgar/data/883975/000149315221008148/form8-k.htm" TargetMode="External"/><Relationship Id="rId31" Type="http://schemas.openxmlformats.org/officeDocument/2006/relationships/hyperlink" Target="https://www.sec.gov/Archives/edgar/data/883975/000149315221009469/form8-k.htm" TargetMode="External"/><Relationship Id="rId32" Type="http://schemas.openxmlformats.org/officeDocument/2006/relationships/hyperlink" Target="https://www.sec.gov/Archives/edgar/data/883975/000149315221010347/form8-k.htm" TargetMode="External"/><Relationship Id="rId33" Type="http://schemas.openxmlformats.org/officeDocument/2006/relationships/hyperlink" Target="https://www.sec.gov/Archives/edgar/data/883975/000149315221014052/form8-k.htm" TargetMode="External"/><Relationship Id="rId34" Type="http://schemas.openxmlformats.org/officeDocument/2006/relationships/hyperlink" Target="https://www.sec.gov/Archives/edgar/data/883975/0001047469-98-029068.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2021-06-10T16:32:10Z</dcterms:created>
  <dcterms:modified xsi:type="dcterms:W3CDTF">2021-06-10T16:32:10Z</dcterms:modified>
</cp:coreProperties>
</file>