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February 10, 2025</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333-284688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208280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Amendment No. 1</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to</w:t>
      </w:r>
    </w:p>
    <w:p>
      <w:pPr>
        <w:jc w:val="center"/>
        <w:spacing w:after="0"/>
        <w:rPr>
          <w:sz w:val="20"/>
          <w:szCs w:val="20"/>
          <w:color w:val="auto"/>
        </w:rPr>
      </w:pPr>
      <w:r>
        <w:rPr>
          <w:rFonts w:ascii="Times New Roman" w:cs="Times New Roman" w:eastAsia="Times New Roman" w:hAnsi="Times New Roman"/>
          <w:sz w:val="32"/>
          <w:szCs w:val="32"/>
          <w:b w:val="1"/>
          <w:bCs w:val="1"/>
          <w:color w:val="auto"/>
        </w:rPr>
        <w:t>FORM S-1</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 UNDER THE SECURITIES ACT OF 1933</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2836</w:t>
            </w:r>
          </w:p>
        </w:tc>
        <w:tc>
          <w:tcPr>
            <w:tcW w:w="2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(Primary Standard Industrial</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Classification Code Number)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Number)</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288 Grove Street, Suite 388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Braintree, MA 02184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(781) 875-3605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Harel Gadot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 President and Chairman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288 Grove Street, Suite 388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Braintree, MA 02184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(781) 875-3605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including zip code and telephone number, including area code, of agent for service)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Stephen E. Fox,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Ruskin Moscou Faltischek, PC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1425 RXR Plaza</w:t>
      </w:r>
    </w:p>
    <w:p>
      <w:pPr>
        <w:jc w:val="center"/>
        <w:spacing w:after="0" w:line="192" w:lineRule="auto"/>
        <w:rPr>
          <w:sz w:val="20"/>
          <w:szCs w:val="20"/>
          <w:color w:val="auto"/>
        </w:rPr>
      </w:pPr>
      <w:r>
        <w:rPr>
          <w:rFonts w:ascii="Times New Roman" w:cs="Times New Roman" w:eastAsia="Times New Roman" w:hAnsi="Times New Roman"/>
          <w:sz w:val="18"/>
          <w:szCs w:val="18"/>
          <w:b w:val="1"/>
          <w:bCs w:val="1"/>
          <w:color w:val="auto"/>
        </w:rPr>
        <w:t>15</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xml:space="preserve"> Floor, East Tower</w:t>
      </w:r>
    </w:p>
    <w:p>
      <w:pPr>
        <w:jc w:val="center"/>
        <w:spacing w:after="0"/>
        <w:rPr>
          <w:sz w:val="20"/>
          <w:szCs w:val="20"/>
          <w:color w:val="auto"/>
        </w:rPr>
      </w:pPr>
      <w:r>
        <w:rPr>
          <w:rFonts w:ascii="Times New Roman" w:cs="Times New Roman" w:eastAsia="Times New Roman" w:hAnsi="Times New Roman"/>
          <w:sz w:val="18"/>
          <w:szCs w:val="18"/>
          <w:b w:val="1"/>
          <w:bCs w:val="1"/>
          <w:color w:val="auto"/>
        </w:rPr>
        <w:t>Uniondale, NY 11556</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(516) 663-6600</w:t>
      </w:r>
    </w:p>
    <w:p>
      <w:pPr>
        <w:spacing w:after="0" w:line="203"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Approximate date of commencement of proposed sale to the public</w:t>
      </w:r>
      <w:r>
        <w:rPr>
          <w:rFonts w:ascii="Times New Roman" w:cs="Times New Roman" w:eastAsia="Times New Roman" w:hAnsi="Times New Roman"/>
          <w:sz w:val="18"/>
          <w:szCs w:val="18"/>
          <w:color w:val="auto"/>
        </w:rPr>
        <w:t>: From time to time after the effective date of this registration statement.</w:t>
      </w:r>
    </w:p>
    <w:p>
      <w:pPr>
        <w:spacing w:after="0" w:line="229" w:lineRule="exact"/>
        <w:rPr>
          <w:sz w:val="24"/>
          <w:szCs w:val="24"/>
          <w:color w:val="auto"/>
        </w:rPr>
      </w:pPr>
    </w:p>
    <w:p>
      <w:pPr>
        <w:jc w:val="both"/>
        <w:ind w:right="20"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as amended (the “Securities Act”),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right="20"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441" w:right="339" w:bottom="635" w:gutter="0" w:footer="0" w:header="0"/>
        </w:sectPr>
      </w:pP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Accelerated filer</w:t>
      </w:r>
    </w:p>
    <w:p>
      <w:pPr>
        <w:spacing w:after="0" w:line="2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2"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4900" w:space="720"/>
            <w:col w:w="5620"/>
          </w:cols>
          <w:pgMar w:left="320" w:top="441" w:right="339" w:bottom="635" w:gutter="0" w:footer="0" w:header="0"/>
          <w:type w:val="continuous"/>
        </w:sectPr>
      </w:pPr>
    </w:p>
    <w:p>
      <w:pPr>
        <w:spacing w:after="0" w:line="17"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41" w:right="339" w:bottom="635"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Other Expenses of Issuance and Distribution.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all costs and expenses paid or payable by us in connection with the sale of the common stock being registered. None of these costs or expenses will be borne by the selling stockholders. All amounts shown are estimates except for the Securities and Exchange Commission, or “SEC,” registration fee.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Amount Paid</w:t>
            </w:r>
          </w:p>
        </w:tc>
      </w:tr>
      <w:tr>
        <w:trPr>
          <w:trHeight w:val="238"/>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Expense</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or to be Paid</w:t>
            </w:r>
          </w:p>
        </w:tc>
      </w:tr>
      <w:tr>
        <w:trPr>
          <w:trHeight w:val="209"/>
        </w:trPr>
        <w:tc>
          <w:tcPr>
            <w:tcW w:w="90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4,864.51</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Printing expenses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1,000.00*</w:t>
            </w:r>
          </w:p>
        </w:tc>
      </w:tr>
      <w:tr>
        <w:trPr>
          <w:trHeight w:val="216"/>
        </w:trPr>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10,000.00*</w:t>
            </w:r>
          </w:p>
        </w:tc>
      </w:tr>
      <w:tr>
        <w:trPr>
          <w:trHeight w:val="216"/>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15,000.00*</w:t>
            </w:r>
          </w:p>
        </w:tc>
      </w:tr>
      <w:tr>
        <w:trPr>
          <w:trHeight w:val="229"/>
        </w:trPr>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 expenses</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4,135.49*</w:t>
            </w:r>
          </w:p>
        </w:tc>
      </w:tr>
      <w:tr>
        <w:trPr>
          <w:trHeight w:val="223"/>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Pr>
          <w:p>
            <w:pPr>
              <w:spacing w:after="0"/>
              <w:rPr>
                <w:sz w:val="19"/>
                <w:szCs w:val="19"/>
                <w:color w:val="auto"/>
              </w:rPr>
            </w:pPr>
          </w:p>
        </w:tc>
        <w:tc>
          <w:tcPr>
            <w:tcW w:w="26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35,000.00</w:t>
            </w: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r>
      <w:tr>
        <w:trPr>
          <w:trHeight w:val="20"/>
        </w:trPr>
        <w:tc>
          <w:tcPr>
            <w:tcW w:w="9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Estimated, as permitted under Item 511 of Regulation S-K.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Indemnification of Directors and Officers.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Section 145 of the Delaware General Corporation Law (“DGCL”) permits, in general, a Delaware corporation, to indemnify any person who was or is a party to any proceeding (other than an action by, or in the right of, the corporation) by reason of the fact that or she is or was a director, or officer, of the corporation, or served another business enterprise in any capacity at the request of the corporation, against liability incurred in connection with such proceeding, including the expenses (including attorneys’ fees), judgments, fines and amounts paid in settlement actually and reasonably incurred by him in connection with such proceeding if such person acted in good faith and in a manner he or she reasonably believed to be in, or not opposed to, the best interests of the corporation and, in criminal actions or proceedings, additionally had no reasonable cause to believe that his or her conduct was unlawful. A Delaware corporation’s power to indemnify applies to actions brought by or in the right of the corporation, but only to the extent of expenses (including attorneys’ fees) actually and reasonably incurred by the person in connection with the defense or settlement of the action or suit, provided that no indemnification shall be provided in such actions in the event of any adjudication of negligence or misconduct in the performance of such person’s duties to the corporation, unless a court believes that in light of all the circumstances indemnification should apply. Section 145 of the DGCL also permits, in general, a Delaware corporation to purchase and maintain insurance on behalf of any person who is or was a director or officer of the corporation, or served another entity in any capacity at the request of the corporation, against liability incurred by such person in such capacity, whether or not the corporation would have the power to indemnify such person against such liability.</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Section 102(b)(7) of the DGCL permits a corporation to include in its certificate of incorporation a provision eliminating or limiting the personal liability of a director to the corporation or its stockholders for monetary damages for breach of fiduciary duty as a director, provided that such provision shall not eliminate or limit the liability of a director (i) for any breach of the director’s duty of loyalty to the corporation or its stockholders, (ii) for acts or omissions not in good faith or that involve intentional misconduct or a knowing violation of law, (iii) under Section 174 of the DGCL or (iv) for any transaction from which the director derived an improper personal benefit.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restated certificate of incorporation provides that the Company’s directors shall not be liable to the Company or its stockholders for monetary damages for breach of fiduciary duty as a director except to the extent that exculpation from liabilities is not permitted under the DGCL as in effect at the time such liability is determined. The Company’s restated certificate of incorporation further provides that the Company shall indemnify its directors and officers to the fullest extent permitted by the DGCL.</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both"/>
        <w:spacing w:after="0" w:line="266" w:lineRule="auto"/>
        <w:rPr>
          <w:sz w:val="20"/>
          <w:szCs w:val="20"/>
          <w:color w:val="auto"/>
        </w:rPr>
      </w:pPr>
      <w:r>
        <w:rPr>
          <w:rFonts w:ascii="Times New Roman" w:cs="Times New Roman" w:eastAsia="Times New Roman" w:hAnsi="Times New Roman"/>
          <w:sz w:val="18"/>
          <w:szCs w:val="18"/>
          <w:color w:val="auto"/>
        </w:rPr>
        <w:t>We maintain a directors’ and officers’ insurance policy pursuant to which our directors and officers are insured against liability for actions taken in their capacities as directors and officers. We believe that these indemnification provisions and insurance are necessary to attract and retain qualified directors and officers.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entered into indemnification agreements with each of its directors and executive officers. These indemnification agreements may require the Company, among other things, to indemnify its directors and officers for some expenses, including attorneys’ fees, judgments, fines and settlement amounts incurred by a director or officer in any action or proceeding arising out of his or her service as one of the Company’s directors or officers, or any of its subsidiaries or any other company or enterprise to which the person provides services at our request.</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any underwriting agreement we enter into in connection with the sale of common stock being registered hereby, the underwriter will agree to indemnify, under certain conditions, us, our directors, our officers and persons who control us within the meaning of the Securities Act of 1933, as amended, against certain liabilities.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18, 2020, 14,685 outstanding warrants of the Company at an exercise price per share of $8.125, were exercised on a “net exercise” or “cashless” basis into 4,873 shares of common stock. The issuances of the 4,873 shares of common stock were exempt from registration under Section 4(a)(2) under the Securities Act of 1933, as amended and the rules promulgated thereunder (the “Securities Act”) as a transaction not involving a public offering to a single investor, and/or 3(a)(9) under the Securities Act.</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October 25, 2022, the Company sold in a private placement and issued to an investor (i) Series A preferred investment options to purchase up to 1,022,495 shares of Common Stock (the “Series A Warrants”) at an exercise price of $4.64 per share and (ii) Series B preferred investment options to purchase up to 1,022,495 shares of Common Stock (the “Series B Warrants” and, together with the Series A Warrants, the “Common Warrants”) at an exercise price of $4.64 per share. The Common Warrants and the shares of Common Stock issuable upon the exercise of the Common Warrants were offered pursuant to the exemption provided in Section 4(a)(2) under the Securities Act, and Rule 506(b) promulgated thereunder. In connection with such private placement, the Company issued to the placement agent or its designees warrants to purchase 51,125 shares of Common Stock at an exercise price of $6.1125 per share. Such placement agent warrants and the shares of Common Stock issuable upon the exercise of the placement agent warrants were offered pursuant to the exemption provided in Section 4(a)(2) under the Securities Act.</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23, 2023, in connection with a public offering of its securities, the Company issued to the placement agent or its designees warrants to purchase 32,778 shares of Common Stock at an exercise price of $2.75 per share. Such placement agent warrants and the shares of Common Stock issuable upon the exercise of the Common Warrants were offered pursuant to the exemption provided in Section 4(a)(2) under the Securities Act.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24, 2023, in connection with a public offering of its securities, the Company issued to the placement agent or its designees warrants to purchase 60,476 shares of Common Stock at an exercise price of $2.75 per share. Such placement agent warrants and the shares of Common Stock issuable upon the exercise of the Common Warrants were offered pursuant to the exemption provided in Section 4(a)(2) under the Securities Act.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6, 2023, the Company sold in a private placement and issued to an investor Series C preferred investment options to purchase up to 350,878 shares of Common Stock at an exercise price of $2.075 per share. Such Series C preferred investment options and the shares of Common Stock issuable upon the exercise of the Series C preferred investment options were offered pursuant to the exemption provided in Section 4(a)(2) under the Securities Act, and Rule 506(b) promulgated thereunder. In connection with such private placement, the Company issued to the placement agent or its designees warrants to purchase 35,088 shares of Common Stock at an exercise price of $2.6719 per share. Such placement agent warrants and the shares of Common Stock issuable upon the exercise of the placement agent warrants were offered pursuant to the exemption provided in Section 4(a)(2) under the Securities Act.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16, 2023, the Company issued 385,246 to the holder of the Company’s Series B preferred investment options pursuant to the cashless exercise provision therein. Such shares of Common Stock issuable upon the exercise of the Series B preferred investment options were offered pursuant to the exemption provided in Section 4(a)(2) under the Securities Act.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p>
      <w:pPr>
        <w:jc w:val="both"/>
        <w:spacing w:after="0" w:line="256" w:lineRule="auto"/>
        <w:rPr>
          <w:sz w:val="20"/>
          <w:szCs w:val="20"/>
          <w:color w:val="auto"/>
        </w:rPr>
      </w:pPr>
      <w:r>
        <w:rPr>
          <w:rFonts w:ascii="Times New Roman" w:cs="Times New Roman" w:eastAsia="Times New Roman" w:hAnsi="Times New Roman"/>
          <w:sz w:val="18"/>
          <w:szCs w:val="18"/>
          <w:color w:val="auto"/>
        </w:rPr>
        <w:t>On June 28, 2023, the Company sold in a private placement and issued to an investor Series D preferred investment options to purchase up to 312,309 shares of Common Stock at an exercise price of $3.19 per share. Such Series D preferred investment options and the shares of Common Stock issuable upon the exercise of the Series D preferred investment options were offered pursuant to the exemption provided in Section 4(a)(2) under the Securities Act, and Rule 506(b) promulgated thereunder. In connection with such private placement, the Company issued to the placement agent or its designees warrants to purchase 31,231 shares of Common Stock at an exercise price of $4.0625 per share. Such placement agent warrants and the shares of Common Stock issuable upon the exercise of the placement agent warrants were offered pursuant to the exemption provided in Section 4(a)(2) under the Securities Act.</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January 3, 2024, the Company issued, in a private placement, Series E preferred investment options to purchase up to 1,685,682 shares of Common Stock at an exercise price per share of $1.50, pursuant to a preferred investment option exercise inducement offer, to the holders of certain outstanding preferred investment options of the Company. Such Series D preferred investment options and the shares of Common Stock issuable upon the exercise of the Series D preferred investment options were offered pursuant to the exemption provided in Section 4(a)(2) under the Securities Act. In connection with the inducement offer, the Company issued to the placement agent or its designees warrants to purchase an aggregate of 84,284 shares of Common Stock at an exercise price of $2.025 per share. Such placement agent warrants and the shares of Common Stock issuable upon the exercise of the placement agent warrants were offered pursuant to the exemption provided in Section 4(a)(2) under the Securities Act.</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January 26, 2024, the Company issued an aggregate of 1,005,965 shares of restricted Common Stock (the “Settlement Shares”), as partial settlement to the plaintiffs in the lawsuit entitled Empery Asset Master Ltd., Empery Tax Efficient, LP, Empery Tax Efficient II, LP, Hudson Bay Master Fund Ltd., Plaintiffs, against Microbot Medical Inc., Defendant, in the Supreme Court of the State of New York, County of New York (Index No. 651182/2020). The Settlement Shares were issued pursuant to the exemption from the registration requirements of the Securities Act available under Section 4(a)(2) as a transaction by an issuer not involving any public offering.</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4, 2024, the Company sold in a private placement and issued to investors Series F preferred investment options to purchase up to 3,133,338 shares of Common Stock at an exercise price of $1.50 per share. Such Series F preferred investment options and the shares of Common Stock issuable upon the exercise of the Series F preferred investment options were offered pursuant to the exemption provided in Section 4(a)(2) under the Securities Act, and Rule 506(b) promulgated thereunder. In connection with such private placement, the Company issued to the placement agent or its designees warrants to purchase 78,333 shares of Common Stock at an exercise price of $1.875 per share. Such placement agent warrants and the shares of Common Stock issuable upon the exercise of the placement agent warrants were offered pursuant to the exemption provided in Section 4(a)(2) under the Securities Act.</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January 7, 2025, the Company sold in a private placement and issued to investors Series G preferred investment options to purchase up to 8,000,002 shares of Common Stock at an exercise price of $1.75 per share. Such Series G preferred investment options and the shares of Common Stock issuable upon the exercise of the Series G preferred investment options were offered pursuant to the exemption provided in Section 4(a)(2) under the Securities Act, and Rule 506(b) promulgated thereunder. In connection with such private placement, the Company issued to the placement agent or its designees warrants to purchase 200,000 shares of Common Stock at an exercise price of $2.1875 per share. Such placement agent warrants and the shares of Common Stock issuable upon the exercise of the placement agent warrants were offered pursuant to the exemption provided in Section 4(a)(2) under the Securities Act.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8, 2025, the Company issued 610,517 shares of Common Stock to the holder of the Company’s Series E preferred investment options at an exercise price per share of $1.50. Such shares of Common Stock issuable upon the exercise of the Series E preferred investment options were offered pursuant to the exemption provided in Section 4(a)(2) under the Securities Act.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January 10, 2025, the Company sold in a private placement and issued to investors Series H preferred investment options to purchase up to 7,577,100 shares of Common Stock at an exercise price of $2.10 per share. Such Series H preferred investment options and the shares of Common Stock issuable upon the exercise of the Series H preferred investment options were offered pursuant to the exemption provided in Section 4(a)(2) under the Securities Act, and Rule 506(b) promulgated thereunder. In connection with such private placement, the Company issued to the placement agent or its designees warrants to purchase 189,428 shares of Common Stock at an exercise price of $2.8375 per share. Such placement agent warrants and the shares of Common Stock issuable upon the exercise of the placement agent warrants were offered pursuant to the exemption provided in Section 4(a)(2) under the Securities Act.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Item 16. Exhibits and Financial Statement Schedules.</w:t>
      </w:r>
    </w:p>
    <w:p>
      <w:pPr>
        <w:spacing w:after="0" w:line="225" w:lineRule="exact"/>
        <w:rPr>
          <w:sz w:val="20"/>
          <w:szCs w:val="20"/>
          <w:color w:val="auto"/>
        </w:rPr>
      </w:pPr>
    </w:p>
    <w:p>
      <w:pPr>
        <w:ind w:left="1300" w:hanging="968"/>
        <w:spacing w:after="0"/>
        <w:tabs>
          <w:tab w:leader="none" w:pos="130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documents set forth below are filed herewith or incorporated by reference to the location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6480" w:type="dxa"/>
            <w:vAlign w:val="bottom"/>
            <w:tcBorders>
              <w:bottom w:val="single" w:sz="8" w:color="auto"/>
            </w:tcBorders>
            <w:gridSpan w:val="10"/>
          </w:tcPr>
          <w:p>
            <w:pPr>
              <w:ind w:left="460"/>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r>
      <w:tr>
        <w:trPr>
          <w:trHeight w:val="169"/>
        </w:trPr>
        <w:tc>
          <w:tcPr>
            <w:tcW w:w="9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2.1</w:t>
            </w:r>
          </w:p>
        </w:tc>
        <w:tc>
          <w:tcPr>
            <w:tcW w:w="12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10120" w:type="dxa"/>
            <w:vAlign w:val="bottom"/>
            <w:tcBorders>
              <w:bottom w:val="single" w:sz="8" w:color="0000EE"/>
            </w:tcBorders>
            <w:gridSpan w:val="17"/>
          </w:tcPr>
          <w:p>
            <w:pPr>
              <w:spacing w:after="0" w:line="169" w:lineRule="exact"/>
              <w:rPr>
                <w:rFonts w:ascii="Times New Roman" w:cs="Times New Roman" w:eastAsia="Times New Roman" w:hAnsi="Times New Roman"/>
                <w:sz w:val="18"/>
                <w:szCs w:val="18"/>
                <w:color w:val="0000EE"/>
              </w:rPr>
            </w:pPr>
            <w:hyperlink r:id="rId17">
              <w:r>
                <w:rPr>
                  <w:rFonts w:ascii="Times New Roman" w:cs="Times New Roman" w:eastAsia="Times New Roman" w:hAnsi="Times New Roman"/>
                  <w:sz w:val="18"/>
                  <w:szCs w:val="18"/>
                  <w:color w:val="0000EE"/>
                </w:rPr>
                <w:t>Agreement and Plan of Merger and Reorganization, dated as of August 15, 2016, by and among StemCells, Inc., C&amp;RD Israel Ltd. and</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9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7">
              <w:r>
                <w:rPr>
                  <w:rFonts w:ascii="Times New Roman" w:cs="Times New Roman" w:eastAsia="Times New Roman" w:hAnsi="Times New Roman"/>
                  <w:sz w:val="18"/>
                  <w:szCs w:val="18"/>
                  <w:color w:val="0000EE"/>
                  <w:w w:val="99"/>
                </w:rPr>
                <w:t>Microbot Medical Ltd. (incorporated by reference to the Company’s Current Report on Form 8-K filed on August 15, 2016).</w:t>
              </w:r>
            </w:hyperlink>
          </w:p>
        </w:tc>
        <w:tc>
          <w:tcPr>
            <w:tcW w:w="1160" w:type="dxa"/>
            <w:vAlign w:val="bottom"/>
            <w:gridSpan w:val="7"/>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tcPr>
          <w:p>
            <w:pPr>
              <w:spacing w:after="0"/>
              <w:rPr>
                <w:sz w:val="17"/>
                <w:szCs w:val="17"/>
                <w:color w:val="auto"/>
              </w:rPr>
            </w:pPr>
          </w:p>
        </w:tc>
        <w:tc>
          <w:tcPr>
            <w:tcW w:w="101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color w:val="0000EE"/>
                </w:rPr>
                <w:t>Restated Certificate of Incorporation of the Company (incorporated by reference to the Company’s Annual Report on Form 10-K for the</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8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8">
              <w:r>
                <w:rPr>
                  <w:rFonts w:ascii="Times New Roman" w:cs="Times New Roman" w:eastAsia="Times New Roman" w:hAnsi="Times New Roman"/>
                  <w:sz w:val="18"/>
                  <w:szCs w:val="18"/>
                  <w:color w:val="0000EE"/>
                  <w:w w:val="99"/>
                </w:rPr>
                <w:t>fiscal year ended December 31, 2006 and filed on March 15, 2007).</w:t>
              </w:r>
            </w:hyperlink>
          </w:p>
        </w:tc>
        <w:tc>
          <w:tcPr>
            <w:tcW w:w="5260" w:type="dxa"/>
            <w:vAlign w:val="bottom"/>
            <w:gridSpan w:val="9"/>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3.2</w:t>
            </w:r>
          </w:p>
        </w:tc>
        <w:tc>
          <w:tcPr>
            <w:tcW w:w="120" w:type="dxa"/>
            <w:vAlign w:val="bottom"/>
          </w:tcPr>
          <w:p>
            <w:pPr>
              <w:spacing w:after="0"/>
              <w:rPr>
                <w:sz w:val="17"/>
                <w:szCs w:val="17"/>
                <w:color w:val="auto"/>
              </w:rPr>
            </w:pPr>
          </w:p>
        </w:tc>
        <w:tc>
          <w:tcPr>
            <w:tcW w:w="101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0000EE"/>
                </w:rPr>
                <w:t>Certificate of Amendment to the Restated Certificate of Incorporation of the Company (incorporated by reference to the Company’s Current</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9">
              <w:r>
                <w:rPr>
                  <w:rFonts w:ascii="Times New Roman" w:cs="Times New Roman" w:eastAsia="Times New Roman" w:hAnsi="Times New Roman"/>
                  <w:sz w:val="18"/>
                  <w:szCs w:val="18"/>
                  <w:color w:val="0000EE"/>
                  <w:w w:val="99"/>
                </w:rPr>
                <w:t>Report on Form 8-K filed on November 29, 2016).</w:t>
              </w:r>
            </w:hyperlink>
          </w:p>
        </w:tc>
        <w:tc>
          <w:tcPr>
            <w:tcW w:w="6480" w:type="dxa"/>
            <w:vAlign w:val="bottom"/>
            <w:gridSpan w:val="10"/>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3.3</w:t>
            </w:r>
          </w:p>
        </w:tc>
        <w:tc>
          <w:tcPr>
            <w:tcW w:w="120" w:type="dxa"/>
            <w:vAlign w:val="bottom"/>
          </w:tcPr>
          <w:p>
            <w:pPr>
              <w:spacing w:after="0"/>
              <w:rPr>
                <w:sz w:val="17"/>
                <w:szCs w:val="17"/>
                <w:color w:val="auto"/>
              </w:rPr>
            </w:pPr>
          </w:p>
        </w:tc>
        <w:tc>
          <w:tcPr>
            <w:tcW w:w="101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Certificate of Amendment to the Restated Certificate of Incorporation (incorporated by reference to the Company’s Current Report on Form</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18"/>
          </w:tcPr>
          <w:p>
            <w:pPr>
              <w:spacing w:after="0" w:line="196" w:lineRule="exact"/>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8-K filed on September 4, 2018).</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7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3.4</w:t>
            </w:r>
          </w:p>
        </w:tc>
        <w:tc>
          <w:tcPr>
            <w:tcW w:w="120" w:type="dxa"/>
            <w:vAlign w:val="bottom"/>
          </w:tcPr>
          <w:p>
            <w:pPr>
              <w:spacing w:after="0"/>
              <w:rPr>
                <w:sz w:val="17"/>
                <w:szCs w:val="17"/>
                <w:color w:val="auto"/>
              </w:rPr>
            </w:pPr>
          </w:p>
        </w:tc>
        <w:tc>
          <w:tcPr>
            <w:tcW w:w="101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21">
              <w:r>
                <w:rPr>
                  <w:rFonts w:ascii="Times New Roman" w:cs="Times New Roman" w:eastAsia="Times New Roman" w:hAnsi="Times New Roman"/>
                  <w:sz w:val="18"/>
                  <w:szCs w:val="18"/>
                  <w:color w:val="0000EE"/>
                  <w:w w:val="99"/>
                </w:rPr>
                <w:t>Amended and Restated By-Laws of the Company (incorporated by reference to the Company’s Current Report on Form 8-K filed on May 3,</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4"/>
              </w:rPr>
            </w:pPr>
            <w:hyperlink r:id="rId21">
              <w:r>
                <w:rPr>
                  <w:rFonts w:ascii="Times New Roman" w:cs="Times New Roman" w:eastAsia="Times New Roman" w:hAnsi="Times New Roman"/>
                  <w:sz w:val="18"/>
                  <w:szCs w:val="18"/>
                  <w:color w:val="0000EE"/>
                  <w:w w:val="94"/>
                </w:rPr>
                <w:t>2016).</w:t>
              </w:r>
            </w:hyperlink>
          </w:p>
        </w:tc>
        <w:tc>
          <w:tcPr>
            <w:tcW w:w="1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3.5</w:t>
            </w:r>
          </w:p>
        </w:tc>
        <w:tc>
          <w:tcPr>
            <w:tcW w:w="120" w:type="dxa"/>
            <w:vAlign w:val="bottom"/>
          </w:tcPr>
          <w:p>
            <w:pPr>
              <w:spacing w:after="0"/>
              <w:rPr>
                <w:sz w:val="17"/>
                <w:szCs w:val="17"/>
                <w:color w:val="auto"/>
              </w:rPr>
            </w:pPr>
          </w:p>
        </w:tc>
        <w:tc>
          <w:tcPr>
            <w:tcW w:w="940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22">
              <w:r>
                <w:rPr>
                  <w:rFonts w:ascii="Times New Roman" w:cs="Times New Roman" w:eastAsia="Times New Roman" w:hAnsi="Times New Roman"/>
                  <w:sz w:val="18"/>
                  <w:szCs w:val="18"/>
                  <w:color w:val="0000EE"/>
                  <w:w w:val="99"/>
                </w:rPr>
                <w:t>Certificate of Elimination (incorporated by reference to the Company’s Current Report on Form 8-K filed on December 12, 2018).</w:t>
              </w:r>
            </w:hyperlink>
          </w:p>
        </w:tc>
        <w:tc>
          <w:tcPr>
            <w:tcW w:w="740" w:type="dxa"/>
            <w:vAlign w:val="bottom"/>
            <w:gridSpan w:val="3"/>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3.6</w:t>
            </w:r>
          </w:p>
        </w:tc>
        <w:tc>
          <w:tcPr>
            <w:tcW w:w="120" w:type="dxa"/>
            <w:vAlign w:val="bottom"/>
          </w:tcPr>
          <w:p>
            <w:pPr>
              <w:spacing w:after="0"/>
              <w:rPr>
                <w:sz w:val="17"/>
                <w:szCs w:val="17"/>
                <w:color w:val="auto"/>
              </w:rPr>
            </w:pPr>
          </w:p>
        </w:tc>
        <w:tc>
          <w:tcPr>
            <w:tcW w:w="101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Certificate of Amendment to the Restated Certificate of Incorporation (incorporated by reference to the Company’s Current Report on Form</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18"/>
          </w:tcPr>
          <w:p>
            <w:pPr>
              <w:spacing w:after="0" w:line="196" w:lineRule="exact"/>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8-K filed on September 11, 2019).</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7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3.7</w:t>
            </w:r>
          </w:p>
        </w:tc>
        <w:tc>
          <w:tcPr>
            <w:tcW w:w="120" w:type="dxa"/>
            <w:vAlign w:val="bottom"/>
          </w:tcPr>
          <w:p>
            <w:pPr>
              <w:spacing w:after="0"/>
              <w:rPr>
                <w:sz w:val="17"/>
                <w:szCs w:val="17"/>
                <w:color w:val="auto"/>
              </w:rPr>
            </w:pPr>
          </w:p>
        </w:tc>
        <w:tc>
          <w:tcPr>
            <w:tcW w:w="101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Amendment to Section 5 of the Amended and Restated By-Laws of the Company (incorporated by reference to the Company’s Current</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4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24">
              <w:r>
                <w:rPr>
                  <w:rFonts w:ascii="Times New Roman" w:cs="Times New Roman" w:eastAsia="Times New Roman" w:hAnsi="Times New Roman"/>
                  <w:sz w:val="18"/>
                  <w:szCs w:val="18"/>
                  <w:color w:val="0000EE"/>
                  <w:w w:val="99"/>
                </w:rPr>
                <w:t>Report on Form 8-K filed on May 3, 2021).</w:t>
              </w:r>
            </w:hyperlink>
          </w:p>
        </w:tc>
        <w:tc>
          <w:tcPr>
            <w:tcW w:w="7000" w:type="dxa"/>
            <w:vAlign w:val="bottom"/>
            <w:gridSpan w:val="11"/>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4.1</w:t>
            </w:r>
          </w:p>
        </w:tc>
        <w:tc>
          <w:tcPr>
            <w:tcW w:w="120" w:type="dxa"/>
            <w:vAlign w:val="bottom"/>
          </w:tcPr>
          <w:p>
            <w:pPr>
              <w:spacing w:after="0"/>
              <w:rPr>
                <w:sz w:val="17"/>
                <w:szCs w:val="17"/>
                <w:color w:val="auto"/>
              </w:rPr>
            </w:pPr>
          </w:p>
        </w:tc>
        <w:tc>
          <w:tcPr>
            <w:tcW w:w="101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Description of the Company’s Securities (incorporated by reference to the Registrant’s Annual Report on Form 10-K for the fiscal year</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25">
              <w:r>
                <w:rPr>
                  <w:rFonts w:ascii="Times New Roman" w:cs="Times New Roman" w:eastAsia="Times New Roman" w:hAnsi="Times New Roman"/>
                  <w:sz w:val="18"/>
                  <w:szCs w:val="18"/>
                  <w:color w:val="0000EE"/>
                  <w:w w:val="99"/>
                </w:rPr>
                <w:t>ended December 31, 2019).</w:t>
              </w:r>
            </w:hyperlink>
          </w:p>
        </w:tc>
        <w:tc>
          <w:tcPr>
            <w:tcW w:w="8140" w:type="dxa"/>
            <w:vAlign w:val="bottom"/>
            <w:gridSpan w:val="14"/>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4.2</w:t>
            </w:r>
          </w:p>
        </w:tc>
        <w:tc>
          <w:tcPr>
            <w:tcW w:w="120" w:type="dxa"/>
            <w:vAlign w:val="bottom"/>
          </w:tcPr>
          <w:p>
            <w:pPr>
              <w:spacing w:after="0"/>
              <w:rPr>
                <w:sz w:val="17"/>
                <w:szCs w:val="17"/>
                <w:color w:val="auto"/>
              </w:rPr>
            </w:pPr>
          </w:p>
        </w:tc>
        <w:tc>
          <w:tcPr>
            <w:tcW w:w="10140" w:type="dxa"/>
            <w:vAlign w:val="bottom"/>
            <w:gridSpan w:val="18"/>
          </w:tcPr>
          <w:p>
            <w:pPr>
              <w:spacing w:after="0" w:line="196" w:lineRule="exact"/>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Form of Series A Warrant (incorporated by reference to the Registrant’s Current Report on Form 8-K filed on October 25, 2022)</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480" w:type="dxa"/>
            <w:vAlign w:val="bottom"/>
            <w:gridSpan w:val="8"/>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4.3</w:t>
            </w:r>
          </w:p>
        </w:tc>
        <w:tc>
          <w:tcPr>
            <w:tcW w:w="120" w:type="dxa"/>
            <w:vAlign w:val="bottom"/>
          </w:tcPr>
          <w:p>
            <w:pPr>
              <w:spacing w:after="0"/>
              <w:rPr>
                <w:sz w:val="17"/>
                <w:szCs w:val="17"/>
                <w:color w:val="auto"/>
              </w:rPr>
            </w:pPr>
          </w:p>
        </w:tc>
        <w:tc>
          <w:tcPr>
            <w:tcW w:w="948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27">
              <w:r>
                <w:rPr>
                  <w:rFonts w:ascii="Times New Roman" w:cs="Times New Roman" w:eastAsia="Times New Roman" w:hAnsi="Times New Roman"/>
                  <w:sz w:val="18"/>
                  <w:szCs w:val="18"/>
                  <w:color w:val="0000EE"/>
                  <w:w w:val="99"/>
                </w:rPr>
                <w:t>Form of Wainwright Warrant (incorporated by reference to the Registrant’s Current Report on Form 8-K filed on October 25, 2022)</w:t>
              </w:r>
            </w:hyperlink>
          </w:p>
        </w:tc>
        <w:tc>
          <w:tcPr>
            <w:tcW w:w="660" w:type="dxa"/>
            <w:vAlign w:val="bottom"/>
            <w:gridSpan w:val="2"/>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4.4</w:t>
            </w:r>
          </w:p>
        </w:tc>
        <w:tc>
          <w:tcPr>
            <w:tcW w:w="120" w:type="dxa"/>
            <w:vAlign w:val="bottom"/>
          </w:tcPr>
          <w:p>
            <w:pPr>
              <w:spacing w:after="0"/>
              <w:rPr>
                <w:sz w:val="17"/>
                <w:szCs w:val="17"/>
                <w:color w:val="auto"/>
              </w:rPr>
            </w:pPr>
          </w:p>
        </w:tc>
        <w:tc>
          <w:tcPr>
            <w:tcW w:w="10140" w:type="dxa"/>
            <w:vAlign w:val="bottom"/>
            <w:gridSpan w:val="18"/>
          </w:tcPr>
          <w:p>
            <w:pPr>
              <w:spacing w:after="0" w:line="196" w:lineRule="exact"/>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Form of Wainwright Warrant (incorporated by reference to the Registrant’s Current Report on Form 8-K filed on May 23, 2023)</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480" w:type="dxa"/>
            <w:vAlign w:val="bottom"/>
            <w:gridSpan w:val="8"/>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4.5</w:t>
            </w:r>
          </w:p>
        </w:tc>
        <w:tc>
          <w:tcPr>
            <w:tcW w:w="120" w:type="dxa"/>
            <w:vAlign w:val="bottom"/>
          </w:tcPr>
          <w:p>
            <w:pPr>
              <w:spacing w:after="0"/>
              <w:rPr>
                <w:sz w:val="17"/>
                <w:szCs w:val="17"/>
                <w:color w:val="auto"/>
              </w:rPr>
            </w:pPr>
          </w:p>
        </w:tc>
        <w:tc>
          <w:tcPr>
            <w:tcW w:w="10140" w:type="dxa"/>
            <w:vAlign w:val="bottom"/>
            <w:gridSpan w:val="18"/>
          </w:tcPr>
          <w:p>
            <w:pPr>
              <w:spacing w:after="0" w:line="196" w:lineRule="exact"/>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Form of Wainwright Warrant (incorporated by reference to the Registrant’s Current Report on Form 8-K filed on May 24, 2023)</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480" w:type="dxa"/>
            <w:vAlign w:val="bottom"/>
            <w:gridSpan w:val="8"/>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4.6</w:t>
            </w:r>
          </w:p>
        </w:tc>
        <w:tc>
          <w:tcPr>
            <w:tcW w:w="120" w:type="dxa"/>
            <w:vAlign w:val="bottom"/>
          </w:tcPr>
          <w:p>
            <w:pPr>
              <w:spacing w:after="0"/>
              <w:rPr>
                <w:sz w:val="17"/>
                <w:szCs w:val="17"/>
                <w:color w:val="auto"/>
              </w:rPr>
            </w:pPr>
          </w:p>
        </w:tc>
        <w:tc>
          <w:tcPr>
            <w:tcW w:w="1012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30">
              <w:r>
                <w:rPr>
                  <w:rFonts w:ascii="Times New Roman" w:cs="Times New Roman" w:eastAsia="Times New Roman" w:hAnsi="Times New Roman"/>
                  <w:sz w:val="18"/>
                  <w:szCs w:val="18"/>
                  <w:color w:val="0000EE"/>
                  <w:w w:val="99"/>
                </w:rPr>
                <w:t>Form of Warrant Amendment Agreement (incorporated by reference to the Registrant’s Current Report on Form 8-K filed on May 24, 2023)</w:t>
              </w:r>
            </w:hyperlink>
          </w:p>
        </w:tc>
        <w:tc>
          <w:tcPr>
            <w:tcW w:w="20" w:type="dxa"/>
            <w:vAlign w:val="bottom"/>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4.7</w:t>
            </w:r>
          </w:p>
        </w:tc>
        <w:tc>
          <w:tcPr>
            <w:tcW w:w="120" w:type="dxa"/>
            <w:vAlign w:val="bottom"/>
          </w:tcPr>
          <w:p>
            <w:pPr>
              <w:spacing w:after="0"/>
              <w:rPr>
                <w:sz w:val="17"/>
                <w:szCs w:val="17"/>
                <w:color w:val="auto"/>
              </w:rPr>
            </w:pPr>
          </w:p>
        </w:tc>
        <w:tc>
          <w:tcPr>
            <w:tcW w:w="890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31">
              <w:r>
                <w:rPr>
                  <w:rFonts w:ascii="Times New Roman" w:cs="Times New Roman" w:eastAsia="Times New Roman" w:hAnsi="Times New Roman"/>
                  <w:sz w:val="18"/>
                  <w:szCs w:val="18"/>
                  <w:color w:val="0000EE"/>
                  <w:w w:val="99"/>
                </w:rPr>
                <w:t>Form of Series C Warrant (incorporated by reference to the Registrant’s Current Report on Form 8-K filed on June 6, 2023)</w:t>
              </w:r>
            </w:hyperlink>
          </w:p>
        </w:tc>
        <w:tc>
          <w:tcPr>
            <w:tcW w:w="1240" w:type="dxa"/>
            <w:vAlign w:val="bottom"/>
            <w:gridSpan w:val="8"/>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4.8</w:t>
            </w:r>
          </w:p>
        </w:tc>
        <w:tc>
          <w:tcPr>
            <w:tcW w:w="120" w:type="dxa"/>
            <w:vAlign w:val="bottom"/>
          </w:tcPr>
          <w:p>
            <w:pPr>
              <w:spacing w:after="0"/>
              <w:rPr>
                <w:sz w:val="17"/>
                <w:szCs w:val="17"/>
                <w:color w:val="auto"/>
              </w:rPr>
            </w:pPr>
          </w:p>
        </w:tc>
        <w:tc>
          <w:tcPr>
            <w:tcW w:w="91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32">
              <w:r>
                <w:rPr>
                  <w:rFonts w:ascii="Times New Roman" w:cs="Times New Roman" w:eastAsia="Times New Roman" w:hAnsi="Times New Roman"/>
                  <w:sz w:val="18"/>
                  <w:szCs w:val="18"/>
                  <w:color w:val="0000EE"/>
                  <w:w w:val="99"/>
                </w:rPr>
                <w:t>Form of Wainwright Warrant (incorporated by reference to the Registrant’s Current Report on Form 8-K filed on June 6, 2023)</w:t>
              </w:r>
            </w:hyperlink>
          </w:p>
        </w:tc>
        <w:tc>
          <w:tcPr>
            <w:tcW w:w="1000" w:type="dxa"/>
            <w:vAlign w:val="bottom"/>
            <w:gridSpan w:val="5"/>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4.9</w:t>
            </w:r>
          </w:p>
        </w:tc>
        <w:tc>
          <w:tcPr>
            <w:tcW w:w="120" w:type="dxa"/>
            <w:vAlign w:val="bottom"/>
          </w:tcPr>
          <w:p>
            <w:pPr>
              <w:spacing w:after="0"/>
              <w:rPr>
                <w:sz w:val="17"/>
                <w:szCs w:val="17"/>
                <w:color w:val="auto"/>
              </w:rPr>
            </w:pPr>
          </w:p>
        </w:tc>
        <w:tc>
          <w:tcPr>
            <w:tcW w:w="90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33">
              <w:r>
                <w:rPr>
                  <w:rFonts w:ascii="Times New Roman" w:cs="Times New Roman" w:eastAsia="Times New Roman" w:hAnsi="Times New Roman"/>
                  <w:sz w:val="18"/>
                  <w:szCs w:val="18"/>
                  <w:color w:val="0000EE"/>
                  <w:w w:val="99"/>
                </w:rPr>
                <w:t>Form of Series D Warrant (incorporated by reference to the Registrant’s Current Report on Form 8-K filed on June 28, 2023)</w:t>
              </w:r>
            </w:hyperlink>
          </w:p>
        </w:tc>
        <w:tc>
          <w:tcPr>
            <w:tcW w:w="1140" w:type="dxa"/>
            <w:vAlign w:val="bottom"/>
            <w:gridSpan w:val="6"/>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4.10</w:t>
            </w:r>
          </w:p>
        </w:tc>
        <w:tc>
          <w:tcPr>
            <w:tcW w:w="120" w:type="dxa"/>
            <w:vAlign w:val="bottom"/>
          </w:tcPr>
          <w:p>
            <w:pPr>
              <w:spacing w:after="0"/>
              <w:rPr>
                <w:sz w:val="17"/>
                <w:szCs w:val="17"/>
                <w:color w:val="auto"/>
              </w:rPr>
            </w:pPr>
          </w:p>
        </w:tc>
        <w:tc>
          <w:tcPr>
            <w:tcW w:w="10140" w:type="dxa"/>
            <w:vAlign w:val="bottom"/>
            <w:gridSpan w:val="18"/>
          </w:tcPr>
          <w:p>
            <w:pPr>
              <w:spacing w:after="0" w:line="196" w:lineRule="exact"/>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0000EE"/>
                </w:rPr>
                <w:t>Form of Wainwright Warrant (incorporated by reference to the Registrant’s Current Report on Form 8-K filed on June 28, 2023)</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800" w:type="dxa"/>
            <w:vAlign w:val="bottom"/>
            <w:gridSpan w:val="12"/>
            <w:shd w:val="clear" w:color="auto" w:fill="0000EE"/>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4.11</w:t>
            </w:r>
          </w:p>
        </w:tc>
        <w:tc>
          <w:tcPr>
            <w:tcW w:w="120" w:type="dxa"/>
            <w:vAlign w:val="bottom"/>
          </w:tcPr>
          <w:p>
            <w:pPr>
              <w:spacing w:after="0"/>
              <w:rPr>
                <w:sz w:val="17"/>
                <w:szCs w:val="17"/>
                <w:color w:val="auto"/>
              </w:rPr>
            </w:pPr>
          </w:p>
        </w:tc>
        <w:tc>
          <w:tcPr>
            <w:tcW w:w="101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35">
              <w:r>
                <w:rPr>
                  <w:rFonts w:ascii="Times New Roman" w:cs="Times New Roman" w:eastAsia="Times New Roman" w:hAnsi="Times New Roman"/>
                  <w:sz w:val="18"/>
                  <w:szCs w:val="18"/>
                  <w:color w:val="0000EE"/>
                  <w:w w:val="99"/>
                </w:rPr>
                <w:t>Form of Inducement Investment Option (incorporated by reference to the Registrant’s Current Report on Form 8-K filed on January 2, 2024)</w:t>
              </w:r>
            </w:hyperlink>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4.12</w:t>
            </w:r>
          </w:p>
        </w:tc>
        <w:tc>
          <w:tcPr>
            <w:tcW w:w="120" w:type="dxa"/>
            <w:vAlign w:val="bottom"/>
          </w:tcPr>
          <w:p>
            <w:pPr>
              <w:spacing w:after="0"/>
              <w:rPr>
                <w:sz w:val="17"/>
                <w:szCs w:val="17"/>
                <w:color w:val="auto"/>
              </w:rPr>
            </w:pPr>
          </w:p>
        </w:tc>
        <w:tc>
          <w:tcPr>
            <w:tcW w:w="101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0000EE"/>
                </w:rPr>
                <w:t>Form of Placement Agent Investment Option (incorporated by reference to the Registrant’s Current Report on Form 8-K filed on January 2,</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5"/>
              </w:rPr>
            </w:pPr>
            <w:hyperlink r:id="rId36">
              <w:r>
                <w:rPr>
                  <w:rFonts w:ascii="Times New Roman" w:cs="Times New Roman" w:eastAsia="Times New Roman" w:hAnsi="Times New Roman"/>
                  <w:sz w:val="18"/>
                  <w:szCs w:val="18"/>
                  <w:color w:val="0000EE"/>
                  <w:w w:val="95"/>
                </w:rPr>
                <w:t>2024)</w:t>
              </w:r>
            </w:hyperlink>
          </w:p>
        </w:tc>
        <w:tc>
          <w:tcPr>
            <w:tcW w:w="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4.13</w:t>
            </w:r>
          </w:p>
        </w:tc>
        <w:tc>
          <w:tcPr>
            <w:tcW w:w="120" w:type="dxa"/>
            <w:vAlign w:val="bottom"/>
          </w:tcPr>
          <w:p>
            <w:pPr>
              <w:spacing w:after="0"/>
              <w:rPr>
                <w:sz w:val="17"/>
                <w:szCs w:val="17"/>
                <w:color w:val="auto"/>
              </w:rPr>
            </w:pPr>
          </w:p>
        </w:tc>
        <w:tc>
          <w:tcPr>
            <w:tcW w:w="101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0000EE"/>
                </w:rPr>
                <w:t>Form of Series F Preferred Investment Option (incorporated by reference to the Registrant’s Current Report on Form 8-K filed on June 4,</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5"/>
              </w:rPr>
            </w:pPr>
            <w:hyperlink r:id="rId37">
              <w:r>
                <w:rPr>
                  <w:rFonts w:ascii="Times New Roman" w:cs="Times New Roman" w:eastAsia="Times New Roman" w:hAnsi="Times New Roman"/>
                  <w:sz w:val="18"/>
                  <w:szCs w:val="18"/>
                  <w:color w:val="0000EE"/>
                  <w:w w:val="95"/>
                </w:rPr>
                <w:t>2024)</w:t>
              </w:r>
            </w:hyperlink>
          </w:p>
        </w:tc>
        <w:tc>
          <w:tcPr>
            <w:tcW w:w="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86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4.14</w:t>
            </w:r>
          </w:p>
        </w:tc>
        <w:tc>
          <w:tcPr>
            <w:tcW w:w="10140" w:type="dxa"/>
            <w:vAlign w:val="bottom"/>
            <w:gridSpan w:val="20"/>
          </w:tcPr>
          <w:p>
            <w:pPr>
              <w:spacing w:after="0"/>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Form of Placement Agent Investment Option (incorporated by reference to the Registrant’s Current Report on Form 8-K filed on June 4,</w:t>
              </w:r>
            </w:hyperlink>
          </w:p>
        </w:tc>
      </w:tr>
      <w:tr>
        <w:trPr>
          <w:trHeight w:val="196"/>
        </w:trPr>
        <w:tc>
          <w:tcPr>
            <w:tcW w:w="86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5"/>
              </w:rPr>
            </w:pPr>
            <w:hyperlink r:id="rId39">
              <w:r>
                <w:rPr>
                  <w:rFonts w:ascii="Times New Roman" w:cs="Times New Roman" w:eastAsia="Times New Roman" w:hAnsi="Times New Roman"/>
                  <w:sz w:val="18"/>
                  <w:szCs w:val="18"/>
                  <w:color w:val="0000EE"/>
                  <w:w w:val="95"/>
                </w:rPr>
                <w:t>2024)</w:t>
              </w:r>
            </w:hyperlink>
          </w:p>
        </w:tc>
        <w:tc>
          <w:tcPr>
            <w:tcW w:w="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160" w:type="dxa"/>
            <w:vAlign w:val="bottom"/>
            <w:tcBorders>
              <w:top w:val="single" w:sz="8" w:color="0000EE"/>
            </w:tcBorders>
          </w:tcPr>
          <w:p>
            <w:pPr>
              <w:spacing w:after="0"/>
              <w:rPr>
                <w:sz w:val="17"/>
                <w:szCs w:val="17"/>
                <w:color w:val="auto"/>
              </w:rPr>
            </w:pPr>
          </w:p>
        </w:tc>
        <w:tc>
          <w:tcPr>
            <w:tcW w:w="170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20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860" w:type="dxa"/>
            <w:vAlign w:val="bottom"/>
          </w:tcPr>
          <w:p>
            <w:pPr>
              <w:jc w:val="center"/>
              <w:ind w:right="250"/>
              <w:spacing w:after="0" w:line="196" w:lineRule="exact"/>
              <w:rPr>
                <w:sz w:val="20"/>
                <w:szCs w:val="20"/>
                <w:color w:val="auto"/>
              </w:rPr>
            </w:pPr>
            <w:r>
              <w:rPr>
                <w:rFonts w:ascii="Times New Roman" w:cs="Times New Roman" w:eastAsia="Times New Roman" w:hAnsi="Times New Roman"/>
                <w:sz w:val="18"/>
                <w:szCs w:val="18"/>
                <w:color w:val="auto"/>
              </w:rPr>
              <w:t>4.15</w:t>
            </w:r>
          </w:p>
        </w:tc>
        <w:tc>
          <w:tcPr>
            <w:tcW w:w="1014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0000EE"/>
                </w:rPr>
                <w:t>Form of Series G Preferred Investment Option (incorporated by reference to the Registrant’s Current Report on Form 8-K filed on January</w:t>
              </w:r>
            </w:hyperlink>
          </w:p>
        </w:tc>
      </w:tr>
      <w:tr>
        <w:trPr>
          <w:trHeight w:val="196"/>
        </w:trPr>
        <w:tc>
          <w:tcPr>
            <w:tcW w:w="860" w:type="dxa"/>
            <w:vAlign w:val="bottom"/>
          </w:tcPr>
          <w:p>
            <w:pPr>
              <w:spacing w:after="0"/>
              <w:rPr>
                <w:sz w:val="17"/>
                <w:szCs w:val="17"/>
                <w:color w:val="auto"/>
              </w:rPr>
            </w:pPr>
          </w:p>
        </w:tc>
        <w:tc>
          <w:tcPr>
            <w:tcW w:w="700" w:type="dxa"/>
            <w:vAlign w:val="bottom"/>
            <w:gridSpan w:val="4"/>
          </w:tcPr>
          <w:p>
            <w:pPr>
              <w:spacing w:after="0" w:line="196" w:lineRule="exact"/>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0000EE"/>
                </w:rPr>
                <w:t>7, 2025)</w:t>
              </w:r>
            </w:hyperlink>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60" w:type="dxa"/>
            <w:vAlign w:val="bottom"/>
          </w:tcPr>
          <w:p>
            <w:pPr>
              <w:jc w:val="center"/>
              <w:ind w:right="250"/>
              <w:spacing w:after="0" w:line="196" w:lineRule="exact"/>
              <w:rPr>
                <w:sz w:val="20"/>
                <w:szCs w:val="20"/>
                <w:color w:val="auto"/>
              </w:rPr>
            </w:pPr>
            <w:r>
              <w:rPr>
                <w:rFonts w:ascii="Times New Roman" w:cs="Times New Roman" w:eastAsia="Times New Roman" w:hAnsi="Times New Roman"/>
                <w:sz w:val="18"/>
                <w:szCs w:val="18"/>
                <w:color w:val="auto"/>
              </w:rPr>
              <w:t>4.16</w:t>
            </w:r>
          </w:p>
        </w:tc>
        <w:tc>
          <w:tcPr>
            <w:tcW w:w="10140" w:type="dxa"/>
            <w:vAlign w:val="bottom"/>
            <w:gridSpan w:val="20"/>
          </w:tcPr>
          <w:p>
            <w:pPr>
              <w:spacing w:after="0" w:line="196" w:lineRule="exact"/>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Form of Placement Agent Investment Option (incorporated by reference to the Registrant’s Current Report on Form 8-K filed on January 7,</w:t>
              </w:r>
            </w:hyperlink>
          </w:p>
        </w:tc>
      </w:tr>
      <w:tr>
        <w:trPr>
          <w:trHeight w:val="196"/>
        </w:trPr>
        <w:tc>
          <w:tcPr>
            <w:tcW w:w="86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5"/>
              </w:rPr>
            </w:pPr>
            <w:hyperlink r:id="rId41">
              <w:r>
                <w:rPr>
                  <w:rFonts w:ascii="Times New Roman" w:cs="Times New Roman" w:eastAsia="Times New Roman" w:hAnsi="Times New Roman"/>
                  <w:sz w:val="18"/>
                  <w:szCs w:val="18"/>
                  <w:color w:val="0000EE"/>
                  <w:w w:val="95"/>
                </w:rPr>
                <w:t>2025)</w:t>
              </w:r>
            </w:hyperlink>
          </w:p>
        </w:tc>
        <w:tc>
          <w:tcPr>
            <w:tcW w:w="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160" w:type="dxa"/>
            <w:vAlign w:val="bottom"/>
            <w:tcBorders>
              <w:top w:val="single" w:sz="8" w:color="0000EE"/>
            </w:tcBorders>
          </w:tcPr>
          <w:p>
            <w:pPr>
              <w:spacing w:after="0"/>
              <w:rPr>
                <w:sz w:val="17"/>
                <w:szCs w:val="17"/>
                <w:color w:val="auto"/>
              </w:rPr>
            </w:pPr>
          </w:p>
        </w:tc>
        <w:tc>
          <w:tcPr>
            <w:tcW w:w="170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20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860" w:type="dxa"/>
            <w:vAlign w:val="bottom"/>
          </w:tcPr>
          <w:p>
            <w:pPr>
              <w:jc w:val="center"/>
              <w:ind w:right="250"/>
              <w:spacing w:after="0" w:line="196" w:lineRule="exact"/>
              <w:rPr>
                <w:sz w:val="20"/>
                <w:szCs w:val="20"/>
                <w:color w:val="auto"/>
              </w:rPr>
            </w:pPr>
            <w:r>
              <w:rPr>
                <w:rFonts w:ascii="Times New Roman" w:cs="Times New Roman" w:eastAsia="Times New Roman" w:hAnsi="Times New Roman"/>
                <w:sz w:val="18"/>
                <w:szCs w:val="18"/>
                <w:color w:val="auto"/>
              </w:rPr>
              <w:t>4.17</w:t>
            </w:r>
          </w:p>
        </w:tc>
        <w:tc>
          <w:tcPr>
            <w:tcW w:w="1014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Form of Series H Preferred Investment Option (incorporated by reference to the Registrant’s Current Report on Form 8-K filed on January</w:t>
              </w:r>
            </w:hyperlink>
          </w:p>
        </w:tc>
      </w:tr>
      <w:tr>
        <w:trPr>
          <w:trHeight w:val="196"/>
        </w:trPr>
        <w:tc>
          <w:tcPr>
            <w:tcW w:w="860" w:type="dxa"/>
            <w:vAlign w:val="bottom"/>
          </w:tcPr>
          <w:p>
            <w:pPr>
              <w:spacing w:after="0"/>
              <w:rPr>
                <w:sz w:val="17"/>
                <w:szCs w:val="17"/>
                <w:color w:val="auto"/>
              </w:rPr>
            </w:pPr>
          </w:p>
        </w:tc>
        <w:tc>
          <w:tcPr>
            <w:tcW w:w="7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r:id="rId42">
              <w:r>
                <w:rPr>
                  <w:rFonts w:ascii="Times New Roman" w:cs="Times New Roman" w:eastAsia="Times New Roman" w:hAnsi="Times New Roman"/>
                  <w:sz w:val="18"/>
                  <w:szCs w:val="18"/>
                  <w:color w:val="0000EE"/>
                  <w:w w:val="98"/>
                </w:rPr>
                <w:t>10, 2025)</w:t>
              </w:r>
            </w:hyperlink>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860" w:type="dxa"/>
            <w:vAlign w:val="bottom"/>
          </w:tcPr>
          <w:p>
            <w:pPr>
              <w:jc w:val="center"/>
              <w:ind w:right="250"/>
              <w:spacing w:after="0" w:line="196" w:lineRule="exact"/>
              <w:rPr>
                <w:sz w:val="20"/>
                <w:szCs w:val="20"/>
                <w:color w:val="auto"/>
              </w:rPr>
            </w:pPr>
            <w:r>
              <w:rPr>
                <w:rFonts w:ascii="Times New Roman" w:cs="Times New Roman" w:eastAsia="Times New Roman" w:hAnsi="Times New Roman"/>
                <w:sz w:val="18"/>
                <w:szCs w:val="18"/>
                <w:color w:val="auto"/>
              </w:rPr>
              <w:t>4.18</w:t>
            </w:r>
          </w:p>
        </w:tc>
        <w:tc>
          <w:tcPr>
            <w:tcW w:w="1014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Form of Placement Agent Investment Option (incorporated by reference to the Registrant’s Current Report on Form 8-K filed on January</w:t>
              </w:r>
            </w:hyperlink>
          </w:p>
        </w:tc>
      </w:tr>
      <w:tr>
        <w:trPr>
          <w:trHeight w:val="196"/>
        </w:trPr>
        <w:tc>
          <w:tcPr>
            <w:tcW w:w="860" w:type="dxa"/>
            <w:vAlign w:val="bottom"/>
          </w:tcPr>
          <w:p>
            <w:pPr>
              <w:spacing w:after="0"/>
              <w:rPr>
                <w:sz w:val="17"/>
                <w:szCs w:val="17"/>
                <w:color w:val="auto"/>
              </w:rPr>
            </w:pPr>
          </w:p>
        </w:tc>
        <w:tc>
          <w:tcPr>
            <w:tcW w:w="7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r:id="rId43">
              <w:r>
                <w:rPr>
                  <w:rFonts w:ascii="Times New Roman" w:cs="Times New Roman" w:eastAsia="Times New Roman" w:hAnsi="Times New Roman"/>
                  <w:sz w:val="18"/>
                  <w:szCs w:val="18"/>
                  <w:color w:val="0000EE"/>
                  <w:w w:val="98"/>
                </w:rPr>
                <w:t>10, 2025)</w:t>
              </w:r>
            </w:hyperlink>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860" w:type="dxa"/>
            <w:vAlign w:val="bottom"/>
          </w:tcPr>
          <w:p>
            <w:pPr>
              <w:jc w:val="center"/>
              <w:ind w:right="250"/>
              <w:spacing w:after="0" w:line="196" w:lineRule="exact"/>
              <w:rPr>
                <w:sz w:val="20"/>
                <w:szCs w:val="20"/>
                <w:color w:val="auto"/>
              </w:rPr>
            </w:pPr>
            <w:r>
              <w:rPr>
                <w:rFonts w:ascii="Times New Roman" w:cs="Times New Roman" w:eastAsia="Times New Roman" w:hAnsi="Times New Roman"/>
                <w:sz w:val="18"/>
                <w:szCs w:val="18"/>
                <w:color w:val="auto"/>
                <w:w w:val="98"/>
              </w:rPr>
              <w:t>5.1**</w:t>
            </w:r>
          </w:p>
        </w:tc>
        <w:tc>
          <w:tcPr>
            <w:tcW w:w="10140" w:type="dxa"/>
            <w:vAlign w:val="bottom"/>
            <w:gridSpan w:val="20"/>
          </w:tcPr>
          <w:p>
            <w:pPr>
              <w:spacing w:after="0" w:line="196" w:lineRule="exact"/>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Opinion of Ruskin Moscou Faltischek, PC</w:t>
              </w:r>
            </w:hyperlink>
          </w:p>
        </w:tc>
      </w:tr>
      <w:tr>
        <w:trPr>
          <w:trHeight w:val="20"/>
        </w:trPr>
        <w:tc>
          <w:tcPr>
            <w:tcW w:w="86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60" w:type="dxa"/>
            <w:vAlign w:val="bottom"/>
          </w:tcPr>
          <w:p>
            <w:pPr>
              <w:jc w:val="center"/>
              <w:ind w:right="25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0140" w:type="dxa"/>
            <w:vAlign w:val="bottom"/>
            <w:gridSpan w:val="20"/>
          </w:tcPr>
          <w:p>
            <w:pPr>
              <w:spacing w:after="0" w:line="196" w:lineRule="exact"/>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Form of Indemnification Agreement, between the Company and each of its Directors and Officers (incorporated by reference to the</w:t>
              </w:r>
            </w:hyperlink>
          </w:p>
        </w:tc>
      </w:tr>
      <w:tr>
        <w:trPr>
          <w:trHeight w:val="196"/>
        </w:trPr>
        <w:tc>
          <w:tcPr>
            <w:tcW w:w="860" w:type="dxa"/>
            <w:vAlign w:val="bottom"/>
          </w:tcPr>
          <w:p>
            <w:pPr>
              <w:spacing w:after="0"/>
              <w:rPr>
                <w:sz w:val="17"/>
                <w:szCs w:val="17"/>
                <w:color w:val="auto"/>
              </w:rPr>
            </w:pPr>
          </w:p>
        </w:tc>
        <w:tc>
          <w:tcPr>
            <w:tcW w:w="5120" w:type="dxa"/>
            <w:vAlign w:val="bottom"/>
            <w:tcBorders>
              <w:top w:val="single" w:sz="8" w:color="0000EE"/>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45">
              <w:r>
                <w:rPr>
                  <w:rFonts w:ascii="Times New Roman" w:cs="Times New Roman" w:eastAsia="Times New Roman" w:hAnsi="Times New Roman"/>
                  <w:sz w:val="18"/>
                  <w:szCs w:val="18"/>
                  <w:color w:val="0000EE"/>
                  <w:w w:val="99"/>
                </w:rPr>
                <w:t>Company’s Current Report on Form 8-K filed on November 29, 2016).</w:t>
              </w:r>
            </w:hyperlink>
          </w:p>
        </w:tc>
        <w:tc>
          <w:tcPr>
            <w:tcW w:w="5000" w:type="dxa"/>
            <w:vAlign w:val="bottom"/>
            <w:tcBorders>
              <w:top w:val="single" w:sz="8" w:color="0000EE"/>
            </w:tcBorders>
            <w:gridSpan w:val="5"/>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860" w:type="dxa"/>
            <w:vAlign w:val="bottom"/>
          </w:tcPr>
          <w:p>
            <w:pPr>
              <w:jc w:val="center"/>
              <w:ind w:right="250"/>
              <w:spacing w:after="0" w:line="196" w:lineRule="exact"/>
              <w:rPr>
                <w:sz w:val="20"/>
                <w:szCs w:val="20"/>
                <w:color w:val="auto"/>
              </w:rPr>
            </w:pPr>
            <w:r>
              <w:rPr>
                <w:rFonts w:ascii="Times New Roman" w:cs="Times New Roman" w:eastAsia="Times New Roman" w:hAnsi="Times New Roman"/>
                <w:sz w:val="18"/>
                <w:szCs w:val="18"/>
                <w:color w:val="auto"/>
                <w:w w:val="98"/>
              </w:rPr>
              <w:t>10.2*</w:t>
            </w:r>
          </w:p>
        </w:tc>
        <w:tc>
          <w:tcPr>
            <w:tcW w:w="1014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46">
              <w:r>
                <w:rPr>
                  <w:rFonts w:ascii="Times New Roman" w:cs="Times New Roman" w:eastAsia="Times New Roman" w:hAnsi="Times New Roman"/>
                  <w:sz w:val="18"/>
                  <w:szCs w:val="18"/>
                  <w:color w:val="0000EE"/>
                  <w:w w:val="99"/>
                </w:rPr>
                <w:t>Employment Agreement with Harel Gadot (incorporated by reference to the Company’s Current Report on Form 8-K filed on November 29,</w:t>
              </w:r>
            </w:hyperlink>
          </w:p>
        </w:tc>
      </w:tr>
      <w:tr>
        <w:trPr>
          <w:trHeight w:val="196"/>
        </w:trPr>
        <w:tc>
          <w:tcPr>
            <w:tcW w:w="860" w:type="dxa"/>
            <w:vAlign w:val="bottom"/>
          </w:tcPr>
          <w:p>
            <w:pPr>
              <w:spacing w:after="0"/>
              <w:rPr>
                <w:sz w:val="17"/>
                <w:szCs w:val="17"/>
                <w:color w:val="auto"/>
              </w:rPr>
            </w:pPr>
          </w:p>
        </w:tc>
        <w:tc>
          <w:tcPr>
            <w:tcW w:w="46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4"/>
              </w:rPr>
            </w:pPr>
            <w:hyperlink r:id="rId46">
              <w:r>
                <w:rPr>
                  <w:rFonts w:ascii="Times New Roman" w:cs="Times New Roman" w:eastAsia="Times New Roman" w:hAnsi="Times New Roman"/>
                  <w:sz w:val="18"/>
                  <w:szCs w:val="18"/>
                  <w:color w:val="0000EE"/>
                  <w:w w:val="94"/>
                </w:rPr>
                <w:t>2016).</w:t>
              </w:r>
            </w:hyperlink>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860" w:type="dxa"/>
            <w:vAlign w:val="bottom"/>
          </w:tcPr>
          <w:p>
            <w:pPr>
              <w:jc w:val="center"/>
              <w:ind w:right="250"/>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1014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License Agreement, dated June 20, 2012, by and between Technion Research and Development Foundation, and Microbot Medical Ltd.</w:t>
              </w:r>
            </w:hyperlink>
          </w:p>
        </w:tc>
      </w:tr>
      <w:tr>
        <w:trPr>
          <w:trHeight w:val="196"/>
        </w:trPr>
        <w:tc>
          <w:tcPr>
            <w:tcW w:w="860" w:type="dxa"/>
            <w:vAlign w:val="bottom"/>
          </w:tcPr>
          <w:p>
            <w:pPr>
              <w:spacing w:after="0"/>
              <w:rPr>
                <w:sz w:val="17"/>
                <w:szCs w:val="17"/>
                <w:color w:val="auto"/>
              </w:rPr>
            </w:pPr>
          </w:p>
        </w:tc>
        <w:tc>
          <w:tcPr>
            <w:tcW w:w="1014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(incorporated by reference to the Company’s Annual Report on Form 10-K for the fiscal year ended December 31, 2016 and filed on March</w:t>
              </w:r>
            </w:hyperlink>
          </w:p>
        </w:tc>
      </w:tr>
      <w:tr>
        <w:trPr>
          <w:trHeight w:val="196"/>
        </w:trPr>
        <w:tc>
          <w:tcPr>
            <w:tcW w:w="860" w:type="dxa"/>
            <w:vAlign w:val="bottom"/>
          </w:tcPr>
          <w:p>
            <w:pPr>
              <w:spacing w:after="0"/>
              <w:rPr>
                <w:sz w:val="17"/>
                <w:szCs w:val="17"/>
                <w:color w:val="auto"/>
              </w:rPr>
            </w:pPr>
          </w:p>
        </w:tc>
        <w:tc>
          <w:tcPr>
            <w:tcW w:w="74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7"/>
              </w:rPr>
            </w:pPr>
            <w:hyperlink r:id="rId47">
              <w:r>
                <w:rPr>
                  <w:rFonts w:ascii="Times New Roman" w:cs="Times New Roman" w:eastAsia="Times New Roman" w:hAnsi="Times New Roman"/>
                  <w:sz w:val="18"/>
                  <w:szCs w:val="18"/>
                  <w:color w:val="0000EE"/>
                  <w:w w:val="97"/>
                </w:rPr>
                <w:t>21, 2017).</w:t>
              </w:r>
            </w:hyperlink>
          </w:p>
        </w:tc>
        <w:tc>
          <w:tcPr>
            <w:tcW w:w="8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860" w:type="dxa"/>
            <w:vAlign w:val="bottom"/>
          </w:tcPr>
          <w:p>
            <w:pPr>
              <w:jc w:val="center"/>
              <w:ind w:right="250"/>
              <w:spacing w:after="0" w:line="196" w:lineRule="exact"/>
              <w:rPr>
                <w:sz w:val="20"/>
                <w:szCs w:val="20"/>
                <w:color w:val="auto"/>
              </w:rPr>
            </w:pPr>
            <w:r>
              <w:rPr>
                <w:rFonts w:ascii="Times New Roman" w:cs="Times New Roman" w:eastAsia="Times New Roman" w:hAnsi="Times New Roman"/>
                <w:sz w:val="18"/>
                <w:szCs w:val="18"/>
                <w:color w:val="auto"/>
                <w:w w:val="98"/>
              </w:rPr>
              <w:t>10.4*</w:t>
            </w:r>
          </w:p>
        </w:tc>
        <w:tc>
          <w:tcPr>
            <w:tcW w:w="1014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Form of Stock Option Agreement under the Microbot Medical Inc. 2017 Equity Incentive Plan (incorporated by reference to the Company’s</w:t>
              </w:r>
            </w:hyperlink>
          </w:p>
        </w:tc>
      </w:tr>
      <w:tr>
        <w:trPr>
          <w:trHeight w:val="196"/>
        </w:trPr>
        <w:tc>
          <w:tcPr>
            <w:tcW w:w="860" w:type="dxa"/>
            <w:vAlign w:val="bottom"/>
          </w:tcPr>
          <w:p>
            <w:pPr>
              <w:spacing w:after="0"/>
              <w:rPr>
                <w:sz w:val="17"/>
                <w:szCs w:val="17"/>
                <w:color w:val="auto"/>
              </w:rPr>
            </w:pPr>
          </w:p>
        </w:tc>
        <w:tc>
          <w:tcPr>
            <w:tcW w:w="10140" w:type="dxa"/>
            <w:vAlign w:val="bottom"/>
            <w:gridSpan w:val="20"/>
          </w:tcPr>
          <w:p>
            <w:pPr>
              <w:spacing w:after="0" w:line="196" w:lineRule="exact"/>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Quarterly Report on Form 10-Q for the Quarter ended September 30, 2017, filed on November 14, 2017).</w:t>
              </w:r>
            </w:hyperlink>
          </w:p>
        </w:tc>
      </w:tr>
      <w:tr>
        <w:trPr>
          <w:trHeight w:val="20"/>
        </w:trPr>
        <w:tc>
          <w:tcPr>
            <w:tcW w:w="860" w:type="dxa"/>
            <w:vAlign w:val="bottom"/>
          </w:tcPr>
          <w:p>
            <w:pPr>
              <w:spacing w:after="0" w:line="20" w:lineRule="exact"/>
              <w:rPr>
                <w:sz w:val="1"/>
                <w:szCs w:val="1"/>
                <w:color w:val="auto"/>
              </w:rPr>
            </w:pPr>
          </w:p>
        </w:tc>
        <w:tc>
          <w:tcPr>
            <w:tcW w:w="1620" w:type="dxa"/>
            <w:vAlign w:val="bottom"/>
            <w:gridSpan w:val="6"/>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60" w:type="dxa"/>
            <w:vAlign w:val="bottom"/>
          </w:tcPr>
          <w:p>
            <w:pPr>
              <w:jc w:val="center"/>
              <w:ind w:right="250"/>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10140" w:type="dxa"/>
            <w:vAlign w:val="bottom"/>
            <w:gridSpan w:val="20"/>
          </w:tcPr>
          <w:p>
            <w:pPr>
              <w:spacing w:after="0" w:line="196" w:lineRule="exact"/>
              <w:rPr>
                <w:rFonts w:ascii="Times New Roman" w:cs="Times New Roman" w:eastAsia="Times New Roman" w:hAnsi="Times New Roman"/>
                <w:sz w:val="18"/>
                <w:szCs w:val="18"/>
                <w:color w:val="0000EE"/>
                <w:w w:val="99"/>
              </w:rPr>
            </w:pPr>
            <w:hyperlink r:id="rId49">
              <w:r>
                <w:rPr>
                  <w:rFonts w:ascii="Times New Roman" w:cs="Times New Roman" w:eastAsia="Times New Roman" w:hAnsi="Times New Roman"/>
                  <w:sz w:val="18"/>
                  <w:szCs w:val="18"/>
                  <w:color w:val="0000EE"/>
                  <w:w w:val="99"/>
                </w:rPr>
                <w:t>Agreement, dated January 4, 2018, by and between CardioSert Ltd. and Microbot Medical Ltd. (incorporated by reference to the Company’s</w:t>
              </w:r>
            </w:hyperlink>
          </w:p>
        </w:tc>
      </w:tr>
      <w:tr>
        <w:trPr>
          <w:trHeight w:val="196"/>
        </w:trPr>
        <w:tc>
          <w:tcPr>
            <w:tcW w:w="860" w:type="dxa"/>
            <w:vAlign w:val="bottom"/>
          </w:tcPr>
          <w:p>
            <w:pPr>
              <w:spacing w:after="0"/>
              <w:rPr>
                <w:sz w:val="17"/>
                <w:szCs w:val="17"/>
                <w:color w:val="auto"/>
              </w:rPr>
            </w:pPr>
          </w:p>
        </w:tc>
        <w:tc>
          <w:tcPr>
            <w:tcW w:w="1012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49">
              <w:r>
                <w:rPr>
                  <w:rFonts w:ascii="Times New Roman" w:cs="Times New Roman" w:eastAsia="Times New Roman" w:hAnsi="Times New Roman"/>
                  <w:sz w:val="18"/>
                  <w:szCs w:val="18"/>
                  <w:color w:val="0000EE"/>
                </w:rPr>
                <w:t>Current Report on Form 8-K filed on January 8, 2018).</w:t>
              </w:r>
            </w:hyperlink>
          </w:p>
        </w:tc>
        <w:tc>
          <w:tcPr>
            <w:tcW w:w="20" w:type="dxa"/>
            <w:vAlign w:val="bottom"/>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1620" w:type="dxa"/>
            <w:vAlign w:val="bottom"/>
            <w:gridSpan w:val="6"/>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60" w:type="dxa"/>
            <w:vAlign w:val="bottom"/>
          </w:tcPr>
          <w:p>
            <w:pPr>
              <w:jc w:val="center"/>
              <w:ind w:right="250"/>
              <w:spacing w:after="0" w:line="196" w:lineRule="exact"/>
              <w:rPr>
                <w:sz w:val="20"/>
                <w:szCs w:val="20"/>
                <w:color w:val="auto"/>
              </w:rPr>
            </w:pPr>
            <w:r>
              <w:rPr>
                <w:rFonts w:ascii="Times New Roman" w:cs="Times New Roman" w:eastAsia="Times New Roman" w:hAnsi="Times New Roman"/>
                <w:sz w:val="18"/>
                <w:szCs w:val="18"/>
                <w:color w:val="auto"/>
                <w:w w:val="98"/>
              </w:rPr>
              <w:t>10.6*</w:t>
            </w:r>
          </w:p>
        </w:tc>
        <w:tc>
          <w:tcPr>
            <w:tcW w:w="1014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50">
              <w:r>
                <w:rPr>
                  <w:rFonts w:ascii="Times New Roman" w:cs="Times New Roman" w:eastAsia="Times New Roman" w:hAnsi="Times New Roman"/>
                  <w:sz w:val="18"/>
                  <w:szCs w:val="18"/>
                  <w:color w:val="0000EE"/>
                  <w:w w:val="99"/>
                </w:rPr>
                <w:t>Employment Agreement with Dr. Eyal Morag (incorporated by reference to the Registrant’s Annual Report on Form 10-K for the fiscal year</w:t>
              </w:r>
            </w:hyperlink>
          </w:p>
        </w:tc>
      </w:tr>
      <w:tr>
        <w:trPr>
          <w:trHeight w:val="196"/>
        </w:trPr>
        <w:tc>
          <w:tcPr>
            <w:tcW w:w="860" w:type="dxa"/>
            <w:vAlign w:val="bottom"/>
          </w:tcPr>
          <w:p>
            <w:pPr>
              <w:spacing w:after="0"/>
              <w:rPr>
                <w:sz w:val="17"/>
                <w:szCs w:val="17"/>
                <w:color w:val="auto"/>
              </w:rPr>
            </w:pPr>
          </w:p>
        </w:tc>
        <w:tc>
          <w:tcPr>
            <w:tcW w:w="37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50">
              <w:r>
                <w:rPr>
                  <w:rFonts w:ascii="Times New Roman" w:cs="Times New Roman" w:eastAsia="Times New Roman" w:hAnsi="Times New Roman"/>
                  <w:sz w:val="18"/>
                  <w:szCs w:val="18"/>
                  <w:color w:val="0000EE"/>
                  <w:w w:val="99"/>
                </w:rPr>
                <w:t>ended December 31, 2019 filed on April 14, 2020).</w:t>
              </w:r>
            </w:hyperlink>
          </w:p>
        </w:tc>
        <w:tc>
          <w:tcPr>
            <w:tcW w:w="6440" w:type="dxa"/>
            <w:vAlign w:val="bottom"/>
            <w:gridSpan w:val="8"/>
          </w:tcPr>
          <w:p>
            <w:pPr>
              <w:spacing w:after="0"/>
              <w:rPr>
                <w:sz w:val="17"/>
                <w:szCs w:val="17"/>
                <w:color w:val="auto"/>
              </w:rPr>
            </w:pPr>
          </w:p>
        </w:tc>
      </w:tr>
      <w:tr>
        <w:trPr>
          <w:trHeight w:val="196"/>
        </w:trPr>
        <w:tc>
          <w:tcPr>
            <w:tcW w:w="860" w:type="dxa"/>
            <w:vAlign w:val="bottom"/>
          </w:tcPr>
          <w:p>
            <w:pPr>
              <w:jc w:val="center"/>
              <w:ind w:right="250"/>
              <w:spacing w:after="0" w:line="196" w:lineRule="exact"/>
              <w:rPr>
                <w:sz w:val="20"/>
                <w:szCs w:val="20"/>
                <w:color w:val="auto"/>
              </w:rPr>
            </w:pPr>
            <w:r>
              <w:rPr>
                <w:rFonts w:ascii="Times New Roman" w:cs="Times New Roman" w:eastAsia="Times New Roman" w:hAnsi="Times New Roman"/>
                <w:sz w:val="18"/>
                <w:szCs w:val="18"/>
                <w:color w:val="auto"/>
                <w:w w:val="98"/>
              </w:rPr>
              <w:t>10.7*</w:t>
            </w:r>
          </w:p>
        </w:tc>
        <w:tc>
          <w:tcPr>
            <w:tcW w:w="1014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Microbot Medical Inc. 2017 Equity Incentive Plan (incorporated by reference to Exhibit A of the Company’s Definitive Proxy Statement on</w:t>
              </w:r>
            </w:hyperlink>
          </w:p>
        </w:tc>
      </w:tr>
      <w:tr>
        <w:trPr>
          <w:trHeight w:val="196"/>
        </w:trPr>
        <w:tc>
          <w:tcPr>
            <w:tcW w:w="860" w:type="dxa"/>
            <w:vAlign w:val="bottom"/>
          </w:tcPr>
          <w:p>
            <w:pPr>
              <w:spacing w:after="0"/>
              <w:rPr>
                <w:sz w:val="17"/>
                <w:szCs w:val="17"/>
                <w:color w:val="auto"/>
              </w:rPr>
            </w:pPr>
          </w:p>
        </w:tc>
        <w:tc>
          <w:tcPr>
            <w:tcW w:w="29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51">
              <w:r>
                <w:rPr>
                  <w:rFonts w:ascii="Times New Roman" w:cs="Times New Roman" w:eastAsia="Times New Roman" w:hAnsi="Times New Roman"/>
                  <w:sz w:val="18"/>
                  <w:szCs w:val="18"/>
                  <w:color w:val="0000EE"/>
                  <w:w w:val="99"/>
                </w:rPr>
                <w:t>Schedule 14A filed on August 11, 2017).</w:t>
              </w:r>
            </w:hyperlink>
          </w:p>
        </w:tc>
        <w:tc>
          <w:tcPr>
            <w:tcW w:w="7180" w:type="dxa"/>
            <w:vAlign w:val="bottom"/>
            <w:gridSpan w:val="12"/>
          </w:tcPr>
          <w:p>
            <w:pPr>
              <w:spacing w:after="0"/>
              <w:rPr>
                <w:sz w:val="17"/>
                <w:szCs w:val="17"/>
                <w:color w:val="auto"/>
              </w:rPr>
            </w:pPr>
          </w:p>
        </w:tc>
      </w:tr>
      <w:tr>
        <w:trPr>
          <w:trHeight w:val="196"/>
        </w:trPr>
        <w:tc>
          <w:tcPr>
            <w:tcW w:w="860" w:type="dxa"/>
            <w:vAlign w:val="bottom"/>
          </w:tcPr>
          <w:p>
            <w:pPr>
              <w:jc w:val="center"/>
              <w:ind w:right="250"/>
              <w:spacing w:after="0" w:line="196" w:lineRule="exact"/>
              <w:rPr>
                <w:sz w:val="20"/>
                <w:szCs w:val="20"/>
                <w:color w:val="auto"/>
              </w:rPr>
            </w:pPr>
            <w:r>
              <w:rPr>
                <w:rFonts w:ascii="Times New Roman" w:cs="Times New Roman" w:eastAsia="Times New Roman" w:hAnsi="Times New Roman"/>
                <w:sz w:val="18"/>
                <w:szCs w:val="18"/>
                <w:color w:val="auto"/>
                <w:w w:val="98"/>
              </w:rPr>
              <w:t>10.8*</w:t>
            </w:r>
          </w:p>
        </w:tc>
        <w:tc>
          <w:tcPr>
            <w:tcW w:w="1014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color w:val="0000EE"/>
                </w:rPr>
                <w:t>Microbot Medical Inc. 2020 Omnibus Performance Award Plan (incorporated by reference to Exhibit A of the Company’s definitive Proxy</w:t>
              </w:r>
            </w:hyperlink>
          </w:p>
        </w:tc>
      </w:tr>
      <w:tr>
        <w:trPr>
          <w:trHeight w:val="196"/>
        </w:trPr>
        <w:tc>
          <w:tcPr>
            <w:tcW w:w="860" w:type="dxa"/>
            <w:vAlign w:val="bottom"/>
          </w:tcPr>
          <w:p>
            <w:pPr>
              <w:spacing w:after="0"/>
              <w:rPr>
                <w:sz w:val="17"/>
                <w:szCs w:val="17"/>
                <w:color w:val="auto"/>
              </w:rPr>
            </w:pPr>
          </w:p>
        </w:tc>
        <w:tc>
          <w:tcPr>
            <w:tcW w:w="10140" w:type="dxa"/>
            <w:vAlign w:val="bottom"/>
            <w:gridSpan w:val="20"/>
          </w:tcPr>
          <w:p>
            <w:pPr>
              <w:spacing w:after="0" w:line="196" w:lineRule="exact"/>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color w:val="0000EE"/>
                </w:rPr>
                <w:t>Statement on Schedule 14A filed on July 31, 2020)</w:t>
              </w:r>
            </w:hyperlink>
          </w:p>
        </w:tc>
      </w:tr>
      <w:tr>
        <w:trPr>
          <w:trHeight w:val="20"/>
        </w:trPr>
        <w:tc>
          <w:tcPr>
            <w:tcW w:w="860" w:type="dxa"/>
            <w:vAlign w:val="bottom"/>
          </w:tcPr>
          <w:p>
            <w:pPr>
              <w:spacing w:after="0" w:line="20" w:lineRule="exact"/>
              <w:rPr>
                <w:sz w:val="1"/>
                <w:szCs w:val="1"/>
                <w:color w:val="auto"/>
              </w:rPr>
            </w:pPr>
          </w:p>
        </w:tc>
        <w:tc>
          <w:tcPr>
            <w:tcW w:w="1620" w:type="dxa"/>
            <w:vAlign w:val="bottom"/>
            <w:gridSpan w:val="6"/>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14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60" w:type="dxa"/>
            <w:vAlign w:val="bottom"/>
          </w:tcPr>
          <w:p>
            <w:pPr>
              <w:jc w:val="center"/>
              <w:ind w:right="250"/>
              <w:spacing w:after="0" w:line="196" w:lineRule="exact"/>
              <w:rPr>
                <w:sz w:val="20"/>
                <w:szCs w:val="20"/>
                <w:color w:val="auto"/>
              </w:rPr>
            </w:pPr>
            <w:r>
              <w:rPr>
                <w:rFonts w:ascii="Times New Roman" w:cs="Times New Roman" w:eastAsia="Times New Roman" w:hAnsi="Times New Roman"/>
                <w:sz w:val="18"/>
                <w:szCs w:val="18"/>
                <w:color w:val="auto"/>
                <w:w w:val="98"/>
              </w:rPr>
              <w:t>10.9*</w:t>
            </w:r>
          </w:p>
        </w:tc>
        <w:tc>
          <w:tcPr>
            <w:tcW w:w="1014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53">
              <w:r>
                <w:rPr>
                  <w:rFonts w:ascii="Times New Roman" w:cs="Times New Roman" w:eastAsia="Times New Roman" w:hAnsi="Times New Roman"/>
                  <w:sz w:val="18"/>
                  <w:szCs w:val="18"/>
                  <w:color w:val="0000EE"/>
                  <w:w w:val="99"/>
                </w:rPr>
                <w:t>Form of Restricted Stock Unit Award Agreement under the Microbot Medical Inc. 2020 Omnibus Performance Award Plan (incorporated by</w:t>
              </w:r>
            </w:hyperlink>
          </w:p>
        </w:tc>
      </w:tr>
      <w:tr>
        <w:trPr>
          <w:trHeight w:val="196"/>
        </w:trPr>
        <w:tc>
          <w:tcPr>
            <w:tcW w:w="860" w:type="dxa"/>
            <w:vAlign w:val="bottom"/>
          </w:tcPr>
          <w:p>
            <w:pPr>
              <w:spacing w:after="0"/>
              <w:rPr>
                <w:sz w:val="17"/>
                <w:szCs w:val="17"/>
                <w:color w:val="auto"/>
              </w:rPr>
            </w:pPr>
          </w:p>
        </w:tc>
        <w:tc>
          <w:tcPr>
            <w:tcW w:w="10140" w:type="dxa"/>
            <w:vAlign w:val="bottom"/>
            <w:gridSpan w:val="20"/>
          </w:tcPr>
          <w:p>
            <w:pPr>
              <w:spacing w:after="0" w:line="196" w:lineRule="exact"/>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reference to Exhibit 4.2 of the registration Statement on Form S-8 of the Company filed on November 25, 2020)</w:t>
              </w:r>
            </w:hyperlink>
          </w:p>
        </w:tc>
      </w:tr>
      <w:tr>
        <w:trPr>
          <w:trHeight w:val="20"/>
        </w:trPr>
        <w:tc>
          <w:tcPr>
            <w:tcW w:w="860" w:type="dxa"/>
            <w:vAlign w:val="bottom"/>
          </w:tcPr>
          <w:p>
            <w:pPr>
              <w:spacing w:after="0" w:line="20" w:lineRule="exact"/>
              <w:rPr>
                <w:sz w:val="1"/>
                <w:szCs w:val="1"/>
                <w:color w:val="auto"/>
              </w:rPr>
            </w:pPr>
          </w:p>
        </w:tc>
        <w:tc>
          <w:tcPr>
            <w:tcW w:w="1620" w:type="dxa"/>
            <w:vAlign w:val="bottom"/>
            <w:gridSpan w:val="6"/>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3220" w:type="dxa"/>
            <w:vAlign w:val="bottom"/>
            <w:gridSpan w:val="5"/>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60" w:type="dxa"/>
            <w:vAlign w:val="bottom"/>
          </w:tcPr>
          <w:p>
            <w:pPr>
              <w:jc w:val="center"/>
              <w:ind w:right="270"/>
              <w:spacing w:after="0" w:line="196" w:lineRule="exact"/>
              <w:rPr>
                <w:sz w:val="20"/>
                <w:szCs w:val="20"/>
                <w:color w:val="auto"/>
              </w:rPr>
            </w:pPr>
            <w:r>
              <w:rPr>
                <w:rFonts w:ascii="Times New Roman" w:cs="Times New Roman" w:eastAsia="Times New Roman" w:hAnsi="Times New Roman"/>
                <w:sz w:val="18"/>
                <w:szCs w:val="18"/>
                <w:color w:val="auto"/>
              </w:rPr>
              <w:t>10.10*</w:t>
            </w:r>
          </w:p>
        </w:tc>
        <w:tc>
          <w:tcPr>
            <w:tcW w:w="1014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Form of NQO Award Agreement under the Microbot Medical Ltd. 2020 Omnibus Performance Award Plan (incorporated by reference to</w:t>
              </w:r>
            </w:hyperlink>
          </w:p>
        </w:tc>
      </w:tr>
      <w:tr>
        <w:trPr>
          <w:trHeight w:val="196"/>
        </w:trPr>
        <w:tc>
          <w:tcPr>
            <w:tcW w:w="860" w:type="dxa"/>
            <w:vAlign w:val="bottom"/>
          </w:tcPr>
          <w:p>
            <w:pPr>
              <w:spacing w:after="0"/>
              <w:rPr>
                <w:sz w:val="17"/>
                <w:szCs w:val="17"/>
                <w:color w:val="auto"/>
              </w:rPr>
            </w:pPr>
          </w:p>
        </w:tc>
        <w:tc>
          <w:tcPr>
            <w:tcW w:w="10140" w:type="dxa"/>
            <w:vAlign w:val="bottom"/>
            <w:gridSpan w:val="20"/>
          </w:tcPr>
          <w:p>
            <w:pPr>
              <w:spacing w:after="0" w:line="196" w:lineRule="exact"/>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Exhibit 4.3 of the registration Statement on Form S-8 of the Company filed on November 25, 2020)</w:t>
              </w:r>
            </w:hyperlink>
          </w:p>
        </w:tc>
      </w:tr>
      <w:tr>
        <w:trPr>
          <w:trHeight w:val="20"/>
        </w:trPr>
        <w:tc>
          <w:tcPr>
            <w:tcW w:w="860" w:type="dxa"/>
            <w:vAlign w:val="bottom"/>
          </w:tcPr>
          <w:p>
            <w:pPr>
              <w:spacing w:after="0" w:line="20" w:lineRule="exact"/>
              <w:rPr>
                <w:sz w:val="1"/>
                <w:szCs w:val="1"/>
                <w:color w:val="auto"/>
              </w:rPr>
            </w:pPr>
          </w:p>
        </w:tc>
        <w:tc>
          <w:tcPr>
            <w:tcW w:w="1620" w:type="dxa"/>
            <w:vAlign w:val="bottom"/>
            <w:gridSpan w:val="6"/>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3220" w:type="dxa"/>
            <w:vAlign w:val="bottom"/>
            <w:gridSpan w:val="5"/>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9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60" w:type="dxa"/>
            <w:vAlign w:val="bottom"/>
          </w:tcPr>
          <w:p>
            <w:pPr>
              <w:jc w:val="center"/>
              <w:ind w:right="250"/>
              <w:spacing w:after="0" w:line="196" w:lineRule="exact"/>
              <w:rPr>
                <w:sz w:val="20"/>
                <w:szCs w:val="20"/>
                <w:color w:val="auto"/>
              </w:rPr>
            </w:pPr>
            <w:r>
              <w:rPr>
                <w:rFonts w:ascii="Times New Roman" w:cs="Times New Roman" w:eastAsia="Times New Roman" w:hAnsi="Times New Roman"/>
                <w:sz w:val="18"/>
                <w:szCs w:val="18"/>
                <w:color w:val="auto"/>
                <w:w w:val="96"/>
              </w:rPr>
              <w:t>10.11*</w:t>
            </w:r>
          </w:p>
        </w:tc>
        <w:tc>
          <w:tcPr>
            <w:tcW w:w="1014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Form of Restricted Stock Award Agreement under the Microbot Medical Ltd. 2020 Omnibus Performance Award Plan (incorporated by</w:t>
              </w:r>
            </w:hyperlink>
          </w:p>
        </w:tc>
      </w:tr>
      <w:tr>
        <w:trPr>
          <w:trHeight w:val="196"/>
        </w:trPr>
        <w:tc>
          <w:tcPr>
            <w:tcW w:w="860" w:type="dxa"/>
            <w:vAlign w:val="bottom"/>
          </w:tcPr>
          <w:p>
            <w:pPr>
              <w:spacing w:after="0"/>
              <w:rPr>
                <w:sz w:val="17"/>
                <w:szCs w:val="17"/>
                <w:color w:val="auto"/>
              </w:rPr>
            </w:pPr>
          </w:p>
        </w:tc>
        <w:tc>
          <w:tcPr>
            <w:tcW w:w="10140" w:type="dxa"/>
            <w:vAlign w:val="bottom"/>
            <w:gridSpan w:val="20"/>
          </w:tcPr>
          <w:p>
            <w:pPr>
              <w:spacing w:after="0" w:line="196" w:lineRule="exact"/>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reference to Exhibit 4.4 of the registration Statement on Form S-8 of the Company filed on November 25, 2020)</w:t>
              </w:r>
            </w:hyperlink>
          </w:p>
        </w:tc>
      </w:tr>
      <w:tr>
        <w:trPr>
          <w:trHeight w:val="20"/>
        </w:trPr>
        <w:tc>
          <w:tcPr>
            <w:tcW w:w="860" w:type="dxa"/>
            <w:vAlign w:val="bottom"/>
          </w:tcPr>
          <w:p>
            <w:pPr>
              <w:spacing w:after="0" w:line="20" w:lineRule="exact"/>
              <w:rPr>
                <w:sz w:val="1"/>
                <w:szCs w:val="1"/>
                <w:color w:val="auto"/>
              </w:rPr>
            </w:pPr>
          </w:p>
        </w:tc>
        <w:tc>
          <w:tcPr>
            <w:tcW w:w="1620" w:type="dxa"/>
            <w:vAlign w:val="bottom"/>
            <w:gridSpan w:val="6"/>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3220" w:type="dxa"/>
            <w:vAlign w:val="bottom"/>
            <w:gridSpan w:val="5"/>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60" w:type="dxa"/>
            <w:vAlign w:val="bottom"/>
          </w:tcPr>
          <w:p>
            <w:pPr>
              <w:jc w:val="center"/>
              <w:ind w:right="270"/>
              <w:spacing w:after="0" w:line="196" w:lineRule="exact"/>
              <w:rPr>
                <w:sz w:val="20"/>
                <w:szCs w:val="20"/>
                <w:color w:val="auto"/>
              </w:rPr>
            </w:pPr>
            <w:r>
              <w:rPr>
                <w:rFonts w:ascii="Times New Roman" w:cs="Times New Roman" w:eastAsia="Times New Roman" w:hAnsi="Times New Roman"/>
                <w:sz w:val="18"/>
                <w:szCs w:val="18"/>
                <w:color w:val="auto"/>
              </w:rPr>
              <w:t>10.12*</w:t>
            </w:r>
          </w:p>
        </w:tc>
        <w:tc>
          <w:tcPr>
            <w:tcW w:w="1014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Form of SAR Award Agreement under the Microbot Medical Ltd. 2020 Omnibus Performance Award Plan (incorporated by reference to</w:t>
              </w:r>
            </w:hyperlink>
          </w:p>
        </w:tc>
      </w:tr>
      <w:tr>
        <w:trPr>
          <w:trHeight w:val="196"/>
        </w:trPr>
        <w:tc>
          <w:tcPr>
            <w:tcW w:w="860" w:type="dxa"/>
            <w:vAlign w:val="bottom"/>
          </w:tcPr>
          <w:p>
            <w:pPr>
              <w:spacing w:after="0"/>
              <w:rPr>
                <w:sz w:val="17"/>
                <w:szCs w:val="17"/>
                <w:color w:val="auto"/>
              </w:rPr>
            </w:pPr>
          </w:p>
        </w:tc>
        <w:tc>
          <w:tcPr>
            <w:tcW w:w="10140" w:type="dxa"/>
            <w:vAlign w:val="bottom"/>
            <w:gridSpan w:val="20"/>
          </w:tcPr>
          <w:p>
            <w:pPr>
              <w:spacing w:after="0" w:line="196"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Exhibit 4.5 of the registration Statement on Form S-8 of the Company filed on November 25, 2020)</w:t>
              </w:r>
            </w:hyperlink>
          </w:p>
        </w:tc>
      </w:tr>
      <w:tr>
        <w:trPr>
          <w:trHeight w:val="20"/>
        </w:trPr>
        <w:tc>
          <w:tcPr>
            <w:tcW w:w="860" w:type="dxa"/>
            <w:vAlign w:val="bottom"/>
          </w:tcPr>
          <w:p>
            <w:pPr>
              <w:spacing w:after="0" w:line="20" w:lineRule="exact"/>
              <w:rPr>
                <w:sz w:val="1"/>
                <w:szCs w:val="1"/>
                <w:color w:val="auto"/>
              </w:rPr>
            </w:pPr>
          </w:p>
        </w:tc>
        <w:tc>
          <w:tcPr>
            <w:tcW w:w="1620" w:type="dxa"/>
            <w:vAlign w:val="bottom"/>
            <w:gridSpan w:val="6"/>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3220" w:type="dxa"/>
            <w:vAlign w:val="bottom"/>
            <w:gridSpan w:val="5"/>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9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60" w:type="dxa"/>
            <w:vAlign w:val="bottom"/>
          </w:tcPr>
          <w:p>
            <w:pPr>
              <w:jc w:val="center"/>
              <w:ind w:right="270"/>
              <w:spacing w:after="0" w:line="196" w:lineRule="exact"/>
              <w:rPr>
                <w:sz w:val="20"/>
                <w:szCs w:val="20"/>
                <w:color w:val="auto"/>
              </w:rPr>
            </w:pPr>
            <w:r>
              <w:rPr>
                <w:rFonts w:ascii="Times New Roman" w:cs="Times New Roman" w:eastAsia="Times New Roman" w:hAnsi="Times New Roman"/>
                <w:sz w:val="18"/>
                <w:szCs w:val="18"/>
                <w:color w:val="auto"/>
              </w:rPr>
              <w:t>10.13*</w:t>
            </w:r>
          </w:p>
        </w:tc>
        <w:tc>
          <w:tcPr>
            <w:tcW w:w="1014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Form of ISO Award Agreement under the Microbot Medical Ltd. 2020 Omnibus Performance Award Plan (incorporated by reference to</w:t>
              </w:r>
            </w:hyperlink>
          </w:p>
        </w:tc>
      </w:tr>
      <w:tr>
        <w:trPr>
          <w:trHeight w:val="196"/>
        </w:trPr>
        <w:tc>
          <w:tcPr>
            <w:tcW w:w="860" w:type="dxa"/>
            <w:vAlign w:val="bottom"/>
          </w:tcPr>
          <w:p>
            <w:pPr>
              <w:spacing w:after="0"/>
              <w:rPr>
                <w:sz w:val="17"/>
                <w:szCs w:val="17"/>
                <w:color w:val="auto"/>
              </w:rPr>
            </w:pPr>
          </w:p>
        </w:tc>
        <w:tc>
          <w:tcPr>
            <w:tcW w:w="10140" w:type="dxa"/>
            <w:vAlign w:val="bottom"/>
            <w:gridSpan w:val="20"/>
          </w:tcPr>
          <w:p>
            <w:pPr>
              <w:spacing w:after="0" w:line="196" w:lineRule="exact"/>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Exhibit 4.6 of the registration Statement on Form S-8 of the Company filed on November 25, 2020)</w:t>
              </w:r>
            </w:hyperlink>
          </w:p>
        </w:tc>
      </w:tr>
      <w:tr>
        <w:trPr>
          <w:trHeight w:val="20"/>
        </w:trPr>
        <w:tc>
          <w:tcPr>
            <w:tcW w:w="860" w:type="dxa"/>
            <w:vAlign w:val="bottom"/>
          </w:tcPr>
          <w:p>
            <w:pPr>
              <w:spacing w:after="0" w:line="20" w:lineRule="exact"/>
              <w:rPr>
                <w:sz w:val="1"/>
                <w:szCs w:val="1"/>
                <w:color w:val="auto"/>
              </w:rPr>
            </w:pPr>
          </w:p>
        </w:tc>
        <w:tc>
          <w:tcPr>
            <w:tcW w:w="1620" w:type="dxa"/>
            <w:vAlign w:val="bottom"/>
            <w:gridSpan w:val="6"/>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3220" w:type="dxa"/>
            <w:vAlign w:val="bottom"/>
            <w:gridSpan w:val="5"/>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9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60" w:type="dxa"/>
            <w:vAlign w:val="bottom"/>
          </w:tcPr>
          <w:p>
            <w:pPr>
              <w:jc w:val="center"/>
              <w:ind w:right="270"/>
              <w:spacing w:after="0" w:line="196" w:lineRule="exact"/>
              <w:rPr>
                <w:sz w:val="20"/>
                <w:szCs w:val="20"/>
                <w:color w:val="auto"/>
              </w:rPr>
            </w:pPr>
            <w:r>
              <w:rPr>
                <w:rFonts w:ascii="Times New Roman" w:cs="Times New Roman" w:eastAsia="Times New Roman" w:hAnsi="Times New Roman"/>
                <w:sz w:val="18"/>
                <w:szCs w:val="18"/>
                <w:color w:val="auto"/>
              </w:rPr>
              <w:t>10.14*</w:t>
            </w:r>
          </w:p>
        </w:tc>
        <w:tc>
          <w:tcPr>
            <w:tcW w:w="1014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Employment Agreement, as of March 31, 2018, with Simon Sharon (incorporated by reference to Exhibit 10.1 of the Company’s Form 8-K</w:t>
              </w:r>
            </w:hyperlink>
          </w:p>
        </w:tc>
      </w:tr>
      <w:tr>
        <w:trPr>
          <w:trHeight w:val="196"/>
        </w:trPr>
        <w:tc>
          <w:tcPr>
            <w:tcW w:w="860" w:type="dxa"/>
            <w:vAlign w:val="bottom"/>
          </w:tcPr>
          <w:p>
            <w:pPr>
              <w:spacing w:after="0"/>
              <w:rPr>
                <w:sz w:val="17"/>
                <w:szCs w:val="17"/>
                <w:color w:val="auto"/>
              </w:rPr>
            </w:pPr>
          </w:p>
        </w:tc>
        <w:tc>
          <w:tcPr>
            <w:tcW w:w="10140" w:type="dxa"/>
            <w:vAlign w:val="bottom"/>
            <w:gridSpan w:val="20"/>
          </w:tcPr>
          <w:p>
            <w:pPr>
              <w:spacing w:after="0" w:line="196"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filed on April 7, 2021)</w:t>
              </w:r>
            </w:hyperlink>
          </w:p>
        </w:tc>
      </w:tr>
      <w:tr>
        <w:trPr>
          <w:trHeight w:val="20"/>
        </w:trPr>
        <w:tc>
          <w:tcPr>
            <w:tcW w:w="860" w:type="dxa"/>
            <w:vAlign w:val="bottom"/>
          </w:tcPr>
          <w:p>
            <w:pPr>
              <w:spacing w:after="0" w:line="20" w:lineRule="exact"/>
              <w:rPr>
                <w:sz w:val="1"/>
                <w:szCs w:val="1"/>
                <w:color w:val="auto"/>
              </w:rPr>
            </w:pPr>
          </w:p>
        </w:tc>
        <w:tc>
          <w:tcPr>
            <w:tcW w:w="1620" w:type="dxa"/>
            <w:vAlign w:val="bottom"/>
            <w:gridSpan w:val="6"/>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3220" w:type="dxa"/>
            <w:vAlign w:val="bottom"/>
            <w:gridSpan w:val="5"/>
          </w:tcPr>
          <w:p>
            <w:pPr>
              <w:spacing w:after="0" w:line="20" w:lineRule="exact"/>
              <w:rPr>
                <w:sz w:val="1"/>
                <w:szCs w:val="1"/>
                <w:color w:val="auto"/>
              </w:rPr>
            </w:pPr>
          </w:p>
        </w:tc>
        <w:tc>
          <w:tcPr>
            <w:tcW w:w="33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60" w:type="dxa"/>
            <w:vAlign w:val="bottom"/>
          </w:tcPr>
          <w:p>
            <w:pPr>
              <w:jc w:val="center"/>
              <w:ind w:right="270"/>
              <w:spacing w:after="0" w:line="196" w:lineRule="exact"/>
              <w:rPr>
                <w:sz w:val="20"/>
                <w:szCs w:val="20"/>
                <w:color w:val="auto"/>
              </w:rPr>
            </w:pPr>
            <w:r>
              <w:rPr>
                <w:rFonts w:ascii="Times New Roman" w:cs="Times New Roman" w:eastAsia="Times New Roman" w:hAnsi="Times New Roman"/>
                <w:sz w:val="18"/>
                <w:szCs w:val="18"/>
                <w:color w:val="auto"/>
              </w:rPr>
              <w:t>10.15*</w:t>
            </w:r>
          </w:p>
        </w:tc>
        <w:tc>
          <w:tcPr>
            <w:tcW w:w="1014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First Amendment to Employment Agreement, dated as of April 19, 2021, with Simon Sharon (incorporated by reference to Exhibit 10.1 of</w:t>
              </w:r>
            </w:hyperlink>
          </w:p>
        </w:tc>
      </w:tr>
      <w:tr>
        <w:trPr>
          <w:trHeight w:val="196"/>
        </w:trPr>
        <w:tc>
          <w:tcPr>
            <w:tcW w:w="860" w:type="dxa"/>
            <w:vAlign w:val="bottom"/>
          </w:tcPr>
          <w:p>
            <w:pPr>
              <w:spacing w:after="0"/>
              <w:rPr>
                <w:sz w:val="17"/>
                <w:szCs w:val="17"/>
                <w:color w:val="auto"/>
              </w:rPr>
            </w:pPr>
          </w:p>
        </w:tc>
        <w:tc>
          <w:tcPr>
            <w:tcW w:w="10140" w:type="dxa"/>
            <w:vAlign w:val="bottom"/>
            <w:gridSpan w:val="20"/>
          </w:tcPr>
          <w:p>
            <w:pPr>
              <w:spacing w:after="0" w:line="196"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the Company’s Form 8-K filed on April 22, 2021)</w:t>
              </w:r>
            </w:hyperlink>
          </w:p>
        </w:tc>
      </w:tr>
      <w:tr>
        <w:trPr>
          <w:trHeight w:val="20"/>
        </w:trPr>
        <w:tc>
          <w:tcPr>
            <w:tcW w:w="860" w:type="dxa"/>
            <w:vAlign w:val="bottom"/>
          </w:tcPr>
          <w:p>
            <w:pPr>
              <w:spacing w:after="0" w:line="20" w:lineRule="exact"/>
              <w:rPr>
                <w:sz w:val="1"/>
                <w:szCs w:val="1"/>
                <w:color w:val="auto"/>
              </w:rPr>
            </w:pPr>
          </w:p>
        </w:tc>
        <w:tc>
          <w:tcPr>
            <w:tcW w:w="2160" w:type="dxa"/>
            <w:vAlign w:val="bottom"/>
            <w:gridSpan w:val="7"/>
            <w:shd w:val="clear" w:color="auto" w:fill="0000EE"/>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3220" w:type="dxa"/>
            <w:vAlign w:val="bottom"/>
            <w:gridSpan w:val="5"/>
          </w:tcPr>
          <w:p>
            <w:pPr>
              <w:spacing w:after="0" w:line="20" w:lineRule="exact"/>
              <w:rPr>
                <w:sz w:val="1"/>
                <w:szCs w:val="1"/>
                <w:color w:val="auto"/>
              </w:rPr>
            </w:pPr>
          </w:p>
        </w:tc>
        <w:tc>
          <w:tcPr>
            <w:tcW w:w="33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60" w:type="dxa"/>
            <w:vAlign w:val="bottom"/>
          </w:tcPr>
          <w:p>
            <w:pPr>
              <w:jc w:val="center"/>
              <w:ind w:right="250"/>
              <w:spacing w:after="0" w:line="196" w:lineRule="exact"/>
              <w:rPr>
                <w:sz w:val="20"/>
                <w:szCs w:val="20"/>
                <w:color w:val="auto"/>
              </w:rPr>
            </w:pPr>
            <w:r>
              <w:rPr>
                <w:rFonts w:ascii="Times New Roman" w:cs="Times New Roman" w:eastAsia="Times New Roman" w:hAnsi="Times New Roman"/>
                <w:sz w:val="18"/>
                <w:szCs w:val="18"/>
                <w:color w:val="auto"/>
                <w:w w:val="98"/>
              </w:rPr>
              <w:t>10.16</w:t>
            </w:r>
          </w:p>
        </w:tc>
        <w:tc>
          <w:tcPr>
            <w:tcW w:w="1014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At the Market Offering Agreement, dated June 10, 2021, by and between Microbot Medical Inc. and H.C. Wainwright &amp; Co., LLC</w:t>
              </w:r>
            </w:hyperlink>
          </w:p>
        </w:tc>
      </w:tr>
      <w:tr>
        <w:trPr>
          <w:trHeight w:val="196"/>
        </w:trPr>
        <w:tc>
          <w:tcPr>
            <w:tcW w:w="860" w:type="dxa"/>
            <w:vAlign w:val="bottom"/>
          </w:tcPr>
          <w:p>
            <w:pPr>
              <w:spacing w:after="0"/>
              <w:rPr>
                <w:sz w:val="17"/>
                <w:szCs w:val="17"/>
                <w:color w:val="auto"/>
              </w:rPr>
            </w:pPr>
          </w:p>
        </w:tc>
        <w:tc>
          <w:tcPr>
            <w:tcW w:w="10140" w:type="dxa"/>
            <w:vAlign w:val="bottom"/>
            <w:gridSpan w:val="20"/>
          </w:tcPr>
          <w:p>
            <w:pPr>
              <w:spacing w:after="0" w:line="196" w:lineRule="exact"/>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(incorporated by reference to Exhibit 10.1 of the Company’s Form 8-K filed on June 10, 2021)</w:t>
              </w:r>
            </w:hyperlink>
          </w:p>
        </w:tc>
      </w:tr>
      <w:tr>
        <w:trPr>
          <w:trHeight w:val="20"/>
        </w:trPr>
        <w:tc>
          <w:tcPr>
            <w:tcW w:w="860" w:type="dxa"/>
            <w:vAlign w:val="bottom"/>
          </w:tcPr>
          <w:p>
            <w:pPr>
              <w:spacing w:after="0" w:line="20" w:lineRule="exact"/>
              <w:rPr>
                <w:sz w:val="1"/>
                <w:szCs w:val="1"/>
                <w:color w:val="auto"/>
              </w:rPr>
            </w:pPr>
          </w:p>
        </w:tc>
        <w:tc>
          <w:tcPr>
            <w:tcW w:w="2160" w:type="dxa"/>
            <w:vAlign w:val="bottom"/>
            <w:gridSpan w:val="7"/>
            <w:shd w:val="clear" w:color="auto" w:fill="0000EE"/>
          </w:tcPr>
          <w:p>
            <w:pPr>
              <w:spacing w:after="0" w:line="20" w:lineRule="exact"/>
              <w:rPr>
                <w:sz w:val="1"/>
                <w:szCs w:val="1"/>
                <w:color w:val="auto"/>
              </w:rPr>
            </w:pPr>
          </w:p>
        </w:tc>
        <w:tc>
          <w:tcPr>
            <w:tcW w:w="4660" w:type="dxa"/>
            <w:vAlign w:val="bottom"/>
            <w:gridSpan w:val="8"/>
            <w:shd w:val="clear" w:color="auto" w:fill="0000EE"/>
          </w:tcPr>
          <w:p>
            <w:pPr>
              <w:spacing w:after="0" w:line="20" w:lineRule="exact"/>
              <w:rPr>
                <w:sz w:val="1"/>
                <w:szCs w:val="1"/>
                <w:color w:val="auto"/>
              </w:rPr>
            </w:pPr>
          </w:p>
        </w:tc>
        <w:tc>
          <w:tcPr>
            <w:tcW w:w="33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60" w:type="dxa"/>
            <w:vAlign w:val="bottom"/>
          </w:tcPr>
          <w:p>
            <w:pPr>
              <w:jc w:val="center"/>
              <w:ind w:right="250"/>
              <w:spacing w:after="0" w:line="196" w:lineRule="exact"/>
              <w:rPr>
                <w:sz w:val="20"/>
                <w:szCs w:val="20"/>
                <w:color w:val="auto"/>
              </w:rPr>
            </w:pPr>
            <w:r>
              <w:rPr>
                <w:rFonts w:ascii="Times New Roman" w:cs="Times New Roman" w:eastAsia="Times New Roman" w:hAnsi="Times New Roman"/>
                <w:sz w:val="18"/>
                <w:szCs w:val="18"/>
                <w:color w:val="auto"/>
                <w:w w:val="98"/>
              </w:rPr>
              <w:t>10.17</w:t>
            </w:r>
          </w:p>
        </w:tc>
        <w:tc>
          <w:tcPr>
            <w:tcW w:w="10140" w:type="dxa"/>
            <w:vAlign w:val="bottom"/>
            <w:gridSpan w:val="20"/>
          </w:tcPr>
          <w:p>
            <w:pPr>
              <w:spacing w:after="0" w:line="196" w:lineRule="exact"/>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Asset Purchase Agreement with Nitiloop, Ltd. dated October 6, 2022 (incorporated by reference to the Registrant’s Current Report on Form</w:t>
              </w:r>
            </w:hyperlink>
          </w:p>
        </w:tc>
      </w:tr>
      <w:tr>
        <w:trPr>
          <w:trHeight w:val="196"/>
        </w:trPr>
        <w:tc>
          <w:tcPr>
            <w:tcW w:w="860" w:type="dxa"/>
            <w:vAlign w:val="bottom"/>
          </w:tcPr>
          <w:p>
            <w:pPr>
              <w:spacing w:after="0"/>
              <w:rPr>
                <w:sz w:val="17"/>
                <w:szCs w:val="17"/>
                <w:color w:val="auto"/>
              </w:rPr>
            </w:pPr>
          </w:p>
        </w:tc>
        <w:tc>
          <w:tcPr>
            <w:tcW w:w="216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61">
              <w:r>
                <w:rPr>
                  <w:rFonts w:ascii="Times New Roman" w:cs="Times New Roman" w:eastAsia="Times New Roman" w:hAnsi="Times New Roman"/>
                  <w:sz w:val="18"/>
                  <w:szCs w:val="18"/>
                  <w:color w:val="0000EE"/>
                  <w:w w:val="99"/>
                </w:rPr>
                <w:t>8-K filed on October 7, 2022)</w:t>
              </w:r>
            </w:hyperlink>
          </w:p>
        </w:tc>
        <w:tc>
          <w:tcPr>
            <w:tcW w:w="7960" w:type="dxa"/>
            <w:vAlign w:val="bottom"/>
            <w:tcBorders>
              <w:top w:val="single" w:sz="8" w:color="0000EE"/>
            </w:tcBorders>
            <w:gridSpan w:val="12"/>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860" w:type="dxa"/>
            <w:vAlign w:val="bottom"/>
          </w:tcPr>
          <w:p>
            <w:pPr>
              <w:jc w:val="center"/>
              <w:ind w:right="270"/>
              <w:spacing w:after="0" w:line="196" w:lineRule="exact"/>
              <w:rPr>
                <w:sz w:val="20"/>
                <w:szCs w:val="20"/>
                <w:color w:val="auto"/>
              </w:rPr>
            </w:pPr>
            <w:r>
              <w:rPr>
                <w:rFonts w:ascii="Times New Roman" w:cs="Times New Roman" w:eastAsia="Times New Roman" w:hAnsi="Times New Roman"/>
                <w:sz w:val="18"/>
                <w:szCs w:val="18"/>
                <w:color w:val="auto"/>
              </w:rPr>
              <w:t>10.18*</w:t>
            </w:r>
          </w:p>
        </w:tc>
        <w:tc>
          <w:tcPr>
            <w:tcW w:w="1014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Employment Agreement with Rachel Vaknin (incorporated by reference to the Company’s Current Report on Form 8-K filed on April 5,</w:t>
              </w:r>
            </w:hyperlink>
          </w:p>
        </w:tc>
      </w:tr>
      <w:tr>
        <w:trPr>
          <w:trHeight w:val="196"/>
        </w:trPr>
        <w:tc>
          <w:tcPr>
            <w:tcW w:w="860" w:type="dxa"/>
            <w:vAlign w:val="bottom"/>
          </w:tcPr>
          <w:p>
            <w:pPr>
              <w:spacing w:after="0"/>
              <w:rPr>
                <w:sz w:val="17"/>
                <w:szCs w:val="17"/>
                <w:color w:val="auto"/>
              </w:rPr>
            </w:pPr>
          </w:p>
        </w:tc>
        <w:tc>
          <w:tcPr>
            <w:tcW w:w="4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5"/>
              </w:rPr>
            </w:pPr>
            <w:hyperlink r:id="rId62">
              <w:r>
                <w:rPr>
                  <w:rFonts w:ascii="Times New Roman" w:cs="Times New Roman" w:eastAsia="Times New Roman" w:hAnsi="Times New Roman"/>
                  <w:sz w:val="18"/>
                  <w:szCs w:val="18"/>
                  <w:color w:val="0000EE"/>
                  <w:w w:val="95"/>
                </w:rPr>
                <w:t>2022)</w:t>
              </w:r>
            </w:hyperlink>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0" w:type="dxa"/>
            <w:vAlign w:val="bottom"/>
          </w:tcPr>
          <w:p>
            <w:pPr>
              <w:spacing w:after="0"/>
              <w:rPr>
                <w:sz w:val="17"/>
                <w:szCs w:val="17"/>
                <w:color w:val="auto"/>
              </w:rPr>
            </w:pPr>
          </w:p>
        </w:tc>
      </w:tr>
    </w:tbl>
    <w:p>
      <w:pPr>
        <w:spacing w:after="0" w:line="225"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00"/>
          </w:cols>
          <w:pgMar w:left="560" w:top="675" w:right="339" w:bottom="1440" w:gutter="0" w:footer="0" w:header="0"/>
        </w:sectPr>
      </w:pPr>
    </w:p>
    <w:bookmarkStart w:id="6" w:name="page7"/>
    <w:bookmarkEnd w:id="6"/>
    <w:tbl>
      <w:tblPr>
        <w:tblLayout w:type="fixed"/>
        <w:tblInd w:w="240" w:type="dxa"/>
        <w:tblCellMar>
          <w:top w:w="0" w:type="dxa"/>
          <w:left w:w="0" w:type="dxa"/>
          <w:bottom w:w="0" w:type="dxa"/>
          <w:right w:w="0" w:type="dxa"/>
        </w:tblCellMar>
      </w:tblPr>
      <w:tr>
        <w:trPr>
          <w:trHeight w:val="207"/>
        </w:trPr>
        <w:tc>
          <w:tcPr>
            <w:tcW w:w="86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10.19*</w:t>
            </w:r>
          </w:p>
        </w:tc>
        <w:tc>
          <w:tcPr>
            <w:tcW w:w="1014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Second Amendment to Employment Agreement with Harel Gadot (incorporated by reference to the Company’s Current Report on Form 8-</w:t>
              </w:r>
            </w:hyperlink>
          </w:p>
        </w:tc>
      </w:tr>
      <w:tr>
        <w:trPr>
          <w:trHeight w:val="196"/>
        </w:trPr>
        <w:tc>
          <w:tcPr>
            <w:tcW w:w="860" w:type="dxa"/>
            <w:vAlign w:val="bottom"/>
          </w:tcPr>
          <w:p>
            <w:pPr>
              <w:spacing w:after="0"/>
              <w:rPr>
                <w:sz w:val="17"/>
                <w:szCs w:val="17"/>
                <w:color w:val="auto"/>
              </w:rPr>
            </w:pPr>
          </w:p>
        </w:tc>
        <w:tc>
          <w:tcPr>
            <w:tcW w:w="20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64">
              <w:r>
                <w:rPr>
                  <w:rFonts w:ascii="Times New Roman" w:cs="Times New Roman" w:eastAsia="Times New Roman" w:hAnsi="Times New Roman"/>
                  <w:sz w:val="18"/>
                  <w:szCs w:val="18"/>
                  <w:color w:val="0000EE"/>
                  <w:w w:val="99"/>
                </w:rPr>
                <w:t>K filed on February 1, 2022)</w:t>
              </w:r>
            </w:hyperlink>
          </w:p>
        </w:tc>
        <w:tc>
          <w:tcPr>
            <w:tcW w:w="8060" w:type="dxa"/>
            <w:vAlign w:val="bottom"/>
            <w:gridSpan w:val="16"/>
          </w:tcPr>
          <w:p>
            <w:pPr>
              <w:spacing w:after="0"/>
              <w:rPr>
                <w:sz w:val="17"/>
                <w:szCs w:val="17"/>
                <w:color w:val="auto"/>
              </w:rPr>
            </w:pPr>
          </w:p>
        </w:tc>
      </w:tr>
      <w:tr>
        <w:trPr>
          <w:trHeight w:val="196"/>
        </w:trPr>
        <w:tc>
          <w:tcPr>
            <w:tcW w:w="860" w:type="dxa"/>
            <w:vAlign w:val="bottom"/>
          </w:tcPr>
          <w:p>
            <w:pPr>
              <w:jc w:val="center"/>
              <w:ind w:right="250"/>
              <w:spacing w:after="0" w:line="196" w:lineRule="exact"/>
              <w:rPr>
                <w:sz w:val="20"/>
                <w:szCs w:val="20"/>
                <w:color w:val="auto"/>
              </w:rPr>
            </w:pPr>
            <w:r>
              <w:rPr>
                <w:rFonts w:ascii="Times New Roman" w:cs="Times New Roman" w:eastAsia="Times New Roman" w:hAnsi="Times New Roman"/>
                <w:sz w:val="18"/>
                <w:szCs w:val="18"/>
                <w:color w:val="auto"/>
                <w:w w:val="98"/>
              </w:rPr>
              <w:t>10.20</w:t>
            </w:r>
          </w:p>
        </w:tc>
        <w:tc>
          <w:tcPr>
            <w:tcW w:w="10140" w:type="dxa"/>
            <w:vAlign w:val="bottom"/>
            <w:gridSpan w:val="24"/>
          </w:tcPr>
          <w:p>
            <w:pPr>
              <w:spacing w:after="0" w:line="196" w:lineRule="exact"/>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Letter Agreements dated March 18, 2021 between Microbot Medical Ltd. and Technion Research and Development Foundation Ltd.</w:t>
              </w:r>
            </w:hyperlink>
          </w:p>
        </w:tc>
      </w:tr>
      <w:tr>
        <w:trPr>
          <w:trHeight w:val="20"/>
        </w:trPr>
        <w:tc>
          <w:tcPr>
            <w:tcW w:w="86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10140" w:type="dxa"/>
            <w:vAlign w:val="bottom"/>
            <w:gridSpan w:val="24"/>
          </w:tcPr>
          <w:p>
            <w:pPr>
              <w:spacing w:after="0" w:line="196" w:lineRule="exact"/>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(incorporated by reference to the Company’s Annual Report on Form 10-K for the Fiscal Year ended December 31, 2022, filed on March</w:t>
              </w:r>
            </w:hyperlink>
          </w:p>
        </w:tc>
      </w:tr>
      <w:tr>
        <w:trPr>
          <w:trHeight w:val="196"/>
        </w:trPr>
        <w:tc>
          <w:tcPr>
            <w:tcW w:w="860" w:type="dxa"/>
            <w:vAlign w:val="bottom"/>
          </w:tcPr>
          <w:p>
            <w:pPr>
              <w:spacing w:after="0"/>
              <w:rPr>
                <w:sz w:val="17"/>
                <w:szCs w:val="17"/>
                <w:color w:val="auto"/>
              </w:rPr>
            </w:pPr>
          </w:p>
        </w:tc>
        <w:tc>
          <w:tcPr>
            <w:tcW w:w="70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65">
              <w:r>
                <w:rPr>
                  <w:rFonts w:ascii="Times New Roman" w:cs="Times New Roman" w:eastAsia="Times New Roman" w:hAnsi="Times New Roman"/>
                  <w:sz w:val="18"/>
                  <w:szCs w:val="18"/>
                  <w:color w:val="0000EE"/>
                  <w:w w:val="98"/>
                </w:rPr>
                <w:t>31, 2023)</w:t>
              </w:r>
            </w:hyperlink>
          </w:p>
        </w:tc>
        <w:tc>
          <w:tcPr>
            <w:tcW w:w="3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52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860" w:type="dxa"/>
            <w:vAlign w:val="bottom"/>
          </w:tcPr>
          <w:p>
            <w:pPr>
              <w:jc w:val="center"/>
              <w:ind w:right="250"/>
              <w:spacing w:after="0" w:line="196" w:lineRule="exact"/>
              <w:rPr>
                <w:sz w:val="20"/>
                <w:szCs w:val="20"/>
                <w:color w:val="auto"/>
              </w:rPr>
            </w:pPr>
            <w:r>
              <w:rPr>
                <w:rFonts w:ascii="Times New Roman" w:cs="Times New Roman" w:eastAsia="Times New Roman" w:hAnsi="Times New Roman"/>
                <w:sz w:val="18"/>
                <w:szCs w:val="18"/>
                <w:color w:val="auto"/>
                <w:w w:val="98"/>
              </w:rPr>
              <w:t>10.21</w:t>
            </w:r>
          </w:p>
        </w:tc>
        <w:tc>
          <w:tcPr>
            <w:tcW w:w="1014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Form of Securities Purchase Agreement, dated as of October 21, 2022, by and among Microbot Medical Inc. and the purchaser party thereto</w:t>
              </w:r>
            </w:hyperlink>
          </w:p>
        </w:tc>
      </w:tr>
      <w:tr>
        <w:trPr>
          <w:trHeight w:val="196"/>
        </w:trPr>
        <w:tc>
          <w:tcPr>
            <w:tcW w:w="860" w:type="dxa"/>
            <w:vAlign w:val="bottom"/>
          </w:tcPr>
          <w:p>
            <w:pPr>
              <w:spacing w:after="0"/>
              <w:rPr>
                <w:sz w:val="17"/>
                <w:szCs w:val="17"/>
                <w:color w:val="auto"/>
              </w:rPr>
            </w:pPr>
          </w:p>
        </w:tc>
        <w:tc>
          <w:tcPr>
            <w:tcW w:w="734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66">
              <w:r>
                <w:rPr>
                  <w:rFonts w:ascii="Times New Roman" w:cs="Times New Roman" w:eastAsia="Times New Roman" w:hAnsi="Times New Roman"/>
                  <w:sz w:val="18"/>
                  <w:szCs w:val="18"/>
                  <w:color w:val="0000EE"/>
                  <w:w w:val="99"/>
                </w:rPr>
                <w:t>(incorporated by reference to the Registrant’s Current Report on Form 8-K filed on October 25, 2022)</w:t>
              </w:r>
            </w:hyperlink>
          </w:p>
        </w:tc>
        <w:tc>
          <w:tcPr>
            <w:tcW w:w="2800" w:type="dxa"/>
            <w:vAlign w:val="bottom"/>
            <w:gridSpan w:val="5"/>
          </w:tcPr>
          <w:p>
            <w:pPr>
              <w:spacing w:after="0"/>
              <w:rPr>
                <w:sz w:val="17"/>
                <w:szCs w:val="17"/>
                <w:color w:val="auto"/>
              </w:rPr>
            </w:pPr>
          </w:p>
        </w:tc>
      </w:tr>
      <w:tr>
        <w:trPr>
          <w:trHeight w:val="196"/>
        </w:trPr>
        <w:tc>
          <w:tcPr>
            <w:tcW w:w="860" w:type="dxa"/>
            <w:vAlign w:val="bottom"/>
          </w:tcPr>
          <w:p>
            <w:pPr>
              <w:jc w:val="center"/>
              <w:ind w:right="270"/>
              <w:spacing w:after="0" w:line="196" w:lineRule="exact"/>
              <w:rPr>
                <w:sz w:val="20"/>
                <w:szCs w:val="20"/>
                <w:color w:val="auto"/>
              </w:rPr>
            </w:pPr>
            <w:r>
              <w:rPr>
                <w:rFonts w:ascii="Times New Roman" w:cs="Times New Roman" w:eastAsia="Times New Roman" w:hAnsi="Times New Roman"/>
                <w:sz w:val="18"/>
                <w:szCs w:val="18"/>
                <w:color w:val="auto"/>
              </w:rPr>
              <w:t>10.22*</w:t>
            </w:r>
          </w:p>
        </w:tc>
        <w:tc>
          <w:tcPr>
            <w:tcW w:w="1014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Addendum to Employment Agreement with Rachel Vaknin (incorporated by reference to the Company’s Current Report on Form 8-K filed</w:t>
              </w:r>
            </w:hyperlink>
          </w:p>
        </w:tc>
      </w:tr>
      <w:tr>
        <w:trPr>
          <w:trHeight w:val="196"/>
        </w:trPr>
        <w:tc>
          <w:tcPr>
            <w:tcW w:w="860" w:type="dxa"/>
            <w:vAlign w:val="bottom"/>
          </w:tcPr>
          <w:p>
            <w:pPr>
              <w:spacing w:after="0"/>
              <w:rPr>
                <w:sz w:val="17"/>
                <w:szCs w:val="17"/>
                <w:color w:val="auto"/>
              </w:rPr>
            </w:pPr>
          </w:p>
        </w:tc>
        <w:tc>
          <w:tcPr>
            <w:tcW w:w="13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67">
              <w:r>
                <w:rPr>
                  <w:rFonts w:ascii="Times New Roman" w:cs="Times New Roman" w:eastAsia="Times New Roman" w:hAnsi="Times New Roman"/>
                  <w:sz w:val="18"/>
                  <w:szCs w:val="18"/>
                  <w:color w:val="0000EE"/>
                  <w:w w:val="99"/>
                </w:rPr>
                <w:t>on May 22, 2023)</w:t>
              </w:r>
            </w:hyperlink>
          </w:p>
        </w:tc>
        <w:tc>
          <w:tcPr>
            <w:tcW w:w="8840" w:type="dxa"/>
            <w:vAlign w:val="bottom"/>
            <w:gridSpan w:val="20"/>
          </w:tcPr>
          <w:p>
            <w:pPr>
              <w:spacing w:after="0"/>
              <w:rPr>
                <w:sz w:val="17"/>
                <w:szCs w:val="17"/>
                <w:color w:val="auto"/>
              </w:rPr>
            </w:pPr>
          </w:p>
        </w:tc>
      </w:tr>
      <w:tr>
        <w:trPr>
          <w:trHeight w:val="196"/>
        </w:trPr>
        <w:tc>
          <w:tcPr>
            <w:tcW w:w="860" w:type="dxa"/>
            <w:vAlign w:val="bottom"/>
          </w:tcPr>
          <w:p>
            <w:pPr>
              <w:jc w:val="center"/>
              <w:ind w:right="270"/>
              <w:spacing w:after="0" w:line="196" w:lineRule="exact"/>
              <w:rPr>
                <w:sz w:val="20"/>
                <w:szCs w:val="20"/>
                <w:color w:val="auto"/>
              </w:rPr>
            </w:pPr>
            <w:r>
              <w:rPr>
                <w:rFonts w:ascii="Times New Roman" w:cs="Times New Roman" w:eastAsia="Times New Roman" w:hAnsi="Times New Roman"/>
                <w:sz w:val="18"/>
                <w:szCs w:val="18"/>
                <w:color w:val="auto"/>
              </w:rPr>
              <w:t>10.23*</w:t>
            </w:r>
          </w:p>
        </w:tc>
        <w:tc>
          <w:tcPr>
            <w:tcW w:w="1014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Addendum to Employment Agreement with Simon Sharon (incorporated by reference to the Company’s Current Report on Form 8-K filed</w:t>
              </w:r>
            </w:hyperlink>
          </w:p>
        </w:tc>
      </w:tr>
      <w:tr>
        <w:trPr>
          <w:trHeight w:val="196"/>
        </w:trPr>
        <w:tc>
          <w:tcPr>
            <w:tcW w:w="860" w:type="dxa"/>
            <w:vAlign w:val="bottom"/>
          </w:tcPr>
          <w:p>
            <w:pPr>
              <w:spacing w:after="0"/>
              <w:rPr>
                <w:sz w:val="17"/>
                <w:szCs w:val="17"/>
                <w:color w:val="auto"/>
              </w:rPr>
            </w:pPr>
          </w:p>
        </w:tc>
        <w:tc>
          <w:tcPr>
            <w:tcW w:w="13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68">
              <w:r>
                <w:rPr>
                  <w:rFonts w:ascii="Times New Roman" w:cs="Times New Roman" w:eastAsia="Times New Roman" w:hAnsi="Times New Roman"/>
                  <w:sz w:val="18"/>
                  <w:szCs w:val="18"/>
                  <w:color w:val="0000EE"/>
                  <w:w w:val="99"/>
                </w:rPr>
                <w:t>on May 22, 2023)</w:t>
              </w:r>
            </w:hyperlink>
          </w:p>
        </w:tc>
        <w:tc>
          <w:tcPr>
            <w:tcW w:w="8840" w:type="dxa"/>
            <w:vAlign w:val="bottom"/>
            <w:gridSpan w:val="20"/>
          </w:tcPr>
          <w:p>
            <w:pPr>
              <w:spacing w:after="0"/>
              <w:rPr>
                <w:sz w:val="17"/>
                <w:szCs w:val="17"/>
                <w:color w:val="auto"/>
              </w:rPr>
            </w:pPr>
          </w:p>
        </w:tc>
      </w:tr>
      <w:tr>
        <w:trPr>
          <w:trHeight w:val="196"/>
        </w:trPr>
        <w:tc>
          <w:tcPr>
            <w:tcW w:w="860" w:type="dxa"/>
            <w:vAlign w:val="bottom"/>
          </w:tcPr>
          <w:p>
            <w:pPr>
              <w:jc w:val="center"/>
              <w:ind w:right="270"/>
              <w:spacing w:after="0" w:line="196" w:lineRule="exact"/>
              <w:rPr>
                <w:sz w:val="20"/>
                <w:szCs w:val="20"/>
                <w:color w:val="auto"/>
              </w:rPr>
            </w:pPr>
            <w:r>
              <w:rPr>
                <w:rFonts w:ascii="Times New Roman" w:cs="Times New Roman" w:eastAsia="Times New Roman" w:hAnsi="Times New Roman"/>
                <w:sz w:val="18"/>
                <w:szCs w:val="18"/>
                <w:color w:val="auto"/>
              </w:rPr>
              <w:t>10.24*</w:t>
            </w:r>
          </w:p>
        </w:tc>
        <w:tc>
          <w:tcPr>
            <w:tcW w:w="1014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Addendum to Employment Agreement with Eyal Morag (incorporated by reference to the Company’s Current Report on Form 8-K filed on</w:t>
              </w:r>
            </w:hyperlink>
          </w:p>
        </w:tc>
      </w:tr>
      <w:tr>
        <w:trPr>
          <w:trHeight w:val="196"/>
        </w:trPr>
        <w:tc>
          <w:tcPr>
            <w:tcW w:w="860" w:type="dxa"/>
            <w:vAlign w:val="bottom"/>
          </w:tcPr>
          <w:p>
            <w:pPr>
              <w:spacing w:after="0"/>
              <w:rPr>
                <w:sz w:val="17"/>
                <w:szCs w:val="17"/>
                <w:color w:val="auto"/>
              </w:rPr>
            </w:pPr>
          </w:p>
        </w:tc>
        <w:tc>
          <w:tcPr>
            <w:tcW w:w="10140" w:type="dxa"/>
            <w:vAlign w:val="bottom"/>
            <w:gridSpan w:val="24"/>
          </w:tcPr>
          <w:p>
            <w:pPr>
              <w:spacing w:after="0" w:line="196" w:lineRule="exact"/>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May 22, 2023)</w:t>
              </w:r>
            </w:hyperlink>
          </w:p>
        </w:tc>
      </w:tr>
      <w:tr>
        <w:trPr>
          <w:trHeight w:val="20"/>
        </w:trPr>
        <w:tc>
          <w:tcPr>
            <w:tcW w:w="86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60" w:type="dxa"/>
            <w:vAlign w:val="bottom"/>
          </w:tcPr>
          <w:p>
            <w:pPr>
              <w:jc w:val="center"/>
              <w:ind w:right="270"/>
              <w:spacing w:after="0" w:line="196" w:lineRule="exact"/>
              <w:rPr>
                <w:sz w:val="20"/>
                <w:szCs w:val="20"/>
                <w:color w:val="auto"/>
              </w:rPr>
            </w:pPr>
            <w:r>
              <w:rPr>
                <w:rFonts w:ascii="Times New Roman" w:cs="Times New Roman" w:eastAsia="Times New Roman" w:hAnsi="Times New Roman"/>
                <w:sz w:val="18"/>
                <w:szCs w:val="18"/>
                <w:color w:val="auto"/>
              </w:rPr>
              <w:t>10.25*</w:t>
            </w:r>
          </w:p>
        </w:tc>
        <w:tc>
          <w:tcPr>
            <w:tcW w:w="1014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Addendum to Employment Agreement with Eyal Morag. (incorporated by reference to the Company’s Current Report on Form 8-K filed on</w:t>
              </w:r>
            </w:hyperlink>
          </w:p>
        </w:tc>
      </w:tr>
      <w:tr>
        <w:trPr>
          <w:trHeight w:val="196"/>
        </w:trPr>
        <w:tc>
          <w:tcPr>
            <w:tcW w:w="860" w:type="dxa"/>
            <w:vAlign w:val="bottom"/>
          </w:tcPr>
          <w:p>
            <w:pPr>
              <w:spacing w:after="0"/>
              <w:rPr>
                <w:sz w:val="17"/>
                <w:szCs w:val="17"/>
                <w:color w:val="auto"/>
              </w:rPr>
            </w:pPr>
          </w:p>
        </w:tc>
        <w:tc>
          <w:tcPr>
            <w:tcW w:w="10140" w:type="dxa"/>
            <w:vAlign w:val="bottom"/>
            <w:gridSpan w:val="24"/>
          </w:tcPr>
          <w:p>
            <w:pPr>
              <w:spacing w:after="0" w:line="196" w:lineRule="exact"/>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May 22, 2023)</w:t>
              </w:r>
            </w:hyperlink>
          </w:p>
        </w:tc>
      </w:tr>
      <w:tr>
        <w:trPr>
          <w:trHeight w:val="20"/>
        </w:trPr>
        <w:tc>
          <w:tcPr>
            <w:tcW w:w="86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60" w:type="dxa"/>
            <w:vAlign w:val="bottom"/>
          </w:tcPr>
          <w:p>
            <w:pPr>
              <w:jc w:val="center"/>
              <w:ind w:right="250"/>
              <w:spacing w:after="0" w:line="196" w:lineRule="exact"/>
              <w:rPr>
                <w:sz w:val="20"/>
                <w:szCs w:val="20"/>
                <w:color w:val="auto"/>
              </w:rPr>
            </w:pPr>
            <w:r>
              <w:rPr>
                <w:rFonts w:ascii="Times New Roman" w:cs="Times New Roman" w:eastAsia="Times New Roman" w:hAnsi="Times New Roman"/>
                <w:sz w:val="18"/>
                <w:szCs w:val="18"/>
                <w:color w:val="auto"/>
                <w:w w:val="98"/>
              </w:rPr>
              <w:t>10.26</w:t>
            </w:r>
          </w:p>
        </w:tc>
        <w:tc>
          <w:tcPr>
            <w:tcW w:w="1014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Form of Securities Purchase Agreement, dated as of May 22, 2023, by and among Microbot Medical Inc. and the purchasers party thereto</w:t>
              </w:r>
            </w:hyperlink>
          </w:p>
        </w:tc>
      </w:tr>
      <w:tr>
        <w:trPr>
          <w:trHeight w:val="196"/>
        </w:trPr>
        <w:tc>
          <w:tcPr>
            <w:tcW w:w="860" w:type="dxa"/>
            <w:vAlign w:val="bottom"/>
          </w:tcPr>
          <w:p>
            <w:pPr>
              <w:spacing w:after="0"/>
              <w:rPr>
                <w:sz w:val="17"/>
                <w:szCs w:val="17"/>
                <w:color w:val="auto"/>
              </w:rPr>
            </w:pPr>
          </w:p>
        </w:tc>
        <w:tc>
          <w:tcPr>
            <w:tcW w:w="10140" w:type="dxa"/>
            <w:vAlign w:val="bottom"/>
            <w:gridSpan w:val="24"/>
          </w:tcPr>
          <w:p>
            <w:pPr>
              <w:spacing w:after="0" w:line="196" w:lineRule="exact"/>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(incorporated by reference to the Registrant’s Current Report on Form 8-K filed on May 23, 2023)</w:t>
              </w:r>
            </w:hyperlink>
          </w:p>
        </w:tc>
      </w:tr>
      <w:tr>
        <w:trPr>
          <w:trHeight w:val="20"/>
        </w:trPr>
        <w:tc>
          <w:tcPr>
            <w:tcW w:w="860" w:type="dxa"/>
            <w:vAlign w:val="bottom"/>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60" w:type="dxa"/>
            <w:vAlign w:val="bottom"/>
          </w:tcPr>
          <w:p>
            <w:pPr>
              <w:jc w:val="center"/>
              <w:ind w:right="250"/>
              <w:spacing w:after="0" w:line="196" w:lineRule="exact"/>
              <w:rPr>
                <w:sz w:val="20"/>
                <w:szCs w:val="20"/>
                <w:color w:val="auto"/>
              </w:rPr>
            </w:pPr>
            <w:r>
              <w:rPr>
                <w:rFonts w:ascii="Times New Roman" w:cs="Times New Roman" w:eastAsia="Times New Roman" w:hAnsi="Times New Roman"/>
                <w:sz w:val="18"/>
                <w:szCs w:val="18"/>
                <w:color w:val="auto"/>
                <w:w w:val="98"/>
              </w:rPr>
              <w:t>10.27</w:t>
            </w:r>
          </w:p>
        </w:tc>
        <w:tc>
          <w:tcPr>
            <w:tcW w:w="1014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Form of Securities Purchase Agreement, dated as of May 23, 2023, by and among Microbot Medical Inc. and the purchaser party thereto</w:t>
              </w:r>
            </w:hyperlink>
          </w:p>
        </w:tc>
      </w:tr>
      <w:tr>
        <w:trPr>
          <w:trHeight w:val="196"/>
        </w:trPr>
        <w:tc>
          <w:tcPr>
            <w:tcW w:w="860" w:type="dxa"/>
            <w:vAlign w:val="bottom"/>
          </w:tcPr>
          <w:p>
            <w:pPr>
              <w:spacing w:after="0"/>
              <w:rPr>
                <w:sz w:val="17"/>
                <w:szCs w:val="17"/>
                <w:color w:val="auto"/>
              </w:rPr>
            </w:pPr>
          </w:p>
        </w:tc>
        <w:tc>
          <w:tcPr>
            <w:tcW w:w="10140" w:type="dxa"/>
            <w:vAlign w:val="bottom"/>
            <w:gridSpan w:val="24"/>
          </w:tcPr>
          <w:p>
            <w:pPr>
              <w:spacing w:after="0" w:line="196" w:lineRule="exact"/>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(incorporated by reference to the Registrant’s Current Report on Form 8-K filed on May 24, 2023)</w:t>
              </w:r>
            </w:hyperlink>
          </w:p>
        </w:tc>
      </w:tr>
      <w:tr>
        <w:trPr>
          <w:trHeight w:val="20"/>
        </w:trPr>
        <w:tc>
          <w:tcPr>
            <w:tcW w:w="860" w:type="dxa"/>
            <w:vAlign w:val="bottom"/>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60" w:type="dxa"/>
            <w:vAlign w:val="bottom"/>
          </w:tcPr>
          <w:p>
            <w:pPr>
              <w:jc w:val="center"/>
              <w:ind w:right="250"/>
              <w:spacing w:after="0" w:line="196" w:lineRule="exact"/>
              <w:rPr>
                <w:sz w:val="20"/>
                <w:szCs w:val="20"/>
                <w:color w:val="auto"/>
              </w:rPr>
            </w:pPr>
            <w:r>
              <w:rPr>
                <w:rFonts w:ascii="Times New Roman" w:cs="Times New Roman" w:eastAsia="Times New Roman" w:hAnsi="Times New Roman"/>
                <w:sz w:val="18"/>
                <w:szCs w:val="18"/>
                <w:color w:val="auto"/>
                <w:w w:val="98"/>
              </w:rPr>
              <w:t>10.28</w:t>
            </w:r>
          </w:p>
        </w:tc>
        <w:tc>
          <w:tcPr>
            <w:tcW w:w="1014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Form of Securities Purchase Agreement, dated as of June 2, 2023, by and among Microbot Medical Inc. and the purchasers party thereto</w:t>
              </w:r>
            </w:hyperlink>
          </w:p>
        </w:tc>
      </w:tr>
      <w:tr>
        <w:trPr>
          <w:trHeight w:val="196"/>
        </w:trPr>
        <w:tc>
          <w:tcPr>
            <w:tcW w:w="860" w:type="dxa"/>
            <w:vAlign w:val="bottom"/>
          </w:tcPr>
          <w:p>
            <w:pPr>
              <w:spacing w:after="0"/>
              <w:rPr>
                <w:sz w:val="17"/>
                <w:szCs w:val="17"/>
                <w:color w:val="auto"/>
              </w:rPr>
            </w:pPr>
          </w:p>
        </w:tc>
        <w:tc>
          <w:tcPr>
            <w:tcW w:w="700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73">
              <w:r>
                <w:rPr>
                  <w:rFonts w:ascii="Times New Roman" w:cs="Times New Roman" w:eastAsia="Times New Roman" w:hAnsi="Times New Roman"/>
                  <w:sz w:val="18"/>
                  <w:szCs w:val="18"/>
                  <w:color w:val="0000EE"/>
                  <w:w w:val="99"/>
                </w:rPr>
                <w:t>(incorporated by reference to the Registrant’s Current Report on Form 8-K filed on June 6, 2023)</w:t>
              </w:r>
            </w:hyperlink>
          </w:p>
        </w:tc>
        <w:tc>
          <w:tcPr>
            <w:tcW w:w="3140" w:type="dxa"/>
            <w:vAlign w:val="bottom"/>
            <w:gridSpan w:val="9"/>
          </w:tcPr>
          <w:p>
            <w:pPr>
              <w:spacing w:after="0"/>
              <w:rPr>
                <w:sz w:val="17"/>
                <w:szCs w:val="17"/>
                <w:color w:val="auto"/>
              </w:rPr>
            </w:pPr>
          </w:p>
        </w:tc>
      </w:tr>
      <w:tr>
        <w:trPr>
          <w:trHeight w:val="196"/>
        </w:trPr>
        <w:tc>
          <w:tcPr>
            <w:tcW w:w="860" w:type="dxa"/>
            <w:vAlign w:val="bottom"/>
          </w:tcPr>
          <w:p>
            <w:pPr>
              <w:jc w:val="center"/>
              <w:ind w:right="250"/>
              <w:spacing w:after="0" w:line="196" w:lineRule="exact"/>
              <w:rPr>
                <w:sz w:val="20"/>
                <w:szCs w:val="20"/>
                <w:color w:val="auto"/>
              </w:rPr>
            </w:pPr>
            <w:r>
              <w:rPr>
                <w:rFonts w:ascii="Times New Roman" w:cs="Times New Roman" w:eastAsia="Times New Roman" w:hAnsi="Times New Roman"/>
                <w:sz w:val="18"/>
                <w:szCs w:val="18"/>
                <w:color w:val="auto"/>
                <w:w w:val="98"/>
              </w:rPr>
              <w:t>10.29</w:t>
            </w:r>
          </w:p>
        </w:tc>
        <w:tc>
          <w:tcPr>
            <w:tcW w:w="1014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Form of Securities Purchase Agreement, dated as of June 26, 2023, by and among Microbot Medical Inc. and the purchasers party thereto</w:t>
              </w:r>
            </w:hyperlink>
          </w:p>
        </w:tc>
      </w:tr>
      <w:tr>
        <w:trPr>
          <w:trHeight w:val="196"/>
        </w:trPr>
        <w:tc>
          <w:tcPr>
            <w:tcW w:w="860" w:type="dxa"/>
            <w:vAlign w:val="bottom"/>
          </w:tcPr>
          <w:p>
            <w:pPr>
              <w:spacing w:after="0"/>
              <w:rPr>
                <w:sz w:val="17"/>
                <w:szCs w:val="17"/>
                <w:color w:val="auto"/>
              </w:rPr>
            </w:pPr>
          </w:p>
        </w:tc>
        <w:tc>
          <w:tcPr>
            <w:tcW w:w="10140" w:type="dxa"/>
            <w:vAlign w:val="bottom"/>
            <w:gridSpan w:val="24"/>
          </w:tcPr>
          <w:p>
            <w:pPr>
              <w:spacing w:after="0" w:line="196"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(incorporated by reference to the Registrant’s Current Report on Form 8-K filed on June 28, 2023)</w:t>
              </w:r>
            </w:hyperlink>
          </w:p>
        </w:tc>
      </w:tr>
      <w:tr>
        <w:trPr>
          <w:trHeight w:val="20"/>
        </w:trPr>
        <w:tc>
          <w:tcPr>
            <w:tcW w:w="860" w:type="dxa"/>
            <w:vAlign w:val="bottom"/>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60" w:type="dxa"/>
            <w:vAlign w:val="bottom"/>
          </w:tcPr>
          <w:p>
            <w:pPr>
              <w:jc w:val="center"/>
              <w:ind w:right="250"/>
              <w:spacing w:after="0" w:line="196" w:lineRule="exact"/>
              <w:rPr>
                <w:sz w:val="20"/>
                <w:szCs w:val="20"/>
                <w:color w:val="auto"/>
              </w:rPr>
            </w:pPr>
            <w:r>
              <w:rPr>
                <w:rFonts w:ascii="Times New Roman" w:cs="Times New Roman" w:eastAsia="Times New Roman" w:hAnsi="Times New Roman"/>
                <w:sz w:val="18"/>
                <w:szCs w:val="18"/>
                <w:color w:val="auto"/>
                <w:w w:val="98"/>
              </w:rPr>
              <w:t>10.30</w:t>
            </w:r>
          </w:p>
        </w:tc>
        <w:tc>
          <w:tcPr>
            <w:tcW w:w="1014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Employment Agreement with Juan Diaz-Cartelle, MD (incorporated by reference to the Registrant’s Current Report on Form 8-K filed on</w:t>
              </w:r>
            </w:hyperlink>
          </w:p>
        </w:tc>
      </w:tr>
      <w:tr>
        <w:trPr>
          <w:trHeight w:val="196"/>
        </w:trPr>
        <w:tc>
          <w:tcPr>
            <w:tcW w:w="860" w:type="dxa"/>
            <w:vAlign w:val="bottom"/>
          </w:tcPr>
          <w:p>
            <w:pPr>
              <w:spacing w:after="0"/>
              <w:rPr>
                <w:sz w:val="17"/>
                <w:szCs w:val="17"/>
                <w:color w:val="auto"/>
              </w:rPr>
            </w:pPr>
          </w:p>
        </w:tc>
        <w:tc>
          <w:tcPr>
            <w:tcW w:w="15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r:id="rId75">
              <w:r>
                <w:rPr>
                  <w:rFonts w:ascii="Times New Roman" w:cs="Times New Roman" w:eastAsia="Times New Roman" w:hAnsi="Times New Roman"/>
                  <w:sz w:val="18"/>
                  <w:szCs w:val="18"/>
                  <w:color w:val="0000EE"/>
                  <w:w w:val="98"/>
                </w:rPr>
                <w:t>November 21, 2023)</w:t>
              </w:r>
            </w:hyperlink>
          </w:p>
        </w:tc>
        <w:tc>
          <w:tcPr>
            <w:tcW w:w="8640" w:type="dxa"/>
            <w:vAlign w:val="bottom"/>
            <w:gridSpan w:val="19"/>
          </w:tcPr>
          <w:p>
            <w:pPr>
              <w:spacing w:after="0"/>
              <w:rPr>
                <w:sz w:val="17"/>
                <w:szCs w:val="17"/>
                <w:color w:val="auto"/>
              </w:rPr>
            </w:pPr>
          </w:p>
        </w:tc>
      </w:tr>
      <w:tr>
        <w:trPr>
          <w:trHeight w:val="196"/>
        </w:trPr>
        <w:tc>
          <w:tcPr>
            <w:tcW w:w="860" w:type="dxa"/>
            <w:vAlign w:val="bottom"/>
          </w:tcPr>
          <w:p>
            <w:pPr>
              <w:jc w:val="center"/>
              <w:ind w:right="250"/>
              <w:spacing w:after="0" w:line="196" w:lineRule="exact"/>
              <w:rPr>
                <w:sz w:val="20"/>
                <w:szCs w:val="20"/>
                <w:color w:val="auto"/>
              </w:rPr>
            </w:pPr>
            <w:r>
              <w:rPr>
                <w:rFonts w:ascii="Times New Roman" w:cs="Times New Roman" w:eastAsia="Times New Roman" w:hAnsi="Times New Roman"/>
                <w:sz w:val="18"/>
                <w:szCs w:val="18"/>
                <w:color w:val="auto"/>
                <w:w w:val="98"/>
              </w:rPr>
              <w:t>10.30</w:t>
            </w:r>
          </w:p>
        </w:tc>
        <w:tc>
          <w:tcPr>
            <w:tcW w:w="10140" w:type="dxa"/>
            <w:vAlign w:val="bottom"/>
            <w:gridSpan w:val="24"/>
          </w:tcPr>
          <w:p>
            <w:pPr>
              <w:spacing w:after="0" w:line="196" w:lineRule="exact"/>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Form of Inducement Letter (incorporated by reference to the Registrant’s Current Report on Form 8-K filed on January 2, 2024)</w:t>
              </w:r>
            </w:hyperlink>
          </w:p>
        </w:tc>
      </w:tr>
      <w:tr>
        <w:trPr>
          <w:trHeight w:val="20"/>
        </w:trPr>
        <w:tc>
          <w:tcPr>
            <w:tcW w:w="860" w:type="dxa"/>
            <w:vAlign w:val="bottom"/>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30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60" w:type="dxa"/>
            <w:vAlign w:val="bottom"/>
          </w:tcPr>
          <w:p>
            <w:pPr>
              <w:jc w:val="center"/>
              <w:ind w:right="250"/>
              <w:spacing w:after="0" w:line="196" w:lineRule="exact"/>
              <w:rPr>
                <w:sz w:val="20"/>
                <w:szCs w:val="20"/>
                <w:color w:val="auto"/>
              </w:rPr>
            </w:pPr>
            <w:r>
              <w:rPr>
                <w:rFonts w:ascii="Times New Roman" w:cs="Times New Roman" w:eastAsia="Times New Roman" w:hAnsi="Times New Roman"/>
                <w:sz w:val="18"/>
                <w:szCs w:val="18"/>
                <w:color w:val="auto"/>
                <w:w w:val="98"/>
              </w:rPr>
              <w:t>10.32</w:t>
            </w:r>
          </w:p>
        </w:tc>
        <w:tc>
          <w:tcPr>
            <w:tcW w:w="1014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Settlement Agreement and Release dated as of January 26, 2024 (incorporated by reference to the Registrant’s Current Report on Form 8-K</w:t>
              </w:r>
            </w:hyperlink>
          </w:p>
        </w:tc>
      </w:tr>
      <w:tr>
        <w:trPr>
          <w:trHeight w:val="196"/>
        </w:trPr>
        <w:tc>
          <w:tcPr>
            <w:tcW w:w="860" w:type="dxa"/>
            <w:vAlign w:val="bottom"/>
          </w:tcPr>
          <w:p>
            <w:pPr>
              <w:spacing w:after="0"/>
              <w:rPr>
                <w:sz w:val="17"/>
                <w:szCs w:val="17"/>
                <w:color w:val="auto"/>
              </w:rPr>
            </w:pPr>
          </w:p>
        </w:tc>
        <w:tc>
          <w:tcPr>
            <w:tcW w:w="190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77">
              <w:r>
                <w:rPr>
                  <w:rFonts w:ascii="Times New Roman" w:cs="Times New Roman" w:eastAsia="Times New Roman" w:hAnsi="Times New Roman"/>
                  <w:sz w:val="18"/>
                  <w:szCs w:val="18"/>
                  <w:color w:val="0000EE"/>
                  <w:w w:val="99"/>
                </w:rPr>
                <w:t>filed on January 30, 2024)</w:t>
              </w:r>
            </w:hyperlink>
          </w:p>
        </w:tc>
        <w:tc>
          <w:tcPr>
            <w:tcW w:w="8240" w:type="dxa"/>
            <w:vAlign w:val="bottom"/>
            <w:gridSpan w:val="17"/>
          </w:tcPr>
          <w:p>
            <w:pPr>
              <w:spacing w:after="0"/>
              <w:rPr>
                <w:sz w:val="17"/>
                <w:szCs w:val="17"/>
                <w:color w:val="auto"/>
              </w:rPr>
            </w:pPr>
          </w:p>
        </w:tc>
      </w:tr>
      <w:tr>
        <w:trPr>
          <w:trHeight w:val="196"/>
        </w:trPr>
        <w:tc>
          <w:tcPr>
            <w:tcW w:w="860" w:type="dxa"/>
            <w:vAlign w:val="bottom"/>
          </w:tcPr>
          <w:p>
            <w:pPr>
              <w:jc w:val="center"/>
              <w:ind w:right="250"/>
              <w:spacing w:after="0" w:line="196" w:lineRule="exact"/>
              <w:rPr>
                <w:sz w:val="20"/>
                <w:szCs w:val="20"/>
                <w:color w:val="auto"/>
              </w:rPr>
            </w:pPr>
            <w:r>
              <w:rPr>
                <w:rFonts w:ascii="Times New Roman" w:cs="Times New Roman" w:eastAsia="Times New Roman" w:hAnsi="Times New Roman"/>
                <w:sz w:val="18"/>
                <w:szCs w:val="18"/>
                <w:color w:val="auto"/>
                <w:w w:val="98"/>
              </w:rPr>
              <w:t>10.33</w:t>
            </w:r>
          </w:p>
        </w:tc>
        <w:tc>
          <w:tcPr>
            <w:tcW w:w="1014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78">
              <w:r>
                <w:rPr>
                  <w:rFonts w:ascii="Times New Roman" w:cs="Times New Roman" w:eastAsia="Times New Roman" w:hAnsi="Times New Roman"/>
                  <w:sz w:val="18"/>
                  <w:szCs w:val="18"/>
                  <w:color w:val="0000EE"/>
                  <w:w w:val="99"/>
                </w:rPr>
                <w:t>Registration Rights Agreement dated as of January 26, 2024 (incorporated by reference to the Registrant’s Current Report on Form 8-K filed</w:t>
              </w:r>
            </w:hyperlink>
          </w:p>
        </w:tc>
      </w:tr>
      <w:tr>
        <w:trPr>
          <w:trHeight w:val="196"/>
        </w:trPr>
        <w:tc>
          <w:tcPr>
            <w:tcW w:w="860" w:type="dxa"/>
            <w:vAlign w:val="bottom"/>
          </w:tcPr>
          <w:p>
            <w:pPr>
              <w:spacing w:after="0"/>
              <w:rPr>
                <w:sz w:val="17"/>
                <w:szCs w:val="17"/>
                <w:color w:val="auto"/>
              </w:rPr>
            </w:pPr>
          </w:p>
        </w:tc>
        <w:tc>
          <w:tcPr>
            <w:tcW w:w="10140" w:type="dxa"/>
            <w:vAlign w:val="bottom"/>
            <w:gridSpan w:val="24"/>
          </w:tcPr>
          <w:p>
            <w:pPr>
              <w:spacing w:after="0" w:line="196"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on January 30, 2024)</w:t>
              </w:r>
            </w:hyperlink>
          </w:p>
        </w:tc>
      </w:tr>
      <w:tr>
        <w:trPr>
          <w:trHeight w:val="20"/>
        </w:trPr>
        <w:tc>
          <w:tcPr>
            <w:tcW w:w="860" w:type="dxa"/>
            <w:vAlign w:val="bottom"/>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60" w:type="dxa"/>
            <w:vAlign w:val="bottom"/>
          </w:tcPr>
          <w:p>
            <w:pPr>
              <w:jc w:val="center"/>
              <w:ind w:right="250"/>
              <w:spacing w:after="0" w:line="196" w:lineRule="exact"/>
              <w:rPr>
                <w:sz w:val="20"/>
                <w:szCs w:val="20"/>
                <w:color w:val="auto"/>
              </w:rPr>
            </w:pPr>
            <w:r>
              <w:rPr>
                <w:rFonts w:ascii="Times New Roman" w:cs="Times New Roman" w:eastAsia="Times New Roman" w:hAnsi="Times New Roman"/>
                <w:sz w:val="18"/>
                <w:szCs w:val="18"/>
                <w:color w:val="auto"/>
                <w:w w:val="98"/>
              </w:rPr>
              <w:t>10.34</w:t>
            </w:r>
          </w:p>
        </w:tc>
        <w:tc>
          <w:tcPr>
            <w:tcW w:w="1014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Form of Securities Purchase Agreement, dated as of June 3, 2024, by and among Microbot Medical Inc. and the purchasers party thereto</w:t>
              </w:r>
            </w:hyperlink>
          </w:p>
        </w:tc>
      </w:tr>
      <w:tr>
        <w:trPr>
          <w:trHeight w:val="196"/>
        </w:trPr>
        <w:tc>
          <w:tcPr>
            <w:tcW w:w="860" w:type="dxa"/>
            <w:vAlign w:val="bottom"/>
          </w:tcPr>
          <w:p>
            <w:pPr>
              <w:spacing w:after="0"/>
              <w:rPr>
                <w:sz w:val="17"/>
                <w:szCs w:val="17"/>
                <w:color w:val="auto"/>
              </w:rPr>
            </w:pPr>
          </w:p>
        </w:tc>
        <w:tc>
          <w:tcPr>
            <w:tcW w:w="700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79">
              <w:r>
                <w:rPr>
                  <w:rFonts w:ascii="Times New Roman" w:cs="Times New Roman" w:eastAsia="Times New Roman" w:hAnsi="Times New Roman"/>
                  <w:sz w:val="18"/>
                  <w:szCs w:val="18"/>
                  <w:color w:val="0000EE"/>
                  <w:w w:val="99"/>
                </w:rPr>
                <w:t>(incorporated by reference to the Registrant’s Current Report on Form 8-K filed on June 4, 2024)</w:t>
              </w:r>
            </w:hyperlink>
          </w:p>
        </w:tc>
        <w:tc>
          <w:tcPr>
            <w:tcW w:w="3140" w:type="dxa"/>
            <w:vAlign w:val="bottom"/>
            <w:gridSpan w:val="9"/>
          </w:tcPr>
          <w:p>
            <w:pPr>
              <w:spacing w:after="0"/>
              <w:rPr>
                <w:sz w:val="17"/>
                <w:szCs w:val="17"/>
                <w:color w:val="auto"/>
              </w:rPr>
            </w:pPr>
          </w:p>
        </w:tc>
      </w:tr>
      <w:tr>
        <w:trPr>
          <w:trHeight w:val="196"/>
        </w:trPr>
        <w:tc>
          <w:tcPr>
            <w:tcW w:w="860" w:type="dxa"/>
            <w:vAlign w:val="bottom"/>
          </w:tcPr>
          <w:p>
            <w:pPr>
              <w:jc w:val="center"/>
              <w:ind w:right="250"/>
              <w:spacing w:after="0" w:line="196" w:lineRule="exact"/>
              <w:rPr>
                <w:sz w:val="20"/>
                <w:szCs w:val="20"/>
                <w:color w:val="auto"/>
              </w:rPr>
            </w:pPr>
            <w:r>
              <w:rPr>
                <w:rFonts w:ascii="Times New Roman" w:cs="Times New Roman" w:eastAsia="Times New Roman" w:hAnsi="Times New Roman"/>
                <w:sz w:val="18"/>
                <w:szCs w:val="18"/>
                <w:color w:val="auto"/>
                <w:w w:val="98"/>
              </w:rPr>
              <w:t>10.35</w:t>
            </w:r>
          </w:p>
        </w:tc>
        <w:tc>
          <w:tcPr>
            <w:tcW w:w="1014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Amendment to the At the Market Offering Agreement, dated July 1, 2024, by and between Microbot Medical Inc. and H.C. Wainwright &amp;</w:t>
              </w:r>
            </w:hyperlink>
          </w:p>
        </w:tc>
      </w:tr>
      <w:tr>
        <w:trPr>
          <w:trHeight w:val="196"/>
        </w:trPr>
        <w:tc>
          <w:tcPr>
            <w:tcW w:w="860" w:type="dxa"/>
            <w:vAlign w:val="bottom"/>
          </w:tcPr>
          <w:p>
            <w:pPr>
              <w:spacing w:after="0"/>
              <w:rPr>
                <w:sz w:val="17"/>
                <w:szCs w:val="17"/>
                <w:color w:val="auto"/>
              </w:rPr>
            </w:pPr>
          </w:p>
        </w:tc>
        <w:tc>
          <w:tcPr>
            <w:tcW w:w="770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80">
              <w:r>
                <w:rPr>
                  <w:rFonts w:ascii="Times New Roman" w:cs="Times New Roman" w:eastAsia="Times New Roman" w:hAnsi="Times New Roman"/>
                  <w:sz w:val="18"/>
                  <w:szCs w:val="18"/>
                  <w:color w:val="0000EE"/>
                  <w:w w:val="99"/>
                </w:rPr>
                <w:t>Co., LLC (incorporated by reference to the Registrant’s Current Report on Form 8-K filed on July 1, 2024)</w:t>
              </w:r>
            </w:hyperlink>
          </w:p>
        </w:tc>
        <w:tc>
          <w:tcPr>
            <w:tcW w:w="2440" w:type="dxa"/>
            <w:vAlign w:val="bottom"/>
            <w:gridSpan w:val="4"/>
          </w:tcPr>
          <w:p>
            <w:pPr>
              <w:spacing w:after="0"/>
              <w:rPr>
                <w:sz w:val="17"/>
                <w:szCs w:val="17"/>
                <w:color w:val="auto"/>
              </w:rPr>
            </w:pPr>
          </w:p>
        </w:tc>
      </w:tr>
      <w:tr>
        <w:trPr>
          <w:trHeight w:val="196"/>
        </w:trPr>
        <w:tc>
          <w:tcPr>
            <w:tcW w:w="860" w:type="dxa"/>
            <w:vAlign w:val="bottom"/>
          </w:tcPr>
          <w:p>
            <w:pPr>
              <w:jc w:val="center"/>
              <w:ind w:right="250"/>
              <w:spacing w:after="0" w:line="196" w:lineRule="exact"/>
              <w:rPr>
                <w:sz w:val="20"/>
                <w:szCs w:val="20"/>
                <w:color w:val="auto"/>
              </w:rPr>
            </w:pPr>
            <w:r>
              <w:rPr>
                <w:rFonts w:ascii="Times New Roman" w:cs="Times New Roman" w:eastAsia="Times New Roman" w:hAnsi="Times New Roman"/>
                <w:sz w:val="18"/>
                <w:szCs w:val="18"/>
                <w:color w:val="auto"/>
                <w:w w:val="98"/>
              </w:rPr>
              <w:t>10.36</w:t>
            </w:r>
          </w:p>
        </w:tc>
        <w:tc>
          <w:tcPr>
            <w:tcW w:w="10140" w:type="dxa"/>
            <w:vAlign w:val="bottom"/>
            <w:gridSpan w:val="24"/>
          </w:tcPr>
          <w:p>
            <w:pPr>
              <w:spacing w:after="0" w:line="196"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Form of Securities Purchase Agreement, dated as of January 6, 2025, by and among Microbot Medical Inc. and the purchasers party thereto</w:t>
              </w:r>
            </w:hyperlink>
          </w:p>
        </w:tc>
      </w:tr>
      <w:tr>
        <w:trPr>
          <w:trHeight w:val="196"/>
        </w:trPr>
        <w:tc>
          <w:tcPr>
            <w:tcW w:w="860" w:type="dxa"/>
            <w:vAlign w:val="bottom"/>
          </w:tcPr>
          <w:p>
            <w:pPr>
              <w:spacing w:after="0"/>
              <w:rPr>
                <w:sz w:val="17"/>
                <w:szCs w:val="17"/>
                <w:color w:val="auto"/>
              </w:rPr>
            </w:pPr>
          </w:p>
        </w:tc>
        <w:tc>
          <w:tcPr>
            <w:tcW w:w="10120" w:type="dxa"/>
            <w:vAlign w:val="bottom"/>
            <w:tcBorders>
              <w:top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(incorporated by reference to the Registrant’s Current Report on Form 8-K filed on January 7, 2025)</w:t>
              </w:r>
            </w:hyperlink>
          </w:p>
        </w:tc>
        <w:tc>
          <w:tcPr>
            <w:tcW w:w="20" w:type="dxa"/>
            <w:vAlign w:val="bottom"/>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920" w:type="dxa"/>
            <w:vAlign w:val="bottom"/>
            <w:gridSpan w:val="6"/>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30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60" w:type="dxa"/>
            <w:vAlign w:val="bottom"/>
          </w:tcPr>
          <w:p>
            <w:pPr>
              <w:jc w:val="center"/>
              <w:ind w:right="250"/>
              <w:spacing w:after="0" w:line="196" w:lineRule="exact"/>
              <w:rPr>
                <w:sz w:val="20"/>
                <w:szCs w:val="20"/>
                <w:color w:val="auto"/>
              </w:rPr>
            </w:pPr>
            <w:r>
              <w:rPr>
                <w:rFonts w:ascii="Times New Roman" w:cs="Times New Roman" w:eastAsia="Times New Roman" w:hAnsi="Times New Roman"/>
                <w:sz w:val="18"/>
                <w:szCs w:val="18"/>
                <w:color w:val="auto"/>
                <w:w w:val="98"/>
              </w:rPr>
              <w:t>10.37</w:t>
            </w:r>
          </w:p>
        </w:tc>
        <w:tc>
          <w:tcPr>
            <w:tcW w:w="10140" w:type="dxa"/>
            <w:vAlign w:val="bottom"/>
            <w:gridSpan w:val="24"/>
          </w:tcPr>
          <w:p>
            <w:pPr>
              <w:spacing w:after="0" w:line="19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Form of Securities Purchase Agreement, dated as of January 7, 2025, by and among Microbot Medical Inc. and the purchasers party thereto</w:t>
              </w:r>
            </w:hyperlink>
          </w:p>
        </w:tc>
      </w:tr>
      <w:tr>
        <w:trPr>
          <w:trHeight w:val="196"/>
        </w:trPr>
        <w:tc>
          <w:tcPr>
            <w:tcW w:w="860" w:type="dxa"/>
            <w:vAlign w:val="bottom"/>
          </w:tcPr>
          <w:p>
            <w:pPr>
              <w:spacing w:after="0"/>
              <w:rPr>
                <w:sz w:val="17"/>
                <w:szCs w:val="17"/>
                <w:color w:val="auto"/>
              </w:rPr>
            </w:pPr>
          </w:p>
        </w:tc>
        <w:tc>
          <w:tcPr>
            <w:tcW w:w="7320" w:type="dxa"/>
            <w:vAlign w:val="bottom"/>
            <w:tcBorders>
              <w:top w:val="single" w:sz="8" w:color="0000EE"/>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82">
              <w:r>
                <w:rPr>
                  <w:rFonts w:ascii="Times New Roman" w:cs="Times New Roman" w:eastAsia="Times New Roman" w:hAnsi="Times New Roman"/>
                  <w:sz w:val="18"/>
                  <w:szCs w:val="18"/>
                  <w:color w:val="0000EE"/>
                  <w:w w:val="99"/>
                </w:rPr>
                <w:t>(incorporated by reference to the Registrant’s Current Report on Form 8-K filed on January 10, 2025)</w:t>
              </w:r>
            </w:hyperlink>
          </w:p>
        </w:tc>
        <w:tc>
          <w:tcPr>
            <w:tcW w:w="2800" w:type="dxa"/>
            <w:vAlign w:val="bottom"/>
            <w:tcBorders>
              <w:top w:val="single" w:sz="8" w:color="0000EE"/>
            </w:tcBorders>
            <w:gridSpan w:val="5"/>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860" w:type="dxa"/>
            <w:vAlign w:val="bottom"/>
          </w:tcPr>
          <w:p>
            <w:pPr>
              <w:jc w:val="center"/>
              <w:ind w:right="270"/>
              <w:spacing w:after="0" w:line="196" w:lineRule="exact"/>
              <w:rPr>
                <w:sz w:val="20"/>
                <w:szCs w:val="20"/>
                <w:color w:val="auto"/>
              </w:rPr>
            </w:pPr>
            <w:r>
              <w:rPr>
                <w:rFonts w:ascii="Times New Roman" w:cs="Times New Roman" w:eastAsia="Times New Roman" w:hAnsi="Times New Roman"/>
                <w:sz w:val="18"/>
                <w:szCs w:val="18"/>
                <w:color w:val="auto"/>
              </w:rPr>
              <w:t>10.38*</w:t>
            </w:r>
          </w:p>
        </w:tc>
        <w:tc>
          <w:tcPr>
            <w:tcW w:w="10140" w:type="dxa"/>
            <w:vAlign w:val="bottom"/>
            <w:gridSpan w:val="24"/>
          </w:tcPr>
          <w:p>
            <w:pPr>
              <w:spacing w:after="0" w:line="196"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Addendum #2 to Employment Agreement, dated as of February 5, 2025, with Simon Sharon (incorporated by reference to the Registrant’s</w:t>
              </w:r>
            </w:hyperlink>
          </w:p>
        </w:tc>
      </w:tr>
      <w:tr>
        <w:trPr>
          <w:trHeight w:val="196"/>
        </w:trPr>
        <w:tc>
          <w:tcPr>
            <w:tcW w:w="860" w:type="dxa"/>
            <w:vAlign w:val="bottom"/>
          </w:tcPr>
          <w:p>
            <w:pPr>
              <w:spacing w:after="0"/>
              <w:rPr>
                <w:sz w:val="17"/>
                <w:szCs w:val="17"/>
                <w:color w:val="auto"/>
              </w:rPr>
            </w:pPr>
          </w:p>
        </w:tc>
        <w:tc>
          <w:tcPr>
            <w:tcW w:w="10120" w:type="dxa"/>
            <w:vAlign w:val="bottom"/>
            <w:tcBorders>
              <w:top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Current Report on Form 8-K filed on February 7, 2025)</w:t>
              </w:r>
            </w:hyperlink>
          </w:p>
        </w:tc>
        <w:tc>
          <w:tcPr>
            <w:tcW w:w="20" w:type="dxa"/>
            <w:vAlign w:val="bottom"/>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920" w:type="dxa"/>
            <w:vAlign w:val="bottom"/>
            <w:gridSpan w:val="6"/>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0" w:type="dxa"/>
            <w:vAlign w:val="bottom"/>
            <w:gridSpan w:val="8"/>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60" w:type="dxa"/>
            <w:vAlign w:val="bottom"/>
          </w:tcPr>
          <w:p>
            <w:pPr>
              <w:jc w:val="center"/>
              <w:ind w:right="270"/>
              <w:spacing w:after="0" w:line="196" w:lineRule="exact"/>
              <w:rPr>
                <w:sz w:val="20"/>
                <w:szCs w:val="20"/>
                <w:color w:val="auto"/>
              </w:rPr>
            </w:pPr>
            <w:r>
              <w:rPr>
                <w:rFonts w:ascii="Times New Roman" w:cs="Times New Roman" w:eastAsia="Times New Roman" w:hAnsi="Times New Roman"/>
                <w:sz w:val="18"/>
                <w:szCs w:val="18"/>
                <w:color w:val="auto"/>
              </w:rPr>
              <w:t>10.39*</w:t>
            </w:r>
          </w:p>
        </w:tc>
        <w:tc>
          <w:tcPr>
            <w:tcW w:w="10140" w:type="dxa"/>
            <w:vAlign w:val="bottom"/>
            <w:gridSpan w:val="24"/>
          </w:tcPr>
          <w:p>
            <w:pPr>
              <w:spacing w:after="0" w:line="19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Addendum #2 to Employment Agreement, dated as of February 5, 2025, with Rachel Vaknin (incorporated by reference to the Registrant’s</w:t>
              </w:r>
            </w:hyperlink>
          </w:p>
        </w:tc>
      </w:tr>
      <w:tr>
        <w:trPr>
          <w:trHeight w:val="196"/>
        </w:trPr>
        <w:tc>
          <w:tcPr>
            <w:tcW w:w="860" w:type="dxa"/>
            <w:vAlign w:val="bottom"/>
          </w:tcPr>
          <w:p>
            <w:pPr>
              <w:spacing w:after="0"/>
              <w:rPr>
                <w:sz w:val="17"/>
                <w:szCs w:val="17"/>
                <w:color w:val="auto"/>
              </w:rPr>
            </w:pPr>
          </w:p>
        </w:tc>
        <w:tc>
          <w:tcPr>
            <w:tcW w:w="10120" w:type="dxa"/>
            <w:vAlign w:val="bottom"/>
            <w:tcBorders>
              <w:top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Current Report on Form 8-K filed on February 7, 2025)</w:t>
              </w:r>
            </w:hyperlink>
          </w:p>
        </w:tc>
        <w:tc>
          <w:tcPr>
            <w:tcW w:w="20" w:type="dxa"/>
            <w:vAlign w:val="bottom"/>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920" w:type="dxa"/>
            <w:vAlign w:val="bottom"/>
            <w:gridSpan w:val="6"/>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0" w:type="dxa"/>
            <w:vAlign w:val="bottom"/>
            <w:gridSpan w:val="8"/>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196"/>
        </w:trPr>
        <w:tc>
          <w:tcPr>
            <w:tcW w:w="860" w:type="dxa"/>
            <w:vAlign w:val="bottom"/>
          </w:tcPr>
          <w:p>
            <w:pPr>
              <w:jc w:val="center"/>
              <w:ind w:right="270"/>
              <w:spacing w:after="0" w:line="196" w:lineRule="exact"/>
              <w:rPr>
                <w:sz w:val="20"/>
                <w:szCs w:val="20"/>
                <w:color w:val="auto"/>
              </w:rPr>
            </w:pPr>
            <w:r>
              <w:rPr>
                <w:rFonts w:ascii="Times New Roman" w:cs="Times New Roman" w:eastAsia="Times New Roman" w:hAnsi="Times New Roman"/>
                <w:sz w:val="18"/>
                <w:szCs w:val="18"/>
                <w:color w:val="auto"/>
              </w:rPr>
              <w:t>10.40*</w:t>
            </w:r>
          </w:p>
        </w:tc>
        <w:tc>
          <w:tcPr>
            <w:tcW w:w="1014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Amendment to Employment Agreement, dated as of February 5, 2025, with Juan Diaz-Cartelle (incorporated by reference to the</w:t>
              </w:r>
            </w:hyperlink>
          </w:p>
        </w:tc>
      </w:tr>
      <w:tr>
        <w:trPr>
          <w:trHeight w:val="196"/>
        </w:trPr>
        <w:tc>
          <w:tcPr>
            <w:tcW w:w="860" w:type="dxa"/>
            <w:vAlign w:val="bottom"/>
          </w:tcPr>
          <w:p>
            <w:pPr>
              <w:spacing w:after="0"/>
              <w:rPr>
                <w:sz w:val="17"/>
                <w:szCs w:val="17"/>
                <w:color w:val="auto"/>
              </w:rPr>
            </w:pPr>
          </w:p>
        </w:tc>
        <w:tc>
          <w:tcPr>
            <w:tcW w:w="492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85">
              <w:r>
                <w:rPr>
                  <w:rFonts w:ascii="Times New Roman" w:cs="Times New Roman" w:eastAsia="Times New Roman" w:hAnsi="Times New Roman"/>
                  <w:sz w:val="18"/>
                  <w:szCs w:val="18"/>
                  <w:color w:val="0000EE"/>
                  <w:w w:val="99"/>
                </w:rPr>
                <w:t>Registrant’s Current Report on Form 8-K filed on February 7, 2025)</w:t>
              </w:r>
            </w:hyperlink>
          </w:p>
        </w:tc>
        <w:tc>
          <w:tcPr>
            <w:tcW w:w="5220" w:type="dxa"/>
            <w:vAlign w:val="bottom"/>
            <w:gridSpan w:val="10"/>
          </w:tcPr>
          <w:p>
            <w:pPr>
              <w:spacing w:after="0"/>
              <w:rPr>
                <w:sz w:val="17"/>
                <w:szCs w:val="17"/>
                <w:color w:val="auto"/>
              </w:rPr>
            </w:pPr>
          </w:p>
        </w:tc>
      </w:tr>
      <w:tr>
        <w:trPr>
          <w:trHeight w:val="196"/>
        </w:trPr>
        <w:tc>
          <w:tcPr>
            <w:tcW w:w="860" w:type="dxa"/>
            <w:vAlign w:val="bottom"/>
          </w:tcPr>
          <w:p>
            <w:pPr>
              <w:jc w:val="center"/>
              <w:ind w:right="250"/>
              <w:spacing w:after="0" w:line="196" w:lineRule="exact"/>
              <w:rPr>
                <w:sz w:val="20"/>
                <w:szCs w:val="20"/>
                <w:color w:val="auto"/>
              </w:rPr>
            </w:pPr>
            <w:r>
              <w:rPr>
                <w:rFonts w:ascii="Times New Roman" w:cs="Times New Roman" w:eastAsia="Times New Roman" w:hAnsi="Times New Roman"/>
                <w:sz w:val="18"/>
                <w:szCs w:val="18"/>
                <w:color w:val="auto"/>
              </w:rPr>
              <w:t>21.1</w:t>
            </w:r>
          </w:p>
        </w:tc>
        <w:tc>
          <w:tcPr>
            <w:tcW w:w="1014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Subsidiaries of the Company (incorporated by reference to the Company’s Annual Report on Form 10-K for the fiscal year ended December</w:t>
              </w:r>
            </w:hyperlink>
          </w:p>
        </w:tc>
      </w:tr>
      <w:tr>
        <w:trPr>
          <w:trHeight w:val="196"/>
        </w:trPr>
        <w:tc>
          <w:tcPr>
            <w:tcW w:w="860" w:type="dxa"/>
            <w:vAlign w:val="bottom"/>
          </w:tcPr>
          <w:p>
            <w:pPr>
              <w:spacing w:after="0"/>
              <w:rPr>
                <w:sz w:val="17"/>
                <w:szCs w:val="17"/>
                <w:color w:val="auto"/>
              </w:rPr>
            </w:pPr>
          </w:p>
        </w:tc>
        <w:tc>
          <w:tcPr>
            <w:tcW w:w="10140" w:type="dxa"/>
            <w:vAlign w:val="bottom"/>
            <w:gridSpan w:val="24"/>
          </w:tcPr>
          <w:p>
            <w:pPr>
              <w:spacing w:after="0" w:line="196"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31, 2016 and filed on March 21, 2017).</w:t>
              </w:r>
            </w:hyperlink>
          </w:p>
        </w:tc>
      </w:tr>
      <w:tr>
        <w:trPr>
          <w:trHeight w:val="20"/>
        </w:trPr>
        <w:tc>
          <w:tcPr>
            <w:tcW w:w="860" w:type="dxa"/>
            <w:vAlign w:val="bottom"/>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920" w:type="dxa"/>
            <w:vAlign w:val="bottom"/>
            <w:gridSpan w:val="6"/>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4900" w:type="dxa"/>
            <w:vAlign w:val="bottom"/>
            <w:gridSpan w:val="9"/>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196"/>
        </w:trPr>
        <w:tc>
          <w:tcPr>
            <w:tcW w:w="860" w:type="dxa"/>
            <w:vAlign w:val="bottom"/>
          </w:tcPr>
          <w:p>
            <w:pPr>
              <w:jc w:val="center"/>
              <w:ind w:right="270"/>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972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87">
              <w:r>
                <w:rPr>
                  <w:rFonts w:ascii="Times New Roman" w:cs="Times New Roman" w:eastAsia="Times New Roman" w:hAnsi="Times New Roman"/>
                  <w:sz w:val="18"/>
                  <w:szCs w:val="18"/>
                  <w:color w:val="0000EE"/>
                  <w:w w:val="99"/>
                </w:rPr>
                <w:t>Consent of Brightman Almagor Zohar &amp; Co., a Firm in the Deloitte Global Network, an independent registered public accounting firm</w:t>
              </w:r>
            </w:hyperlink>
          </w:p>
        </w:tc>
        <w:tc>
          <w:tcPr>
            <w:tcW w:w="420" w:type="dxa"/>
            <w:vAlign w:val="bottom"/>
            <w:gridSpan w:val="2"/>
          </w:tcPr>
          <w:p>
            <w:pPr>
              <w:spacing w:after="0"/>
              <w:rPr>
                <w:sz w:val="17"/>
                <w:szCs w:val="17"/>
                <w:color w:val="auto"/>
              </w:rPr>
            </w:pPr>
          </w:p>
        </w:tc>
      </w:tr>
      <w:tr>
        <w:trPr>
          <w:trHeight w:val="196"/>
        </w:trPr>
        <w:tc>
          <w:tcPr>
            <w:tcW w:w="860" w:type="dxa"/>
            <w:vAlign w:val="bottom"/>
          </w:tcPr>
          <w:p>
            <w:pPr>
              <w:jc w:val="center"/>
              <w:ind w:right="270"/>
              <w:spacing w:after="0" w:line="196" w:lineRule="exact"/>
              <w:rPr>
                <w:sz w:val="20"/>
                <w:szCs w:val="20"/>
                <w:color w:val="auto"/>
              </w:rPr>
            </w:pPr>
            <w:r>
              <w:rPr>
                <w:rFonts w:ascii="Times New Roman" w:cs="Times New Roman" w:eastAsia="Times New Roman" w:hAnsi="Times New Roman"/>
                <w:sz w:val="18"/>
                <w:szCs w:val="18"/>
                <w:color w:val="auto"/>
              </w:rPr>
              <w:t>23.2**</w:t>
            </w:r>
          </w:p>
        </w:tc>
        <w:tc>
          <w:tcPr>
            <w:tcW w:w="10140" w:type="dxa"/>
            <w:vAlign w:val="bottom"/>
            <w:gridSpan w:val="24"/>
          </w:tcPr>
          <w:p>
            <w:pPr>
              <w:spacing w:after="0" w:line="196" w:lineRule="exact"/>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Consent of Ruskin Moscou Faltischek PC (included in Exhibit 5.1)</w:t>
              </w:r>
            </w:hyperlink>
          </w:p>
        </w:tc>
      </w:tr>
      <w:tr>
        <w:trPr>
          <w:trHeight w:val="196"/>
        </w:trPr>
        <w:tc>
          <w:tcPr>
            <w:tcW w:w="860" w:type="dxa"/>
            <w:vAlign w:val="bottom"/>
          </w:tcPr>
          <w:p>
            <w:pPr>
              <w:jc w:val="center"/>
              <w:ind w:right="270"/>
              <w:spacing w:after="0" w:line="196" w:lineRule="exact"/>
              <w:rPr>
                <w:sz w:val="20"/>
                <w:szCs w:val="20"/>
                <w:color w:val="auto"/>
              </w:rPr>
            </w:pPr>
            <w:r>
              <w:rPr>
                <w:rFonts w:ascii="Times New Roman" w:cs="Times New Roman" w:eastAsia="Times New Roman" w:hAnsi="Times New Roman"/>
                <w:sz w:val="18"/>
                <w:szCs w:val="18"/>
                <w:color w:val="auto"/>
              </w:rPr>
              <w:t>24.1**</w:t>
            </w:r>
          </w:p>
        </w:tc>
        <w:tc>
          <w:tcPr>
            <w:tcW w:w="3440" w:type="dxa"/>
            <w:vAlign w:val="bottom"/>
            <w:tcBorders>
              <w:top w:val="single" w:sz="8" w:color="0000EE"/>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Power of Attorney (included on signature page)</w:t>
            </w:r>
          </w:p>
        </w:tc>
        <w:tc>
          <w:tcPr>
            <w:tcW w:w="1380" w:type="dxa"/>
            <w:vAlign w:val="bottom"/>
            <w:tcBorders>
              <w:top w:val="single" w:sz="8" w:color="0000EE"/>
            </w:tcBorders>
            <w:gridSpan w:val="2"/>
          </w:tcPr>
          <w:p>
            <w:pPr>
              <w:spacing w:after="0"/>
              <w:rPr>
                <w:sz w:val="17"/>
                <w:szCs w:val="17"/>
                <w:color w:val="auto"/>
              </w:rPr>
            </w:pPr>
          </w:p>
        </w:tc>
        <w:tc>
          <w:tcPr>
            <w:tcW w:w="5320" w:type="dxa"/>
            <w:vAlign w:val="bottom"/>
            <w:gridSpan w:val="11"/>
          </w:tcPr>
          <w:p>
            <w:pPr>
              <w:spacing w:after="0"/>
              <w:rPr>
                <w:sz w:val="17"/>
                <w:szCs w:val="17"/>
                <w:color w:val="auto"/>
              </w:rPr>
            </w:pPr>
          </w:p>
        </w:tc>
      </w:tr>
      <w:tr>
        <w:trPr>
          <w:trHeight w:val="196"/>
        </w:trPr>
        <w:tc>
          <w:tcPr>
            <w:tcW w:w="860" w:type="dxa"/>
            <w:vAlign w:val="bottom"/>
          </w:tcPr>
          <w:p>
            <w:pPr>
              <w:jc w:val="center"/>
              <w:ind w:right="250"/>
              <w:spacing w:after="0" w:line="196" w:lineRule="exact"/>
              <w:rPr>
                <w:sz w:val="20"/>
                <w:szCs w:val="20"/>
                <w:color w:val="auto"/>
              </w:rPr>
            </w:pPr>
            <w:r>
              <w:rPr>
                <w:rFonts w:ascii="Times New Roman" w:cs="Times New Roman" w:eastAsia="Times New Roman" w:hAnsi="Times New Roman"/>
                <w:sz w:val="18"/>
                <w:szCs w:val="18"/>
                <w:color w:val="auto"/>
              </w:rPr>
              <w:t>97.1</w:t>
            </w:r>
          </w:p>
        </w:tc>
        <w:tc>
          <w:tcPr>
            <w:tcW w:w="1014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Clawback Policy (incorporated by reference to the Company’s Annual Report on Form 10-K for the fiscal year ended December 31, 2023</w:t>
              </w:r>
            </w:hyperlink>
          </w:p>
        </w:tc>
      </w:tr>
      <w:tr>
        <w:trPr>
          <w:trHeight w:val="196"/>
        </w:trPr>
        <w:tc>
          <w:tcPr>
            <w:tcW w:w="860" w:type="dxa"/>
            <w:vAlign w:val="bottom"/>
          </w:tcPr>
          <w:p>
            <w:pPr>
              <w:spacing w:after="0"/>
              <w:rPr>
                <w:sz w:val="17"/>
                <w:szCs w:val="17"/>
                <w:color w:val="auto"/>
              </w:rPr>
            </w:pPr>
          </w:p>
        </w:tc>
        <w:tc>
          <w:tcPr>
            <w:tcW w:w="10140" w:type="dxa"/>
            <w:vAlign w:val="bottom"/>
            <w:gridSpan w:val="24"/>
          </w:tcPr>
          <w:p>
            <w:pPr>
              <w:spacing w:after="0" w:line="196"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and filed on March 27, 2024)</w:t>
              </w:r>
            </w:hyperlink>
          </w:p>
        </w:tc>
      </w:tr>
      <w:tr>
        <w:trPr>
          <w:trHeight w:val="196"/>
        </w:trPr>
        <w:tc>
          <w:tcPr>
            <w:tcW w:w="860" w:type="dxa"/>
            <w:vAlign w:val="bottom"/>
          </w:tcPr>
          <w:p>
            <w:pPr>
              <w:jc w:val="center"/>
              <w:ind w:right="270"/>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118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7"/>
              </w:rPr>
            </w:pPr>
            <w:hyperlink r:id="rId89">
              <w:r>
                <w:rPr>
                  <w:rFonts w:ascii="Times New Roman" w:cs="Times New Roman" w:eastAsia="Times New Roman" w:hAnsi="Times New Roman"/>
                  <w:sz w:val="18"/>
                  <w:szCs w:val="18"/>
                  <w:color w:val="0000EE"/>
                  <w:w w:val="97"/>
                </w:rPr>
                <w:t>Filing Fee Table</w:t>
              </w:r>
            </w:hyperlink>
          </w:p>
        </w:tc>
        <w:tc>
          <w:tcPr>
            <w:tcW w:w="920" w:type="dxa"/>
            <w:vAlign w:val="bottom"/>
            <w:tcBorders>
              <w:top w:val="single" w:sz="8" w:color="0000EE"/>
            </w:tcBorders>
            <w:gridSpan w:val="6"/>
          </w:tcPr>
          <w:p>
            <w:pPr>
              <w:spacing w:after="0"/>
              <w:rPr>
                <w:sz w:val="17"/>
                <w:szCs w:val="17"/>
                <w:color w:val="auto"/>
              </w:rPr>
            </w:pPr>
          </w:p>
        </w:tc>
        <w:tc>
          <w:tcPr>
            <w:tcW w:w="8040" w:type="dxa"/>
            <w:vAlign w:val="bottom"/>
            <w:gridSpan w:val="15"/>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32" w:lineRule="exact"/>
        <w:rPr>
          <w:sz w:val="20"/>
          <w:szCs w:val="20"/>
          <w:color w:val="auto"/>
        </w:rPr>
      </w:pPr>
    </w:p>
    <w:p>
      <w:pPr>
        <w:ind w:right="5920" w:firstLine="8"/>
        <w:spacing w:after="0" w:line="282" w:lineRule="auto"/>
        <w:tabs>
          <w:tab w:leader="none" w:pos="3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 or arrangement ** Previosuly filed.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(b) Financial statement schedule.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The undersigned registrant hereby undertakes: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To file, during any period in which offers or sales are being made, a post-effective amendment to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92">
                      <a:extLst>
                        <a:ext uri="{28A0092B-C50C-407E-A947-70E740481C1C}"/>
                      </a:extLst>
                    </a:blip>
                    <a:srcRect/>
                    <a:stretch>
                      <a:fillRect/>
                    </a:stretch>
                  </pic:blipFill>
                  <pic:spPr bwMode="auto">
                    <a:xfrm>
                      <a:off x="0" y="0"/>
                      <a:ext cx="7132320" cy="1371600"/>
                    </a:xfrm>
                    <a:prstGeom prst="rect">
                      <a:avLst/>
                    </a:prstGeom>
                    <a:noFill/>
                  </pic:spPr>
                </pic:pic>
              </a:graphicData>
            </a:graphic>
          </wp:anchor>
        </w:drawing>
      </w:r>
    </w:p>
    <w:p>
      <w:pPr>
        <w:spacing w:after="0" w:line="205"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 (the “Act”);</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Provided, however, that paragraphs (a)(1)(i), (a)(1)(ii), and (a)(1)(iii) above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a part of the registration statement.</w:t>
      </w:r>
    </w:p>
    <w:p>
      <w:pPr>
        <w:spacing w:after="0" w:line="180" w:lineRule="exact"/>
        <w:rPr>
          <w:sz w:val="20"/>
          <w:szCs w:val="20"/>
          <w:color w:val="auto"/>
        </w:rPr>
      </w:pPr>
    </w:p>
    <w:p>
      <w:pPr>
        <w:jc w:val="both"/>
        <w:ind w:left="340" w:hanging="332"/>
        <w:spacing w:after="0" w:line="266"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Act, each such post-effective amendment shall be deemed to be a new registration statement relating to the securities offered herein, and the offering of such securities at that time shall be deemed to be the initial bona fide offering thereof.</w:t>
      </w:r>
    </w:p>
    <w:p>
      <w:pPr>
        <w:spacing w:after="0" w:line="17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2" w:lineRule="exact"/>
        <w:rPr>
          <w:sz w:val="20"/>
          <w:szCs w:val="20"/>
          <w:color w:val="auto"/>
        </w:rPr>
      </w:pPr>
    </w:p>
    <w:p>
      <w:pPr>
        <w:jc w:val="both"/>
        <w:ind w:left="340" w:hanging="332"/>
        <w:spacing w:after="0" w:line="255"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a part of the registration statement will, as to a purchaser with a time of contract of sale prior to such first use, superseded or modify any statement that was made in the registration statement or prospectus that was part of the registration statement or made in any such document immediately prior to such date of first use.</w:t>
      </w:r>
    </w:p>
    <w:p>
      <w:pPr>
        <w:spacing w:after="0" w:line="189" w:lineRule="exact"/>
        <w:rPr>
          <w:sz w:val="20"/>
          <w:szCs w:val="20"/>
          <w:color w:val="auto"/>
        </w:rPr>
      </w:pPr>
    </w:p>
    <w:p>
      <w:pPr>
        <w:jc w:val="both"/>
        <w:ind w:left="340" w:hanging="332"/>
        <w:spacing w:after="0" w:line="258"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3" w:lineRule="exact"/>
        <w:rPr>
          <w:sz w:val="20"/>
          <w:szCs w:val="20"/>
          <w:color w:val="auto"/>
        </w:rPr>
      </w:pPr>
    </w:p>
    <w:p>
      <w:pPr>
        <w:jc w:val="both"/>
        <w:ind w:left="340" w:hanging="332"/>
        <w:spacing w:after="0" w:line="254"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Act may be permitted to directors, officers and controlling persons of the registrant pursuant to the foregoing provisions, or otherwise, the registrant has been advised that in the opinion of the Securities and Exchange Commission, or SEC,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registration statement on Form S-1 to be signed on its behalf by the undersigned, thereunto duly authorized in the City of Braintree, Commonwealth of Massachusetts, on February 10, 2025.</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26035</wp:posOffset>
            </wp:positionV>
            <wp:extent cx="32061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9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Chief Executive Officer and Chairman</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20" w:type="dxa"/>
            <w:vAlign w:val="bottom"/>
          </w:tcPr>
          <w:p>
            <w:pPr>
              <w:spacing w:after="0"/>
              <w:rPr>
                <w:sz w:val="21"/>
                <w:szCs w:val="21"/>
                <w:color w:val="auto"/>
              </w:rPr>
            </w:pP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20" w:type="dxa"/>
            <w:vAlign w:val="bottom"/>
          </w:tcPr>
          <w:p>
            <w:pPr>
              <w:spacing w:after="0"/>
              <w:rPr>
                <w:sz w:val="21"/>
                <w:szCs w:val="21"/>
                <w:color w:val="auto"/>
              </w:rPr>
            </w:pPr>
          </w:p>
        </w:tc>
        <w:tc>
          <w:tcPr>
            <w:tcW w:w="3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26"/>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Harel Gadot</w:t>
            </w:r>
          </w:p>
        </w:tc>
        <w:tc>
          <w:tcPr>
            <w:tcW w:w="22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10, 2025</w:t>
            </w:r>
          </w:p>
        </w:tc>
      </w:tr>
      <w:tr>
        <w:trPr>
          <w:trHeight w:val="232"/>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Harel Gadot</w:t>
            </w:r>
          </w:p>
        </w:tc>
        <w:tc>
          <w:tcPr>
            <w:tcW w:w="220" w:type="dxa"/>
            <w:vAlign w:val="bottom"/>
          </w:tcPr>
          <w:p>
            <w:pPr>
              <w:spacing w:after="0"/>
              <w:rPr>
                <w:sz w:val="20"/>
                <w:szCs w:val="20"/>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3140" w:type="dxa"/>
            <w:vAlign w:val="bottom"/>
          </w:tcPr>
          <w:p>
            <w:pPr>
              <w:spacing w:after="0"/>
              <w:rPr>
                <w:sz w:val="20"/>
                <w:szCs w:val="20"/>
                <w:color w:val="auto"/>
              </w:rPr>
            </w:pPr>
          </w:p>
        </w:tc>
      </w:tr>
      <w:tr>
        <w:trPr>
          <w:trHeight w:val="410"/>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w:t>
            </w:r>
          </w:p>
        </w:tc>
        <w:tc>
          <w:tcPr>
            <w:tcW w:w="22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10, 2025</w:t>
            </w:r>
          </w:p>
        </w:tc>
      </w:tr>
      <w:tr>
        <w:trPr>
          <w:trHeight w:val="232"/>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Rachel Vaknin</w:t>
            </w:r>
          </w:p>
        </w:tc>
        <w:tc>
          <w:tcPr>
            <w:tcW w:w="220" w:type="dxa"/>
            <w:vAlign w:val="bottom"/>
          </w:tcPr>
          <w:p>
            <w:pPr>
              <w:spacing w:after="0"/>
              <w:rPr>
                <w:sz w:val="20"/>
                <w:szCs w:val="20"/>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3140" w:type="dxa"/>
            <w:vAlign w:val="bottom"/>
          </w:tcPr>
          <w:p>
            <w:pPr>
              <w:spacing w:after="0"/>
              <w:rPr>
                <w:sz w:val="20"/>
                <w:szCs w:val="20"/>
                <w:color w:val="auto"/>
              </w:rPr>
            </w:pPr>
          </w:p>
        </w:tc>
      </w:tr>
      <w:tr>
        <w:trPr>
          <w:trHeight w:val="410"/>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w:t>
            </w:r>
          </w:p>
        </w:tc>
        <w:tc>
          <w:tcPr>
            <w:tcW w:w="22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10, 2025</w:t>
            </w:r>
          </w:p>
        </w:tc>
      </w:tr>
      <w:tr>
        <w:trPr>
          <w:trHeight w:val="232"/>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David J. Wilson</w:t>
            </w:r>
          </w:p>
        </w:tc>
        <w:tc>
          <w:tcPr>
            <w:tcW w:w="2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40" w:type="dxa"/>
            <w:vAlign w:val="bottom"/>
          </w:tcPr>
          <w:p>
            <w:pPr>
              <w:spacing w:after="0"/>
              <w:rPr>
                <w:sz w:val="20"/>
                <w:szCs w:val="20"/>
                <w:color w:val="auto"/>
              </w:rPr>
            </w:pPr>
          </w:p>
        </w:tc>
      </w:tr>
      <w:tr>
        <w:trPr>
          <w:trHeight w:val="410"/>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w:t>
            </w:r>
          </w:p>
        </w:tc>
        <w:tc>
          <w:tcPr>
            <w:tcW w:w="22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10, 2025</w:t>
            </w:r>
          </w:p>
        </w:tc>
      </w:tr>
      <w:tr>
        <w:trPr>
          <w:trHeight w:val="232"/>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Prattipati Laxminarain</w:t>
            </w:r>
          </w:p>
        </w:tc>
        <w:tc>
          <w:tcPr>
            <w:tcW w:w="2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40" w:type="dxa"/>
            <w:vAlign w:val="bottom"/>
          </w:tcPr>
          <w:p>
            <w:pPr>
              <w:spacing w:after="0"/>
              <w:rPr>
                <w:sz w:val="20"/>
                <w:szCs w:val="20"/>
                <w:color w:val="auto"/>
              </w:rPr>
            </w:pPr>
          </w:p>
        </w:tc>
      </w:tr>
      <w:tr>
        <w:trPr>
          <w:trHeight w:val="410"/>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w:t>
            </w:r>
          </w:p>
        </w:tc>
        <w:tc>
          <w:tcPr>
            <w:tcW w:w="22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10, 2025</w:t>
            </w:r>
          </w:p>
        </w:tc>
      </w:tr>
      <w:tr>
        <w:trPr>
          <w:trHeight w:val="232"/>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Scott Burell</w:t>
            </w:r>
          </w:p>
        </w:tc>
        <w:tc>
          <w:tcPr>
            <w:tcW w:w="2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40" w:type="dxa"/>
            <w:vAlign w:val="bottom"/>
          </w:tcPr>
          <w:p>
            <w:pPr>
              <w:spacing w:after="0"/>
              <w:rPr>
                <w:sz w:val="20"/>
                <w:szCs w:val="20"/>
                <w:color w:val="auto"/>
              </w:rPr>
            </w:pPr>
          </w:p>
        </w:tc>
      </w:tr>
      <w:tr>
        <w:trPr>
          <w:trHeight w:val="410"/>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w:t>
            </w:r>
          </w:p>
        </w:tc>
        <w:tc>
          <w:tcPr>
            <w:tcW w:w="22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10, 2025</w:t>
            </w:r>
          </w:p>
        </w:tc>
      </w:tr>
      <w:tr>
        <w:trPr>
          <w:trHeight w:val="232"/>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Martin Madden</w:t>
            </w:r>
          </w:p>
        </w:tc>
        <w:tc>
          <w:tcPr>
            <w:tcW w:w="2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40" w:type="dxa"/>
            <w:vAlign w:val="bottom"/>
          </w:tcPr>
          <w:p>
            <w:pPr>
              <w:spacing w:after="0"/>
              <w:rPr>
                <w:sz w:val="20"/>
                <w:szCs w:val="20"/>
                <w:color w:val="auto"/>
              </w:rPr>
            </w:pPr>
          </w:p>
        </w:tc>
      </w:tr>
      <w:tr>
        <w:trPr>
          <w:trHeight w:val="410"/>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w:t>
            </w:r>
          </w:p>
        </w:tc>
        <w:tc>
          <w:tcPr>
            <w:tcW w:w="22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10, 2025</w:t>
            </w:r>
          </w:p>
        </w:tc>
      </w:tr>
      <w:tr>
        <w:trPr>
          <w:trHeight w:val="232"/>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Aileen Stockburger</w:t>
            </w:r>
          </w:p>
        </w:tc>
        <w:tc>
          <w:tcPr>
            <w:tcW w:w="2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40" w:type="dxa"/>
            <w:vAlign w:val="bottom"/>
          </w:tcPr>
          <w:p>
            <w:pPr>
              <w:spacing w:after="0"/>
              <w:rPr>
                <w:sz w:val="20"/>
                <w:szCs w:val="20"/>
                <w:color w:val="auto"/>
              </w:rPr>
            </w:pPr>
          </w:p>
        </w:tc>
      </w:tr>
      <w:tr>
        <w:trPr>
          <w:trHeight w:val="410"/>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w:t>
            </w:r>
          </w:p>
        </w:tc>
        <w:tc>
          <w:tcPr>
            <w:tcW w:w="22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10, 2025</w:t>
            </w:r>
          </w:p>
        </w:tc>
      </w:tr>
      <w:tr>
        <w:trPr>
          <w:trHeight w:val="232"/>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Tal Wenderow</w:t>
            </w:r>
          </w:p>
        </w:tc>
        <w:tc>
          <w:tcPr>
            <w:tcW w:w="2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40" w:type="dxa"/>
            <w:vAlign w:val="bottom"/>
          </w:tcPr>
          <w:p>
            <w:pPr>
              <w:spacing w:after="0"/>
              <w:rPr>
                <w:sz w:val="20"/>
                <w:szCs w:val="20"/>
                <w:color w:val="auto"/>
              </w:rPr>
            </w:pPr>
          </w:p>
        </w:tc>
      </w:tr>
    </w:tbl>
    <w:p>
      <w:pPr>
        <w:spacing w:after="0" w:line="173" w:lineRule="exact"/>
        <w:rPr>
          <w:sz w:val="20"/>
          <w:szCs w:val="20"/>
          <w:color w:val="auto"/>
        </w:rPr>
      </w:pPr>
    </w:p>
    <w:p>
      <w:pPr>
        <w:ind w:left="580" w:hanging="572"/>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w:t>
      </w:r>
      <w:r>
        <w:rPr>
          <w:rFonts w:ascii="Times New Roman" w:cs="Times New Roman" w:eastAsia="Times New Roman" w:hAnsi="Times New Roman"/>
          <w:sz w:val="17"/>
          <w:szCs w:val="17"/>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18415</wp:posOffset>
            </wp:positionV>
            <wp:extent cx="28460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95">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Harel Gadot, Attorney-in-Fact</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Letter"/>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lowerRoman"/>
      <w:start w:val="1"/>
    </w:lvl>
  </w:abstractNum>
  <w:abstractNum w:abstractNumId="3">
    <w:nsid w:val="507ED7AB"/>
    <w:multiLevelType w:val="hybridMultilevel"/>
    <w:lvl w:ilvl="0">
      <w:lvlJc w:val="left"/>
      <w:lvlText w:val="(%1)"/>
      <w:numFmt w:val="decimal"/>
      <w:start w:val="2"/>
    </w:lvl>
  </w:abstractNum>
  <w:abstractNum w:abstractNumId="4">
    <w:nsid w:val="2EB141F2"/>
    <w:multiLevelType w:val="hybridMultilevel"/>
    <w:lvl w:ilvl="0">
      <w:lvlJc w:val="left"/>
      <w:lvlText w:val="(%1)"/>
      <w:numFmt w:val="decimal"/>
      <w:start w:val="5"/>
    </w:lvl>
  </w:abstractNum>
  <w:abstractNum w:abstractNumId="5">
    <w:nsid w:val="41B71EFB"/>
    <w:multiLevelType w:val="hybridMultilevel"/>
    <w:lvl w:ilvl="0">
      <w:lvlJc w:val="left"/>
      <w:lvlText w:val="(%1)"/>
      <w:numFmt w:val="lowerLetter"/>
      <w:start w:val="2"/>
    </w:lvl>
  </w:abstractNum>
  <w:abstractNum w:abstractNumId="6">
    <w:nsid w:val="79E2A9E3"/>
    <w:multiLevelType w:val="hybridMultilevel"/>
    <w:lvl w:ilvl="0">
      <w:lvlJc w:val="left"/>
      <w:lvlText w:val="(%1)"/>
      <w:numFmt w:val="lowerLetter"/>
      <w:start w:val="8"/>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38" Type="http://schemas.openxmlformats.org/officeDocument/2006/relationships/image" Target="media/image10.png"/><Relationship Id="rId63" Type="http://schemas.openxmlformats.org/officeDocument/2006/relationships/image" Target="media/image11.png"/><Relationship Id="rId90" Type="http://schemas.openxmlformats.org/officeDocument/2006/relationships/image" Target="media/image12.png"/><Relationship Id="rId91" Type="http://schemas.openxmlformats.org/officeDocument/2006/relationships/image" Target="media/image13.png"/><Relationship Id="rId92" Type="http://schemas.openxmlformats.org/officeDocument/2006/relationships/image" Target="media/image14.png"/><Relationship Id="rId93" Type="http://schemas.openxmlformats.org/officeDocument/2006/relationships/image" Target="media/image15.png"/><Relationship Id="rId94" Type="http://schemas.openxmlformats.org/officeDocument/2006/relationships/image" Target="media/image16.png"/><Relationship Id="rId95" Type="http://schemas.openxmlformats.org/officeDocument/2006/relationships/image" Target="media/image17.png"/><Relationship Id="rId96" Type="http://schemas.openxmlformats.org/officeDocument/2006/relationships/image" Target="media/image18.png"/><Relationship Id="rId17" Type="http://schemas.openxmlformats.org/officeDocument/2006/relationships/hyperlink" Target="https://www.sec.gov/Archives/edgar/data/883975/000119312516682077/d161430dex21.htm" TargetMode="External"/><Relationship Id="rId18" Type="http://schemas.openxmlformats.org/officeDocument/2006/relationships/hyperlink" Target="https://www.sec.gov/Archives/edgar/data/883975/000095013407005808/f27726exv3w1.htm" TargetMode="External"/><Relationship Id="rId19" Type="http://schemas.openxmlformats.org/officeDocument/2006/relationships/hyperlink" Target="https://www.sec.gov/Archives/edgar/data/883975/000119312516779597/d296933dex31.htm" TargetMode="External"/><Relationship Id="rId20" Type="http://schemas.openxmlformats.org/officeDocument/2006/relationships/hyperlink" Target="https://www.sec.gov/Archives/edgar/data/883975/000149315218012872/ex3-1.htm" TargetMode="External"/><Relationship Id="rId21" Type="http://schemas.openxmlformats.org/officeDocument/2006/relationships/hyperlink" Target="https://www.sec.gov/Archives/edgar/data/883975/000129993316002374/exhibit1.htm" TargetMode="External"/><Relationship Id="rId22" Type="http://schemas.openxmlformats.org/officeDocument/2006/relationships/hyperlink" Target="https://www.sec.gov/Archives/edgar/data/883975/000149315218017395/ex3-1.htm" TargetMode="External"/><Relationship Id="rId23" Type="http://schemas.openxmlformats.org/officeDocument/2006/relationships/hyperlink" Target="https://www.sec.gov/Archives/edgar/data/883975/000149315219013998/ex3-1.htm" TargetMode="External"/><Relationship Id="rId24" Type="http://schemas.openxmlformats.org/officeDocument/2006/relationships/hyperlink" Target="https://www.sec.gov/Archives/edgar/data/883975/000149315221010347/ex3-1.htm" TargetMode="External"/><Relationship Id="rId25" Type="http://schemas.openxmlformats.org/officeDocument/2006/relationships/hyperlink" Target="https://www.sec.gov/Archives/edgar/data/883975/000149315220006338/ex4-10.htm" TargetMode="External"/><Relationship Id="rId26" Type="http://schemas.openxmlformats.org/officeDocument/2006/relationships/hyperlink" Target="https://www.sec.gov/Archives/edgar/data/883975/000149315222029541/ex4-2.htm" TargetMode="External"/><Relationship Id="rId27" Type="http://schemas.openxmlformats.org/officeDocument/2006/relationships/hyperlink" Target="https://www.sec.gov/Archives/edgar/data/883975/000149315222029541/ex4-4.htm" TargetMode="External"/><Relationship Id="rId28" Type="http://schemas.openxmlformats.org/officeDocument/2006/relationships/hyperlink" Target="https://www.sec.gov/Archives/edgar/data/883975/000149315223018718/ex4-1.htm" TargetMode="External"/><Relationship Id="rId29" Type="http://schemas.openxmlformats.org/officeDocument/2006/relationships/hyperlink" Target="https://www.sec.gov/Archives/edgar/data/883975/000149315223018932/ex4-2.htm" TargetMode="External"/><Relationship Id="rId30" Type="http://schemas.openxmlformats.org/officeDocument/2006/relationships/hyperlink" Target="https://www.sec.gov/Archives/edgar/data/883975/000149315223018932/ex10-2.htm" TargetMode="External"/><Relationship Id="rId31" Type="http://schemas.openxmlformats.org/officeDocument/2006/relationships/hyperlink" Target="https://www.sec.gov/Archives/edgar/data/883975/000149315223020309/ex4-1.htm" TargetMode="External"/><Relationship Id="rId32" Type="http://schemas.openxmlformats.org/officeDocument/2006/relationships/hyperlink" Target="https://www.sec.gov/Archives/edgar/data/883975/000149315223020309/ex4-2.htm" TargetMode="External"/><Relationship Id="rId33" Type="http://schemas.openxmlformats.org/officeDocument/2006/relationships/hyperlink" Target="https://www.sec.gov/Archives/edgar/data/883975/000149315223022814/ex4-1.htm" TargetMode="External"/><Relationship Id="rId34" Type="http://schemas.openxmlformats.org/officeDocument/2006/relationships/hyperlink" Target="https://www.sec.gov/Archives/edgar/data/883975/000149315223022814/ex4-2.htm" TargetMode="External"/><Relationship Id="rId35" Type="http://schemas.openxmlformats.org/officeDocument/2006/relationships/hyperlink" Target="https://www.sec.gov/Archives/edgar/data/883975/000149315224000109/ex4-1.htm" TargetMode="External"/><Relationship Id="rId36" Type="http://schemas.openxmlformats.org/officeDocument/2006/relationships/hyperlink" Target="https://www.sec.gov/Archives/edgar/data/883975/000149315224000109/ex4-2.htm" TargetMode="External"/><Relationship Id="rId37" Type="http://schemas.openxmlformats.org/officeDocument/2006/relationships/hyperlink" Target="https://www.sec.gov/Archives/edgar/data/883975/000149315224022560/ex4-1.htm" TargetMode="External"/><Relationship Id="rId39" Type="http://schemas.openxmlformats.org/officeDocument/2006/relationships/hyperlink" Target="https://www.sec.gov/Archives/edgar/data/883975/000149315224022560/ex4-2.htm" TargetMode="External"/><Relationship Id="rId40" Type="http://schemas.openxmlformats.org/officeDocument/2006/relationships/hyperlink" Target="https://www.sec.gov/Archives/edgar/data/883975/000149315225001133/ex4-1.htm" TargetMode="External"/><Relationship Id="rId41" Type="http://schemas.openxmlformats.org/officeDocument/2006/relationships/hyperlink" Target="https://www.sec.gov/Archives/edgar/data/883975/000149315225001133/ex4-2.htm" TargetMode="External"/><Relationship Id="rId42" Type="http://schemas.openxmlformats.org/officeDocument/2006/relationships/hyperlink" Target="https://www.sec.gov/Archives/edgar/data/883975/000149315225001559/ex4-1.htm" TargetMode="External"/><Relationship Id="rId43" Type="http://schemas.openxmlformats.org/officeDocument/2006/relationships/hyperlink" Target="https://www.sec.gov/Archives/edgar/data/883975/000149315225001559/ex4-2.htm" TargetMode="External"/><Relationship Id="rId44" Type="http://schemas.openxmlformats.org/officeDocument/2006/relationships/hyperlink" Target="https://www.sec.gov/Archives/edgar/data/883975/000149315225004863/ex5-1.htm" TargetMode="External"/><Relationship Id="rId45" Type="http://schemas.openxmlformats.org/officeDocument/2006/relationships/hyperlink" Target="https://www.sec.gov/Archives/edgar/data/883975/000119312516779729/d296933dex104.htm" TargetMode="External"/><Relationship Id="rId46" Type="http://schemas.openxmlformats.org/officeDocument/2006/relationships/hyperlink" Target="https://www.sec.gov/Archives/edgar/data/883975/000119312516779729/d296933dex105.htm" TargetMode="External"/><Relationship Id="rId47" Type="http://schemas.openxmlformats.org/officeDocument/2006/relationships/hyperlink" Target="https://www.sec.gov/Archives/edgar/data/883975/000149315217002678/ex10-14.htm" TargetMode="External"/><Relationship Id="rId48" Type="http://schemas.openxmlformats.org/officeDocument/2006/relationships/hyperlink" Target="https://www.sec.gov/Archives/edgar/data/883975/000149315217013222/ex10-1.htm" TargetMode="External"/><Relationship Id="rId49" Type="http://schemas.openxmlformats.org/officeDocument/2006/relationships/hyperlink" Target="https://www.sec.gov/Archives/edgar/data/883975/000149315218000286/ex10-1.htm" TargetMode="External"/><Relationship Id="rId50" Type="http://schemas.openxmlformats.org/officeDocument/2006/relationships/hyperlink" Target="https://www.sec.gov/Archives/edgar/data/883975/000149315220006338/ex10-9.htm" TargetMode="External"/><Relationship Id="rId51" Type="http://schemas.openxmlformats.org/officeDocument/2006/relationships/hyperlink" Target="https://www.sec.gov/Archives/edgar/data/883975/000149315217008987/def14a.htm" TargetMode="External"/><Relationship Id="rId52" Type="http://schemas.openxmlformats.org/officeDocument/2006/relationships/hyperlink" Target="https://www.sec.gov/Archives/edgar/data/883975/000149315220014354/def14a.htm" TargetMode="External"/><Relationship Id="rId53" Type="http://schemas.openxmlformats.org/officeDocument/2006/relationships/hyperlink" Target="https://www.sec.gov/Archives/edgar/data/883975/000149315220022543/ex4-2.htm" TargetMode="External"/><Relationship Id="rId54" Type="http://schemas.openxmlformats.org/officeDocument/2006/relationships/hyperlink" Target="https://www.sec.gov/Archives/edgar/data/883975/000149315220022543/ex4-3.htm" TargetMode="External"/><Relationship Id="rId55" Type="http://schemas.openxmlformats.org/officeDocument/2006/relationships/hyperlink" Target="https://www.sec.gov/Archives/edgar/data/883975/000149315220022543/ex4-4.htm" TargetMode="External"/><Relationship Id="rId56" Type="http://schemas.openxmlformats.org/officeDocument/2006/relationships/hyperlink" Target="https://www.sec.gov/Archives/edgar/data/883975/000149315220022543/ex4-5.htm" TargetMode="External"/><Relationship Id="rId57" Type="http://schemas.openxmlformats.org/officeDocument/2006/relationships/hyperlink" Target="https://www.sec.gov/Archives/edgar/data/883975/000149315220022543/ex4-6.htm" TargetMode="External"/><Relationship Id="rId58" Type="http://schemas.openxmlformats.org/officeDocument/2006/relationships/hyperlink" Target="https://www.sec.gov/Archives/edgar/data/883975/000149315221008148/ex10-1.htm" TargetMode="External"/><Relationship Id="rId59" Type="http://schemas.openxmlformats.org/officeDocument/2006/relationships/hyperlink" Target="https://www.sec.gov/Archives/edgar/data/883975/000149315221009469/ex10-1.htm" TargetMode="External"/><Relationship Id="rId60" Type="http://schemas.openxmlformats.org/officeDocument/2006/relationships/hyperlink" Target="https://www.sec.gov/Archives/edgar/data/883975/000149315221014052/ex10-1.htm" TargetMode="External"/><Relationship Id="rId61" Type="http://schemas.openxmlformats.org/officeDocument/2006/relationships/hyperlink" Target="https://www.sec.gov/Archives/edgar/data/883975/000149315222027872/ex10-1.htm" TargetMode="External"/><Relationship Id="rId62" Type="http://schemas.openxmlformats.org/officeDocument/2006/relationships/hyperlink" Target="https://www.sec.gov/Archives/edgar/data/883975/000149315222009272/ex10-1.htm" TargetMode="External"/><Relationship Id="rId64" Type="http://schemas.openxmlformats.org/officeDocument/2006/relationships/hyperlink" Target="https://www.sec.gov/Archives/edgar/data/883975/000149315222002881/ex10-1.htm" TargetMode="External"/><Relationship Id="rId65" Type="http://schemas.openxmlformats.org/officeDocument/2006/relationships/hyperlink" Target="https://www.sec.gov/Archives/edgar/data/883975/000149315223010223/ex10-21.htm" TargetMode="External"/><Relationship Id="rId66" Type="http://schemas.openxmlformats.org/officeDocument/2006/relationships/hyperlink" Target="https://www.sec.gov/Archives/edgar/data/883975/000149315222029541/ex10-1.htm" TargetMode="External"/><Relationship Id="rId67" Type="http://schemas.openxmlformats.org/officeDocument/2006/relationships/hyperlink" Target="https://www.sec.gov/Archives/edgar/data/883975/000149315223018456/ex10-1.htm" TargetMode="External"/><Relationship Id="rId68" Type="http://schemas.openxmlformats.org/officeDocument/2006/relationships/hyperlink" Target="https://www.sec.gov/Archives/edgar/data/883975/000149315223018456/ex10-2.htm" TargetMode="External"/><Relationship Id="rId69" Type="http://schemas.openxmlformats.org/officeDocument/2006/relationships/hyperlink" Target="https://www.sec.gov/Archives/edgar/data/883975/000149315223018456/ex10-3.htm" TargetMode="External"/><Relationship Id="rId70" Type="http://schemas.openxmlformats.org/officeDocument/2006/relationships/hyperlink" Target="https://www.sec.gov/Archives/edgar/data/883975/000149315223018456/ex10-4.htm" TargetMode="External"/><Relationship Id="rId71" Type="http://schemas.openxmlformats.org/officeDocument/2006/relationships/hyperlink" Target="https://www.sec.gov/Archives/edgar/data/883975/000149315223018718/ex10-1.htm" TargetMode="External"/><Relationship Id="rId72" Type="http://schemas.openxmlformats.org/officeDocument/2006/relationships/hyperlink" Target="https://www.sec.gov/Archives/edgar/data/883975/000149315223018932/ex10-1.htm" TargetMode="External"/><Relationship Id="rId73" Type="http://schemas.openxmlformats.org/officeDocument/2006/relationships/hyperlink" Target="https://www.sec.gov/Archives/edgar/data/883975/000149315223020309/ex10-1.htm" TargetMode="External"/><Relationship Id="rId74" Type="http://schemas.openxmlformats.org/officeDocument/2006/relationships/hyperlink" Target="https://www.sec.gov/Archives/edgar/data/883975/000149315223022814/ex10-1.htm" TargetMode="External"/><Relationship Id="rId75" Type="http://schemas.openxmlformats.org/officeDocument/2006/relationships/hyperlink" Target="https://www.sec.gov/Archives/edgar/data/883975/000149315223042204/ex10-1.htm" TargetMode="External"/><Relationship Id="rId76" Type="http://schemas.openxmlformats.org/officeDocument/2006/relationships/hyperlink" Target="https://www.sec.gov/Archives/edgar/data/883975/000149315224000109/ex10-1.htm" TargetMode="External"/><Relationship Id="rId77" Type="http://schemas.openxmlformats.org/officeDocument/2006/relationships/hyperlink" Target="https://www.sec.gov/Archives/edgar/data/883975/000149315224004231/ex10-1.htm" TargetMode="External"/><Relationship Id="rId78" Type="http://schemas.openxmlformats.org/officeDocument/2006/relationships/hyperlink" Target="https://www.sec.gov/Archives/edgar/data/883975/000149315224004231/ex10-2.htm" TargetMode="External"/><Relationship Id="rId79" Type="http://schemas.openxmlformats.org/officeDocument/2006/relationships/hyperlink" Target="https://www.sec.gov/Archives/edgar/data/883975/000149315224022560/ex10-1.htm" TargetMode="External"/><Relationship Id="rId80" Type="http://schemas.openxmlformats.org/officeDocument/2006/relationships/hyperlink" Target="https://www.sec.gov/Archives/edgar/data/883975/000149315224025813/ex5-1.htm" TargetMode="External"/><Relationship Id="rId81" Type="http://schemas.openxmlformats.org/officeDocument/2006/relationships/hyperlink" Target="https://www.sec.gov/Archives/edgar/data/883975/000149315225001133/ex10-1.htm" TargetMode="External"/><Relationship Id="rId82" Type="http://schemas.openxmlformats.org/officeDocument/2006/relationships/hyperlink" Target="https://www.sec.gov/Archives/edgar/data/883975/000149315225001559/ex10-1.htm" TargetMode="External"/><Relationship Id="rId83" Type="http://schemas.openxmlformats.org/officeDocument/2006/relationships/hyperlink" Target="https://www.sec.gov/Archives/edgar/data/883975/000149315225005410/ex10-1.htm" TargetMode="External"/><Relationship Id="rId84" Type="http://schemas.openxmlformats.org/officeDocument/2006/relationships/hyperlink" Target="https://www.sec.gov/Archives/edgar/data/883975/000149315225005410/ex10-2.htm" TargetMode="External"/><Relationship Id="rId85" Type="http://schemas.openxmlformats.org/officeDocument/2006/relationships/hyperlink" Target="https://www.sec.gov/Archives/edgar/data/883975/000149315225005410/ex10-3.htm" TargetMode="External"/><Relationship Id="rId86" Type="http://schemas.openxmlformats.org/officeDocument/2006/relationships/hyperlink" Target="https://www.sec.gov/Archives/edgar/data/883975/000149315217002678/ex21-1.htm" TargetMode="External"/><Relationship Id="rId87" Type="http://schemas.openxmlformats.org/officeDocument/2006/relationships/hyperlink" Target="https://www.sec.gov/Archives/edgar/data/883975/000149315225004863/ex23-1.htm" TargetMode="External"/><Relationship Id="rId88" Type="http://schemas.openxmlformats.org/officeDocument/2006/relationships/hyperlink" Target="https://www.sec.gov/Archives/edgar/data/883975/000149315224011521/ex97-1.htm" TargetMode="External"/><Relationship Id="rId89" Type="http://schemas.openxmlformats.org/officeDocument/2006/relationships/hyperlink" Target="https://www.sec.gov/Archives/edgar/data/883975/000149315225004863/ex10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2025-02-10T16:28:16Z</dcterms:created>
  <dcterms:modified xsi:type="dcterms:W3CDTF">2025-02-10T16:28:16Z</dcterms:modified>
</cp:coreProperties>
</file>