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4"/>
          <w:szCs w:val="24"/>
          <w:color w:val="auto"/>
        </w:rPr>
      </w:pPr>
    </w:p>
    <w:p>
      <w:pPr>
        <w:ind w:left="3920" w:right="1820" w:hanging="3912"/>
        <w:spacing w:after="0" w:line="500" w:lineRule="auto"/>
        <w:tabs>
          <w:tab w:leader="none" w:pos="22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000-19871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of Registrant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i w:val="1"/>
          <w:iCs w:val="1"/>
          <w:color w:val="auto"/>
        </w:rPr>
        <w:t>State or Other Jurisdiction of</w:t>
      </w:r>
    </w:p>
    <w:p>
      <w:pPr>
        <w:spacing w:after="0" w:line="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94-3078125</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i w:val="1"/>
          <w:iCs w:val="1"/>
          <w:color w:val="auto"/>
        </w:rPr>
        <w:t>(I.R.S. Employer</w:t>
      </w:r>
    </w:p>
    <w:p>
      <w:pPr>
        <w:spacing w:after="0" w:line="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(Address of principal executive offices)</w:t>
      </w:r>
    </w:p>
    <w:p>
      <w:pPr>
        <w:sectPr>
          <w:pgSz w:w="11900" w:h="16838" w:orient="portrait"/>
          <w:cols w:equalWidth="0" w:num="1">
            <w:col w:w="11240"/>
          </w:cols>
          <w:pgMar w:left="320" w:top="740"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i w:val="1"/>
          <w:iCs w:val="1"/>
          <w:color w:val="auto"/>
        </w:rPr>
        <w:t>(Former name, former address and former fiscal year, if changed since last report)</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34"/>
        </w:trPr>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34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960" w:type="dxa"/>
            <w:vAlign w:val="bottom"/>
          </w:tcPr>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940" w:type="dxa"/>
            <w:vAlign w:val="bottom"/>
            <w:vMerge w:val="restart"/>
          </w:tcPr>
          <w:p>
            <w:pPr>
              <w:ind w:left="76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2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960" w:type="dxa"/>
            <w:vAlign w:val="bottom"/>
          </w:tcPr>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2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14,398,964 shares of Common Stock, $0.01 par value at May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60" w:type="dxa"/>
            <w:vAlign w:val="bottom"/>
            <w:gridSpan w:val="9"/>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SUBSIDIARY</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6"/>
          </w:tcPr>
          <w:p>
            <w:pPr>
              <w:jc w:val="center"/>
              <w:ind w:right="3940"/>
              <w:spacing w:after="0"/>
              <w:rPr>
                <w:sz w:val="20"/>
                <w:szCs w:val="20"/>
                <w:color w:val="auto"/>
              </w:rPr>
            </w:pPr>
            <w:r>
              <w:rPr>
                <w:rFonts w:ascii="Times New Roman" w:cs="Times New Roman" w:eastAsia="Times New Roman" w:hAnsi="Times New Roman"/>
                <w:sz w:val="18"/>
                <w:szCs w:val="18"/>
                <w:color w:val="auto"/>
                <w:w w:val="97"/>
              </w:rPr>
              <w:t>Index</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76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Balance Sheets as of March 31, 2024 (Unaudited) and December 31, 2023 (Audited)</w:t>
            </w:r>
          </w:p>
        </w:tc>
        <w:tc>
          <w:tcPr>
            <w:tcW w:w="2200" w:type="dxa"/>
            <w:vAlign w:val="bottom"/>
            <w:tcBorders>
              <w:bottom w:val="single" w:sz="8" w:color="CCEEFF"/>
            </w:tcBorders>
            <w:gridSpan w:val="4"/>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8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Months Ended March 31, 2024 and 2023 (Unaudited)</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90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Statements of Shareholders’ Equity for the Three Months Ended March 31, 2024 and 2023 (Unaudited)</w:t>
            </w:r>
          </w:p>
        </w:tc>
        <w:tc>
          <w:tcPr>
            <w:tcW w:w="8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8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Three Months Ended March 31, 2024 and 2023 (Unaudited)</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Interim Consolidated Financial Statements</w:t>
            </w:r>
          </w:p>
        </w:tc>
        <w:tc>
          <w:tcPr>
            <w:tcW w:w="6140" w:type="dxa"/>
            <w:vAlign w:val="bottom"/>
            <w:tcBorders>
              <w:bottom w:val="single" w:sz="8" w:color="CCEEFF"/>
            </w:tcBorders>
            <w:gridSpan w:val="8"/>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5220" w:type="dxa"/>
            <w:vAlign w:val="bottom"/>
            <w:tcBorders>
              <w:bottom w:val="single" w:sz="8" w:color="CCEEFF"/>
            </w:tcBorders>
            <w:gridSpan w:val="6"/>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8080" w:type="dxa"/>
            <w:vAlign w:val="bottom"/>
            <w:tcBorders>
              <w:top w:val="single" w:sz="8" w:color="CCEEFF"/>
            </w:tcBorders>
            <w:gridSpan w:val="11"/>
          </w:tcPr>
          <w:p>
            <w:pPr>
              <w:spacing w:after="0"/>
              <w:rPr>
                <w:sz w:val="15"/>
                <w:szCs w:val="15"/>
                <w:color w:val="auto"/>
              </w:rPr>
            </w:pPr>
          </w:p>
        </w:tc>
        <w:tc>
          <w:tcPr>
            <w:tcW w:w="10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8540" w:type="dxa"/>
            <w:vAlign w:val="bottom"/>
            <w:tcBorders>
              <w:bottom w:val="single" w:sz="8" w:color="CCEEFF"/>
            </w:tcBorders>
            <w:gridSpan w:val="14"/>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7260" w:type="dxa"/>
            <w:vAlign w:val="bottom"/>
            <w:tcBorders>
              <w:top w:val="single" w:sz="8" w:color="CCEEFF"/>
            </w:tcBorders>
            <w:gridSpan w:val="9"/>
          </w:tcPr>
          <w:p>
            <w:pPr>
              <w:spacing w:after="0"/>
              <w:rPr>
                <w:sz w:val="15"/>
                <w:szCs w:val="15"/>
                <w:color w:val="auto"/>
              </w:rPr>
            </w:pPr>
          </w:p>
        </w:tc>
        <w:tc>
          <w:tcPr>
            <w:tcW w:w="10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 Other Information</w:t>
            </w:r>
          </w:p>
        </w:tc>
        <w:tc>
          <w:tcPr>
            <w:tcW w:w="8260" w:type="dxa"/>
            <w:vAlign w:val="bottom"/>
            <w:tcBorders>
              <w:bottom w:val="single" w:sz="8" w:color="CCEEFF"/>
            </w:tcBorders>
            <w:gridSpan w:val="13"/>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4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54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4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6"/>
        </w:trPr>
        <w:tc>
          <w:tcPr>
            <w:tcW w:w="540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54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14,398,964 and 11,707,317</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March 31, 2024 and December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31, 2023, respectively.</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7"/>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(81,872)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54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(1,169)</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69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97"/>
        </w:trPr>
        <w:tc>
          <w:tcPr>
            <w:tcW w:w="69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14,055,973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8,013,295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gridSpan w:val="2"/>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20"/>
                <w:szCs w:val="20"/>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Net of issuance costs in the amount of $333.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Note 3G.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80" w:type="dxa"/>
            <w:vAlign w:val="bottom"/>
            <w:gridSpan w:val="6"/>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Statements of Cash Flows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(2,371)</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29"/>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7"/>
        </w:trPr>
        <w:tc>
          <w:tcPr>
            <w:tcW w:w="3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gridSpan w:val="3"/>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00" w:type="dxa"/>
            <w:vAlign w:val="bottom"/>
            <w:tcBorders>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March 31, 2024, the Company had cash equivalents and marketable securities balance of approximately $6,349, excluding restricted cash. Due to continuing research and development activities, the Company expects to continue to incur additional losses for the foreseeable future. The Company implemented a cost reduction program in May 2023, and consummated capital raises in May,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three-month period ended March 31,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consolidated financial statements are identical to those applied in the preparation of the Company’s latest annual audited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5,187</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5,187</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2,497</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1,420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2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3,917</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3"/>
              </w:rPr>
              <w:t>3,917</w:t>
            </w: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March 31,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March 31,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March 31,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jc w:val="both"/>
        <w:spacing w:after="0" w:line="221"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The Company expects the transfer of the Technology back to CardioSert will occur in the second fiscal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 contingent total bonus of NIS 230,736 (approximately $60), which is payable upon the Company raising at least $3,000 in new funds by September 30, 2024. The Company’s management is unable to predict the likelihood of securing additional capital; therefore, as of March 31, 2024, the Company has not recorded a liability for any contingent bonus.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respectively, 14,398,964 and 11,707,317 shares of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analyzed the accounting treatment for the series E preferred investment options and concluded that they should be classified as equity.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The Company’s management believes that meeting the performance conditions is tied to the Company’s ability to secure additional capital. Therefore, as of March 31, 2024, the Company has not recorded any expense related to this performance condition grant.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2023.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Using our LIBERTY® Endovascular Robotic Surgical System, we are developing the first ever fully disposable robot for various endovascular interventional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Endovascular Robotic Surgical System</w:t>
      </w:r>
    </w:p>
    <w:p>
      <w:pPr>
        <w:spacing w:after="0" w:line="1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LIBERTY®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218"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filing date of this Quarterly Report on Form 10-Q, we are continuing our interaction with the FDA regarding our IDE submission process.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NovaCross</w:t>
      </w:r>
      <w:r>
        <w:rPr>
          <w:rFonts w:ascii="Times New Roman" w:cs="Times New Roman" w:eastAsia="Times New Roman" w:hAnsi="Times New Roman"/>
          <w:sz w:val="29"/>
          <w:szCs w:val="29"/>
          <w:i w:val="1"/>
          <w:iCs w:val="1"/>
          <w:color w:val="auto"/>
          <w:vertAlign w:val="superscript"/>
        </w:rPr>
        <w: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filing date of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Quarterly Report on Form 10-Q,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month periods ended March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reduction in payroll due to an increase in vacation utilization, deduction of government grants and decrease in expenses related to the outsourcing of the manufacturing of the Company’s LIBERTY product.</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decrease in general and administrative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lower travel expenses in the first quarter of 2024 and lower payroll expenses compared to the comparable period in 2023, offset by increase in stock base compensation due to new option grants and increase in professional services.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three months ended March 31, 2024 compared to March 31,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differences and a decrease in interest income.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March 31,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March 31, 2024, Microbot has raised cash proceeds of approximately $69.3 million and incurred a total cumulative loss of approximately $81.9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March 31,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$2.7 million in gross proceeds, before fees and expenses of approximately $333,000, from financing activities in January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6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59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3"/>
              </w:rPr>
              <w:t>(2,420)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9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2,397</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9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4"/>
              </w:rPr>
              <w:t>(1,307</w:t>
            </w:r>
          </w:p>
        </w:tc>
        <w:tc>
          <w:tcPr>
            <w:tcW w:w="3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decrease in 2024 in net cash flows from operating activities was primarily from a decrease in research and development expenses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2024 in net cash flows from investing activities was mainly due to an increase in the acquisition of marketable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2024 in net cash flows from financing activities was due to the Company’s raising of capital pursuant to its warrant reset offering which closed in January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March 31,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2024. Based on that review and evaluation, the Chief Executive Officer and Chief Financial Officer, along with the management of the Company, have determined that as of March 31,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3.H. Mona Litigation:”, to the financial statements included earlier in this Quarterly Report on Form 10-Q.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2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Microbot Medical Ltd. (incorporated by reference to the Company’s Current Report on Form 8-K filed on August 15, 2016)</w:t>
              </w:r>
              <w:r>
                <w:rPr>
                  <w:rFonts w:ascii="Times New Roman" w:cs="Times New Roman" w:eastAsia="Times New Roman" w:hAnsi="Times New Roman"/>
                  <w:sz w:val="18"/>
                  <w:szCs w:val="18"/>
                  <w:color w:val="000000"/>
                </w:rPr>
                <w:t>.</w:t>
              </w:r>
            </w:hyperlink>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Restated Certificate of Incorporation of the Company (incorporated by reference to the Company’s Annual Report on Form 10-K for the fiscal</w:t>
              </w:r>
            </w:hyperlink>
          </w:p>
        </w:tc>
      </w:tr>
      <w:tr>
        <w:trPr>
          <w:trHeight w:val="196"/>
        </w:trPr>
        <w:tc>
          <w:tcPr>
            <w:tcW w:w="980" w:type="dxa"/>
            <w:vAlign w:val="bottom"/>
          </w:tcPr>
          <w:p>
            <w:pPr>
              <w:spacing w:after="0"/>
              <w:rPr>
                <w:sz w:val="17"/>
                <w:szCs w:val="17"/>
                <w:color w:val="auto"/>
              </w:rPr>
            </w:pP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Report on Form 8-K filed on November 29, 2016).</w:t>
              </w:r>
            </w:hyperlink>
          </w:p>
        </w:tc>
        <w:tc>
          <w:tcPr>
            <w:tcW w:w="6600" w:type="dxa"/>
            <w:vAlign w:val="bottom"/>
            <w:gridSpan w:val="1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8-K filed on September 4, 2018)</w:t>
              </w:r>
              <w:r>
                <w:rPr>
                  <w:rFonts w:ascii="Times New Roman" w:cs="Times New Roman" w:eastAsia="Times New Roman" w:hAnsi="Times New Roman"/>
                  <w:sz w:val="18"/>
                  <w:szCs w:val="18"/>
                  <w:color w:val="000000"/>
                </w:rPr>
                <w:t>.</w:t>
              </w:r>
            </w:hyperlink>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520" w:type="dxa"/>
            <w:vAlign w:val="bottom"/>
            <w:gridSpan w:val="2"/>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2016)</w:t>
              </w:r>
              <w:r>
                <w:rPr>
                  <w:rFonts w:ascii="Times New Roman" w:cs="Times New Roman" w:eastAsia="Times New Roman" w:hAnsi="Times New Roman"/>
                  <w:sz w:val="18"/>
                  <w:szCs w:val="18"/>
                  <w:color w:val="000000"/>
                </w:rPr>
                <w:t>.</w:t>
              </w:r>
            </w:hyperlink>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94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86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Report on Form 8-K filed on May 3, 2021).</w:t>
              </w:r>
            </w:hyperlink>
          </w:p>
        </w:tc>
        <w:tc>
          <w:tcPr>
            <w:tcW w:w="7120" w:type="dxa"/>
            <w:vAlign w:val="bottom"/>
            <w:gridSpan w:val="1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 ended</w:t>
              </w:r>
            </w:hyperlink>
          </w:p>
        </w:tc>
      </w:tr>
      <w:tr>
        <w:trPr>
          <w:trHeight w:val="196"/>
        </w:trPr>
        <w:tc>
          <w:tcPr>
            <w:tcW w:w="9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December 31, 2019).</w:t>
              </w:r>
            </w:hyperlink>
          </w:p>
        </w:tc>
        <w:tc>
          <w:tcPr>
            <w:tcW w:w="8720" w:type="dxa"/>
            <w:vAlign w:val="bottom"/>
            <w:tcBorders>
              <w:top w:val="single" w:sz="8" w:color="0000EE"/>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2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 of Series A Warrant (incorporated by reference to the Registrant’s Current Report on Form 8-K filed on October 25, 2022)</w:t>
              </w:r>
            </w:hyperlink>
          </w:p>
        </w:tc>
        <w:tc>
          <w:tcPr>
            <w:tcW w:w="100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4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78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2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102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92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102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14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8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340" w:type="dxa"/>
            <w:vAlign w:val="bottom"/>
            <w:gridSpan w:val="1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9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12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0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26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92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102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c>
          <w:tcPr>
            <w:tcW w:w="12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4">
              <w:r>
                <w:rPr>
                  <w:rFonts w:ascii="Times New Roman" w:cs="Times New Roman" w:eastAsia="Times New Roman" w:hAnsi="Times New Roman"/>
                  <w:sz w:val="18"/>
                  <w:szCs w:val="18"/>
                  <w:color w:val="0000EE"/>
                  <w:w w:val="95"/>
                </w:rPr>
                <w:t>2024)</w:t>
              </w:r>
            </w:hyperlink>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Inducement Letter (incorporated by reference to the Registrant’s Current Report on Form 8-K filed on January 2, 2024)</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Settlement Agreement and Release dated as of January 26, 2024 (incorporated by reference to the Registrant’s Current Report on Form 8-K</w:t>
              </w:r>
            </w:hyperlink>
          </w:p>
        </w:tc>
      </w:tr>
      <w:tr>
        <w:trPr>
          <w:trHeight w:val="196"/>
        </w:trPr>
        <w:tc>
          <w:tcPr>
            <w:tcW w:w="98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filed on January 30, 2024)</w:t>
              </w:r>
            </w:hyperlink>
          </w:p>
        </w:tc>
        <w:tc>
          <w:tcPr>
            <w:tcW w:w="8360" w:type="dxa"/>
            <w:vAlign w:val="bottom"/>
            <w:gridSpan w:val="2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Registration Rights Agreement dated as of January 26, 2024 (incorporated by reference to the Registrant’s Current Report on Form 8-K filed</w:t>
              </w:r>
            </w:hyperlink>
          </w:p>
        </w:tc>
      </w:tr>
      <w:tr>
        <w:trPr>
          <w:trHeight w:val="196"/>
        </w:trPr>
        <w:tc>
          <w:tcPr>
            <w:tcW w:w="98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on January 30, 2024)</w:t>
              </w:r>
            </w:hyperlink>
          </w:p>
        </w:tc>
        <w:tc>
          <w:tcPr>
            <w:tcW w:w="8740" w:type="dxa"/>
            <w:vAlign w:val="bottom"/>
            <w:gridSpan w:val="2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6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w:t>
            </w:r>
          </w:p>
        </w:tc>
        <w:tc>
          <w:tcPr>
            <w:tcW w:w="4600" w:type="dxa"/>
            <w:vAlign w:val="bottom"/>
            <w:gridSpan w:val="1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300" w:type="dxa"/>
            <w:vAlign w:val="bottom"/>
            <w:gridSpan w:val="1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2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 to</w:t>
            </w:r>
          </w:p>
        </w:tc>
      </w:tr>
      <w:tr>
        <w:trPr>
          <w:trHeight w:val="196"/>
        </w:trPr>
        <w:tc>
          <w:tcPr>
            <w:tcW w:w="98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84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2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 pursuant to 18 U.S.C. Section 1350, as adopted pursuant to Section 906 of the</w:t>
            </w:r>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8200" w:type="dxa"/>
            <w:vAlign w:val="bottom"/>
            <w:gridSpan w:val="20"/>
          </w:tcPr>
          <w:p>
            <w:pPr>
              <w:spacing w:after="0"/>
              <w:rPr>
                <w:sz w:val="17"/>
                <w:szCs w:val="17"/>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 the</w:t>
            </w:r>
          </w:p>
        </w:tc>
      </w:tr>
      <w:tr>
        <w:trPr>
          <w:trHeight w:val="216"/>
        </w:trPr>
        <w:tc>
          <w:tcPr>
            <w:tcW w:w="980" w:type="dxa"/>
            <w:vAlign w:val="bottom"/>
          </w:tcPr>
          <w:p>
            <w:pPr>
              <w:spacing w:after="0"/>
              <w:rPr>
                <w:sz w:val="18"/>
                <w:szCs w:val="18"/>
                <w:color w:val="auto"/>
              </w:rPr>
            </w:pP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ind w:left="5540" w:right="3720" w:hanging="5532"/>
        <w:spacing w:after="0" w:line="511" w:lineRule="auto"/>
        <w:tabs>
          <w:tab w:leader="none" w:pos="9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Vaknin</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March 31,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7"/>
          <w:szCs w:val="17"/>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Rachel Vaknin, Chief Financial Officer of Microbot Medical Inc., hereby certify, pursuant to 18 U.S.C. Section 1350, as adopted pursuant to Section 906 of the Sarbanes-Oxley Act of 2002, that to my knowledge, the quarterly report on Form 10-Q for the period ending March 31,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7"/>
          <w:szCs w:val="17"/>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Rachel Vaknin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04"/>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60" Type="http://schemas.openxmlformats.org/officeDocument/2006/relationships/image" Target="media/image30.png"/><Relationship Id="rId61" Type="http://schemas.openxmlformats.org/officeDocument/2006/relationships/image" Target="media/image31.png"/><Relationship Id="rId62" Type="http://schemas.openxmlformats.org/officeDocument/2006/relationships/image" Target="media/image32.png"/><Relationship Id="rId63"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35" Type="http://schemas.openxmlformats.org/officeDocument/2006/relationships/hyperlink" Target="https://www.sec.gov/Archives/edgar/data/883975/000119312516682077/d161430dex21.htm" TargetMode="External"/><Relationship Id="rId36" Type="http://schemas.openxmlformats.org/officeDocument/2006/relationships/hyperlink" Target="https://www.sec.gov/Archives/edgar/data/883975/000095013407005808/f27726exv3w1.htm" TargetMode="External"/><Relationship Id="rId37" Type="http://schemas.openxmlformats.org/officeDocument/2006/relationships/hyperlink" Target="https://www.sec.gov/Archives/edgar/data/883975/000119312516779597/d296933dex31.htm" TargetMode="External"/><Relationship Id="rId38" Type="http://schemas.openxmlformats.org/officeDocument/2006/relationships/hyperlink" Target="https://www.sec.gov/Archives/edgar/data/883975/000149315218012872/ex3-1.htm" TargetMode="External"/><Relationship Id="rId39" Type="http://schemas.openxmlformats.org/officeDocument/2006/relationships/hyperlink" Target="https://www.sec.gov/Archives/edgar/data/883975/000129993316002374/exhibit1.htm" TargetMode="External"/><Relationship Id="rId40" Type="http://schemas.openxmlformats.org/officeDocument/2006/relationships/hyperlink" Target="https://www.sec.gov/Archives/edgar/data/883975/000149315218017395/ex3-1.htm" TargetMode="External"/><Relationship Id="rId41" Type="http://schemas.openxmlformats.org/officeDocument/2006/relationships/hyperlink" Target="https://www.sec.gov/Archives/edgar/data/883975/000149315219013998/ex3-1.htm" TargetMode="External"/><Relationship Id="rId42" Type="http://schemas.openxmlformats.org/officeDocument/2006/relationships/hyperlink" Target="https://www.sec.gov/Archives/edgar/data/883975/000149315221010347/ex3-1.htm" TargetMode="External"/><Relationship Id="rId43" Type="http://schemas.openxmlformats.org/officeDocument/2006/relationships/hyperlink" Target="https://www.sec.gov/Archives/edgar/data/883975/000149315220006338/ex4-10.htm" TargetMode="External"/><Relationship Id="rId44" Type="http://schemas.openxmlformats.org/officeDocument/2006/relationships/hyperlink" Target="https://www.sec.gov/Archives/edgar/data/883975/000149315222029541/ex4-2.htm" TargetMode="External"/><Relationship Id="rId45" Type="http://schemas.openxmlformats.org/officeDocument/2006/relationships/hyperlink" Target="https://www.sec.gov/Archives/edgar/data/883975/000149315222029541/ex4-4.htm" TargetMode="External"/><Relationship Id="rId46" Type="http://schemas.openxmlformats.org/officeDocument/2006/relationships/hyperlink" Target="https://www.sec.gov/Archives/edgar/data/883975/000149315223018718/ex4-1.htm" TargetMode="External"/><Relationship Id="rId47" Type="http://schemas.openxmlformats.org/officeDocument/2006/relationships/hyperlink" Target="https://www.sec.gov/Archives/edgar/data/883975/000149315223018932/ex4-2.htm" TargetMode="External"/><Relationship Id="rId48" Type="http://schemas.openxmlformats.org/officeDocument/2006/relationships/hyperlink" Target="https://www.sec.gov/Archives/edgar/data/883975/000149315223018932/ex10-2.htm" TargetMode="External"/><Relationship Id="rId49" Type="http://schemas.openxmlformats.org/officeDocument/2006/relationships/hyperlink" Target="https://www.sec.gov/Archives/edgar/data/883975/000149315223020309/ex4-1.htm" TargetMode="External"/><Relationship Id="rId50" Type="http://schemas.openxmlformats.org/officeDocument/2006/relationships/hyperlink" Target="https://www.sec.gov/Archives/edgar/data/883975/000149315223020309/ex4-2.htm" TargetMode="External"/><Relationship Id="rId51" Type="http://schemas.openxmlformats.org/officeDocument/2006/relationships/hyperlink" Target="https://www.sec.gov/Archives/edgar/data/883975/000149315223022814/ex4-1.htm" TargetMode="External"/><Relationship Id="rId52" Type="http://schemas.openxmlformats.org/officeDocument/2006/relationships/hyperlink" Target="https://www.sec.gov/Archives/edgar/data/883975/000149315223022814/ex4-2.htm" TargetMode="External"/><Relationship Id="rId53" Type="http://schemas.openxmlformats.org/officeDocument/2006/relationships/hyperlink" Target="https://www.sec.gov/Archives/edgar/data/883975/000149315224000109/ex4-1.htm" TargetMode="External"/><Relationship Id="rId54" Type="http://schemas.openxmlformats.org/officeDocument/2006/relationships/hyperlink" Target="https://www.sec.gov/Archives/edgar/data/883975/000149315224000109/ex4-2.htm" TargetMode="External"/><Relationship Id="rId55" Type="http://schemas.openxmlformats.org/officeDocument/2006/relationships/hyperlink" Target="https://www.sec.gov/Archives/edgar/data/883975/000149315224000109/ex10-1.htm" TargetMode="External"/><Relationship Id="rId56" Type="http://schemas.openxmlformats.org/officeDocument/2006/relationships/hyperlink" Target="https://www.sec.gov/Archives/edgar/data/883975/000149315224004231/ex10-1.htm" TargetMode="External"/><Relationship Id="rId57" Type="http://schemas.openxmlformats.org/officeDocument/2006/relationships/hyperlink" Target="https://www.sec.gov/Archives/edgar/data/883975/000149315224004231/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2024-05-15T07:49:00Z</dcterms:created>
  <dcterms:modified xsi:type="dcterms:W3CDTF">2024-05-15T07:49:00Z</dcterms:modified>
</cp:coreProperties>
</file>