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Stratton Kenneth Blair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09/15/2008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80"/>
              <w:spacing w:after="0"/>
              <w:rPr>
                <w:sz w:val="20"/>
                <w:szCs w:val="20"/>
                <w:color w:val="auto"/>
              </w:rPr>
            </w:pPr>
            <w:r>
              <w:rPr>
                <w:rFonts w:ascii="Arial" w:cs="Arial" w:eastAsia="Arial" w:hAnsi="Arial"/>
                <w:sz w:val="14"/>
                <w:szCs w:val="14"/>
                <w:color w:val="auto"/>
              </w:rPr>
              <w:t>(First)</w:t>
            </w:r>
          </w:p>
        </w:tc>
        <w:tc>
          <w:tcPr>
            <w:tcW w:w="1240" w:type="dxa"/>
            <w:vAlign w:val="bottom"/>
          </w:tcPr>
          <w:p>
            <w:pPr>
              <w:ind w:left="2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C/O STEMCELLS, INC.</w:t>
            </w:r>
          </w:p>
        </w:tc>
        <w:tc>
          <w:tcPr>
            <w:tcW w:w="12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0000FF"/>
              </w:rPr>
              <w:t>3155 PORTER DRIVE</w:t>
            </w:r>
          </w:p>
        </w:tc>
        <w:tc>
          <w:tcPr>
            <w:tcW w:w="124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PALO ALTO</w:t>
            </w:r>
          </w:p>
        </w:tc>
        <w:tc>
          <w:tcPr>
            <w:tcW w:w="960" w:type="dxa"/>
            <w:vAlign w:val="bottom"/>
          </w:tcPr>
          <w:p>
            <w:pPr>
              <w:ind w:left="80"/>
              <w:spacing w:after="0"/>
              <w:rPr>
                <w:sz w:val="20"/>
                <w:szCs w:val="20"/>
                <w:color w:val="auto"/>
              </w:rPr>
            </w:pPr>
            <w:r>
              <w:rPr>
                <w:rFonts w:ascii="Arial" w:cs="Arial" w:eastAsia="Arial" w:hAnsi="Arial"/>
                <w:sz w:val="18"/>
                <w:szCs w:val="18"/>
                <w:color w:val="0000FF"/>
              </w:rPr>
              <w:t>CA</w:t>
            </w:r>
          </w:p>
        </w:tc>
        <w:tc>
          <w:tcPr>
            <w:tcW w:w="1240" w:type="dxa"/>
            <w:vAlign w:val="bottom"/>
          </w:tcPr>
          <w:p>
            <w:pPr>
              <w:ind w:left="200"/>
              <w:spacing w:after="0"/>
              <w:rPr>
                <w:sz w:val="20"/>
                <w:szCs w:val="20"/>
                <w:color w:val="auto"/>
              </w:rPr>
            </w:pPr>
            <w:r>
              <w:rPr>
                <w:rFonts w:ascii="Arial" w:cs="Arial" w:eastAsia="Arial" w:hAnsi="Arial"/>
                <w:sz w:val="18"/>
                <w:szCs w:val="18"/>
                <w:color w:val="0000FF"/>
              </w:rPr>
              <w:t>94304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General Counsel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center"/>
              <w:ind w:right="582"/>
              <w:spacing w:after="0"/>
              <w:rPr>
                <w:sz w:val="20"/>
                <w:szCs w:val="20"/>
                <w:color w:val="auto"/>
              </w:rPr>
            </w:pPr>
            <w:r>
              <w:rPr>
                <w:rFonts w:ascii="Arial" w:cs="Arial" w:eastAsia="Arial" w:hAnsi="Arial"/>
                <w:sz w:val="18"/>
                <w:szCs w:val="18"/>
                <w:color w:val="0000FF"/>
              </w:rPr>
              <w:t>82,500</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702"/>
              <w:spacing w:after="0"/>
              <w:rPr>
                <w:sz w:val="20"/>
                <w:szCs w:val="20"/>
                <w:color w:val="auto"/>
              </w:rPr>
            </w:pPr>
            <w:r>
              <w:rPr>
                <w:rFonts w:ascii="Arial" w:cs="Arial" w:eastAsia="Arial" w:hAnsi="Arial"/>
                <w:sz w:val="18"/>
                <w:szCs w:val="18"/>
                <w:color w:val="0000FF"/>
              </w:rPr>
              <w:t>4,578</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8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w w:val="92"/>
              </w:rPr>
              <w:t>By 401(k) Plan</w:t>
            </w:r>
            <w:r>
              <w:rPr>
                <w:rFonts w:ascii="Arial" w:cs="Arial" w:eastAsia="Arial" w:hAnsi="Arial"/>
                <w:sz w:val="22"/>
                <w:szCs w:val="22"/>
                <w:color w:val="008000"/>
                <w:w w:val="92"/>
                <w:vertAlign w:val="superscript"/>
              </w:rPr>
              <w:t>(2)</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00" w:type="dxa"/>
            <w:vAlign w:val="bottom"/>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2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02/28/2017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150,000</w:t>
            </w:r>
          </w:p>
        </w:tc>
        <w:tc>
          <w:tcPr>
            <w:tcW w:w="880" w:type="dxa"/>
            <w:vAlign w:val="bottom"/>
          </w:tcPr>
          <w:p>
            <w:pPr>
              <w:ind w:left="280"/>
              <w:spacing w:after="0"/>
              <w:rPr>
                <w:sz w:val="20"/>
                <w:szCs w:val="20"/>
                <w:color w:val="auto"/>
              </w:rPr>
            </w:pPr>
            <w:r>
              <w:rPr>
                <w:rFonts w:ascii="Arial" w:cs="Arial" w:eastAsia="Arial" w:hAnsi="Arial"/>
                <w:sz w:val="18"/>
                <w:szCs w:val="18"/>
                <w:color w:val="0000FF"/>
              </w:rPr>
              <w:t>2.62</w:t>
            </w:r>
          </w:p>
        </w:tc>
        <w:tc>
          <w:tcPr>
            <w:tcW w:w="90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Restricted stock units, with 1/3 vesting on March 10, 2009, 1/3 vesting on March 10, 2010, and 1/3 vesting on March 10,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over four years, with 1/4 of the shares vesting on the anniversary of the grant and the remainder vesting at 1/48 per month thereafter. Options to purchase 37,500 shares became exerciseable on February 28, 2008, with an additional 3,125 shares becoming exercisable monthly thereafter for the remainder of the vesting period.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0000FF"/>
                <w:w w:val="88"/>
              </w:rPr>
              <w:t>/s/ Kenneth B. Stratton</w:t>
            </w:r>
          </w:p>
        </w:tc>
        <w:tc>
          <w:tcPr>
            <w:tcW w:w="5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04/07/2009</w:t>
            </w:r>
          </w:p>
        </w:tc>
      </w:tr>
      <w:tr>
        <w:trPr>
          <w:trHeight w:val="20"/>
        </w:trPr>
        <w:tc>
          <w:tcPr>
            <w:tcW w:w="1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George Koshy and Martin McGlynn,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StemCells, Inc. (the "Company"), Forms 3, 4 and</w:t>
      </w:r>
    </w:p>
    <w:p>
      <w:pPr>
        <w:ind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NASDAQ Stock Market;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of 1933 or the rules promulgated thereunder, including Rule 144, or the Securities and Exchange Act of 1934 or the rules promulgated thereunder, including Section 16.</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10th day of February, 2009.</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__________________/s/_____________________</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__________________Kenneth B. Stratton_______</w:t>
      </w:r>
    </w:p>
    <w:p>
      <w:pPr>
        <w:ind w:left="8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61320" TargetMode="External"/><Relationship Id="rId12"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2019-12-18T01:04:38Z</dcterms:created>
  <dcterms:modified xsi:type="dcterms:W3CDTF">2019-12-18T01:04:38Z</dcterms:modified>
</cp:coreProperties>
</file>