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14a-101)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Commissions Only (as permitted by Rule 14a-6(e)(2))</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Section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-438785</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-876300</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-1176655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right="20" w:hanging="652"/>
        <w:spacing w:after="0" w:line="277" w:lineRule="auto"/>
        <w:tabs>
          <w:tab w:leader="none" w:pos="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-422275</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10,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 IS HEREBY GIVEN, that the 2019 Annual Meeting of Shareholders (the “Annual Meeting”) of Microbot Medical Inc. (the “Company”) will be held at 4:00 P.M., Eastern Time on September 10, 2019 at the offices of Mintz, Levin, Cohn, Ferris, Glovsky and Popeo, P.C. located at 666 Third Avenue, Room 24C, New York, NY 10017. At the Annual Meeting, you will be asked to vote on:</w:t>
      </w:r>
    </w:p>
    <w:p>
      <w:pPr>
        <w:spacing w:after="0" w:line="18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election of three Class I directors to the Board of Directors of the Company to serve until the 2022 Annual Meeting of Shareholders;</w:t>
      </w:r>
    </w:p>
    <w:p>
      <w:pPr>
        <w:spacing w:after="0" w:line="23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2019;</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certificate of incorporation, as amended, to effect a reduction in the authorized number of shares of capital stock the Company is authorized to issues from 221,000,000 to 61,000,000, including a reduction in the number of authorized shares of common stock of the Company from 220,000,000 to 60,000,000; and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has fixed the close of business on July 22, 2019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10, 2019</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proxy statement and the accompanying proxy card is furnished in connection with the solicitation by the Board of Directors (the “Board”) of Microbot Medical Inc., a Delaware corporation (the “Company”), of proxies for use at the 2019 Annual Meeting of Shareholders (the “Annual Meeting”) to be held at the offices of Mintz, Levin, Cohn, Ferris, Glovsky and Popeo, P.C. located at 666 Third Avenue, Room 24C, New York, NY 10017 at 4:00 P.M., Eastern Time, on September 10, 2019, or at any adjournment or postponement thereof, for the purposes set forth in this proxy statement and the accompanying Notice of Annual Meeting of Shareholders. This proxy statement and the accompanying proxy card is first being mailed on or about August 12, 2019 to all Shareholders of the Company entitled to vote at the Annual Meeting (the “Shareholders”).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will bear the cost of solicitation of proxies. Directors, officers and employees of the Company may solicit proxies by telephone, email, facsimile, in person or otherwise for no additional compensation. The Company has retained Morrow Sodali LLC to act as a proxy solicitor in conjunction with the annual stockholders meeting at an estimated cost of $7,000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fixed the close of business on July 22, 2019, as the record date for determining stockholders entitled to notice of, and to vote at, the Annual Meeting or at any postponement or adjournment thereof. There were 4,307,666 shares of our common stock, $.01 par value, outstanding on July 22, 2019, each of which is entitled to one vote for each share on the matters to be voted upon.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Stockholders are being asked to vote on three proposals at the Company’s 2019 Annual Meeting. The proposals to be voted on and related recommendations from the Board of Directors are as follows:</w:t>
      </w:r>
    </w:p>
    <w:p>
      <w:pPr>
        <w:spacing w:after="0" w:line="17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Proposal Number 1.</w:t>
      </w:r>
      <w:r>
        <w:rPr>
          <w:sz w:val="20"/>
          <w:szCs w:val="20"/>
          <w:color w:val="auto"/>
        </w:rPr>
        <w:tab/>
      </w:r>
      <w:r>
        <w:rPr>
          <w:rFonts w:ascii="Arial" w:cs="Arial" w:eastAsia="Arial" w:hAnsi="Arial"/>
          <w:sz w:val="16"/>
          <w:szCs w:val="16"/>
          <w:color w:val="auto"/>
        </w:rPr>
        <w:t>The election of three Class I directors to the Board of the Company to serve until the 2022 Annual Meeting of Shareholders.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Board recommends that you vote “FOR” each of the nominees.</w:t>
      </w:r>
    </w:p>
    <w:p>
      <w:pPr>
        <w:spacing w:after="0" w:line="211" w:lineRule="exact"/>
        <w:rPr>
          <w:sz w:val="20"/>
          <w:szCs w:val="20"/>
          <w:color w:val="auto"/>
        </w:rPr>
      </w:pPr>
    </w:p>
    <w:p>
      <w:pPr>
        <w:jc w:val="both"/>
        <w:ind w:left="2300" w:hanging="2281"/>
        <w:spacing w:after="0" w:line="264" w:lineRule="auto"/>
        <w:tabs>
          <w:tab w:leader="none" w:pos="2280" w:val="left"/>
        </w:tabs>
        <w:rPr>
          <w:sz w:val="20"/>
          <w:szCs w:val="20"/>
          <w:color w:val="auto"/>
        </w:rPr>
      </w:pPr>
      <w:r>
        <w:rPr>
          <w:rFonts w:ascii="Arial" w:cs="Arial" w:eastAsia="Arial" w:hAnsi="Arial"/>
          <w:sz w:val="18"/>
          <w:szCs w:val="18"/>
          <w:color w:val="auto"/>
        </w:rPr>
        <w:t>Proposal Number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2019. The Board recommends that you vote “FOR” this proposal.</w:t>
      </w:r>
    </w:p>
    <w:p>
      <w:pPr>
        <w:spacing w:after="0" w:line="181" w:lineRule="exact"/>
        <w:rPr>
          <w:sz w:val="20"/>
          <w:szCs w:val="20"/>
          <w:color w:val="auto"/>
        </w:rPr>
      </w:pPr>
    </w:p>
    <w:p>
      <w:pPr>
        <w:jc w:val="both"/>
        <w:ind w:left="2300" w:hanging="2281"/>
        <w:spacing w:after="0" w:line="259" w:lineRule="auto"/>
        <w:tabs>
          <w:tab w:leader="none" w:pos="2280" w:val="left"/>
        </w:tabs>
        <w:rPr>
          <w:sz w:val="20"/>
          <w:szCs w:val="20"/>
          <w:color w:val="auto"/>
        </w:rPr>
      </w:pPr>
      <w:r>
        <w:rPr>
          <w:rFonts w:ascii="Arial" w:cs="Arial" w:eastAsia="Arial" w:hAnsi="Arial"/>
          <w:sz w:val="18"/>
          <w:szCs w:val="18"/>
          <w:color w:val="auto"/>
        </w:rPr>
        <w:t>Proposal Number 3.</w:t>
      </w:r>
      <w:r>
        <w:rPr>
          <w:sz w:val="20"/>
          <w:szCs w:val="20"/>
          <w:color w:val="auto"/>
        </w:rPr>
        <w:tab/>
      </w:r>
      <w:r>
        <w:rPr>
          <w:rFonts w:ascii="Arial" w:cs="Arial" w:eastAsia="Arial" w:hAnsi="Arial"/>
          <w:sz w:val="18"/>
          <w:szCs w:val="18"/>
          <w:color w:val="auto"/>
        </w:rPr>
        <w:t>To approve an amendment to our certificate of incorporation to effect to effect a reduction in the authorized number of shares of capital stock the Company is authorized to issues from 221,000,000 to 61,000,000, including a reduction in the number of authorized shares of common stock of the Company from 220,000,000 to 60,000,000 (the “Share Reduction”). The Board recommends that you vote “FOR” this proposal.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election of directors, which is Proposal Number 1, you may vote “FOR” all of the nominees or your vote may be “WITHHELD” with respect to any of the nominees. For Proposal Number 2 and Proposal Number 3, you may vote “FOR,” vote “AGAINST” or “ABSTAIN.” If you “ABSTAIN” as to Proposal Number 2, the abstention will have no effect. An abstention, a “broker non-vote,” or a failure to submit a proxy card or vote at the Annual Meeting with respect to Proposal Number 3 will have the same effect as voting “AGAINST” such proposal.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three Class I directors to the Board of the Company to serve until the 2022 Annual Meeting of Shareholders.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the Share Reduction.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discretion of the named proxies as to any other matter that may properly come before the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2019 Annual Meeting.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registered stockholders of the Company, meaning stockholders who hold the Company’s stock directly (not through a bank, broker, or other nominee) may cast their vote in any of the following ways: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Vote by Internet</w:t>
      </w:r>
      <w:r>
        <w:rPr>
          <w:rFonts w:ascii="Arial" w:cs="Arial" w:eastAsia="Arial" w:hAnsi="Arial"/>
          <w:sz w:val="17"/>
          <w:szCs w:val="17"/>
          <w:color w:val="auto"/>
        </w:rPr>
        <w:t>. Registered stockholders can vote over the Internet at www.envisionreports.com/MBOT by following the instructions on the proxy card.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Internet voting facilities for registered stockholders of record will be available 24 hours a day and will close at 3:00 p.m. (EDT) on September 10, 2019.</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Registered stockholders can vote by mail by signing, dating and mailing the enclosed proxy card in the postage-paid envelope provided.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is missing, such a stockholder can mail the completed proxy card or voting instruction card to Computershare, C/O Shareholder Services, P.O. Box 505000, Louisville, KY 40233-5000. The completed card must be received no later than September 9, 2019.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Registered stockholders can vote by telephone by calling the phone number located on the top of your proxy card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You will need information from your proxy card to submit your proxy by telephone. Telephone voting facilities for registered stockholders of record will be available 24 hours a day and will close at 3:00 p.m. (EDT) on September 10,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beneficial stockholders of the Company, meaning stockholders who hold the Company’s stock in the name of a bank, broker, or other nominee (commonly referred to as holding shares in “street name”) may cast their vote in any of the following ways: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Vote by Internet</w:t>
      </w:r>
      <w:r>
        <w:rPr>
          <w:rFonts w:ascii="Arial" w:cs="Arial" w:eastAsia="Arial" w:hAnsi="Arial"/>
          <w:sz w:val="18"/>
          <w:szCs w:val="18"/>
          <w:color w:val="auto"/>
        </w:rPr>
        <w:t>. Beneficial stockholders can vote over the Internet at www.proxyvote.com by following the online instructions. Internet voting facilities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stockholders of record will be available 24 hours a day and will close at 3:00 p.m. (EDT) on September 10,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Beneficial stockholders can vote by mail by signing, dating and mailing the enclosed voting instruction form (“VIF”) in the postage-paid</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provided. The completed card must be received no later than September 9,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Beneficial stockholders can vote by telephone by calling the phone number located on the top of your VIF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Telephone voting facilities for beneficial stockholders of record will be available 24 hours a day and will close at 3:00 p.m. (EDT) on September 10,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Delaware law and the Company’s amended and restated by-laws, a majority of the votes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This year if you hold shares beneficially in street name and do not vote your shares, your broker or nominee can vote your shares at its discretion on Proposal Number 2.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 Thus, if stockholders do not give their broker or nominee specific instructions, their shares may not be voted for the election of directors or the Share Reduction. Abstentions and broker non-votes will be counted as present for purposes of establishing a quorum.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Number 2, the affirmative “FOR” vote is required by the holders of a majority of the shares present at the Annual Meeting in person or by proxy and voting. Abstentions will have no effect on the outcome of this proposal.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Proposal Number 3, the affirmative “FOR” vote is required by the holders of a majority of the shares outstanding and entitled to vote on the matter. An abstention, a “broker non-vote,” or a failure to submit a proxy card or vote at the Annual Meeting will have the same effect as voting “AGAINST” this proposal.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August 8, 2019, by (i) each of our directors,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August 8, 2019. We calculated percentage ownership in accordance with the rules of the SEC. The percentage of common stock beneficially owned is based on 4,307,666 shares outstanding as of August 8, 2019. In addition, shares issuable pursuant to options or other convertible securities that may be acquired within 60 days of August 8, 2019 are deemed to be issued and outstanding and have been treated as outstanding in calculating and determining the beneficial ownership and percentage ownership of those persons possessing those securities, but not for any other persons.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6"/>
          <w:szCs w:val="16"/>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 of Shares</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7080" w:type="dxa"/>
            <w:vAlign w:val="bottom"/>
            <w:gridSpan w:val="2"/>
          </w:tcPr>
          <w:p>
            <w:pPr>
              <w:ind w:left="2760"/>
              <w:spacing w:after="0"/>
              <w:rPr>
                <w:sz w:val="20"/>
                <w:szCs w:val="20"/>
                <w:color w:val="auto"/>
              </w:rPr>
            </w:pPr>
            <w:r>
              <w:rPr>
                <w:rFonts w:ascii="Arial" w:cs="Arial" w:eastAsia="Arial" w:hAnsi="Arial"/>
                <w:sz w:val="18"/>
                <w:szCs w:val="18"/>
                <w:b w:val="1"/>
                <w:bCs w:val="1"/>
                <w:color w:val="auto"/>
              </w:rPr>
              <w:t>Beneficial Owner</w:t>
            </w:r>
          </w:p>
        </w:tc>
        <w:tc>
          <w:tcPr>
            <w:tcW w:w="2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Beneficially Owned</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329,782</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Waizer</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2,517</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304,545</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2,517</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2,517</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3,125</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2,517</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executive officers as a group (7 persons)</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647,520</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Five Percent Shareholders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LSA - Life Science Accelerator Ltd.</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304,545</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r>
      <w:tr>
        <w:trPr>
          <w:trHeight w:val="257"/>
        </w:trPr>
        <w:tc>
          <w:tcPr>
            <w:tcW w:w="7080" w:type="dxa"/>
            <w:vAlign w:val="bottom"/>
            <w:gridSpan w:val="2"/>
          </w:tcPr>
          <w:p>
            <w:pPr>
              <w:spacing w:after="0" w:line="256" w:lineRule="exact"/>
              <w:rPr>
                <w:sz w:val="20"/>
                <w:szCs w:val="20"/>
                <w:color w:val="auto"/>
              </w:rPr>
            </w:pPr>
            <w:r>
              <w:rPr>
                <w:rFonts w:ascii="Arial" w:cs="Arial" w:eastAsia="Arial" w:hAnsi="Arial"/>
                <w:sz w:val="18"/>
                <w:szCs w:val="18"/>
                <w:color w:val="auto"/>
              </w:rPr>
              <w:t>MEDX Ventures Group LLC</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254,711</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r>
      <w:tr>
        <w:trPr>
          <w:trHeight w:val="257"/>
        </w:trPr>
        <w:tc>
          <w:tcPr>
            <w:tcW w:w="7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Saber Holding GmbH</w:t>
            </w:r>
            <w:r>
              <w:rPr>
                <w:rFonts w:ascii="Arial" w:cs="Arial" w:eastAsia="Arial" w:hAnsi="Arial"/>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287,134</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and 75,071 shares of our common stock issuable upon the exercise of options granted to Mr. Gadot. All of such shares and 77,864 options are held by MEDX Ventures Group LLC, which is beneficially owned by Mr. Gadot. See Note 5 below.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2,517 shares of our common stock issuable to Mr. Bornstein upon exercise of options.</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 Does not include Mr. Himelfarb, who resigned effective February 1, 2019. See Note (7) below).</w:t>
      </w: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77,864 shares of our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six directors serving on our Board and one vacancy. The following table lists the names, ages and positions of the individuals who serve as directors of the Company, as of August 8,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Age</w:t>
            </w:r>
          </w:p>
        </w:tc>
        <w:tc>
          <w:tcPr>
            <w:tcW w:w="7180" w:type="dxa"/>
            <w:vAlign w:val="bottom"/>
          </w:tcPr>
          <w:p>
            <w:pPr>
              <w:ind w:left="32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7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Yoav Waizer(2)(3)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Yoseph Bornstein(1)(3)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Scott Burell(1)(2)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Martin Madden(1)(3)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00" w:type="dxa"/>
            <w:vAlign w:val="bottom"/>
            <w:gridSpan w:val="3"/>
          </w:tcPr>
          <w:p>
            <w:pPr>
              <w:spacing w:after="0"/>
              <w:rPr>
                <w:sz w:val="20"/>
                <w:szCs w:val="20"/>
                <w:color w:val="auto"/>
              </w:rPr>
            </w:pPr>
            <w:r>
              <w:rPr>
                <w:rFonts w:ascii="Arial" w:cs="Arial" w:eastAsia="Arial" w:hAnsi="Arial"/>
                <w:sz w:val="18"/>
                <w:szCs w:val="18"/>
                <w:color w:val="auto"/>
              </w:rPr>
              <w:t>Prattipati Laxminarain(2)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 Directors are standing for election at our 2019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 (term scheduled to expire in 2019, but nominated to stand for reelection at our 2019 Annual Meeting)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Yoav Waizer (term scheduled to expire in 2019, but nominated to stand for reelection at our 2019 Annual Meeting)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 (term scheduled to expire in 2019, but nominated to stand for reelection at our 2019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 (term scheduled to expire in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independent members of our Board, as determined by the Board in accordance with the existing Nasdaq Listing rules, are Messrs. Waizer, Bornstein, Burell, Madden and Laxminarain. The Board held approximately 13 regular and special meetings during the fiscal year ended December 31, 2018 and acted by unanimous written consent 1 times. Each of our directors attended at least approximately 90% of such meetings of the Board. While we encourage our directors to attend the Company’s annual Shareholder meeting, we do not have a policy requiring that they do so. All of our directors attended the Company’s 2018 annual stockholder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4 meetings during the fiscal year ended December 31, 2018.</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is composed of Messrs. Waizer, Madden and Bornstein. Each of the members of the Compensation Committee is independent. The Compensation Committee acts pursuant to a written charter which is available through our website at www.microbotmedical.com. The Compensation Committee held 3 meetings during the fiscal year ended December 31, 2018.</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Waizer, Laxminarain and Burell.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2018.</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nominations of the Class I directors standing for election or reelection, as the case may be, at our 2019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 Israel</w:t>
      </w:r>
      <w:r>
        <w:rPr>
          <w:rFonts w:ascii="Arial" w:cs="Arial" w:eastAsia="Arial" w:hAnsi="Arial"/>
          <w:sz w:val="17"/>
          <w:szCs w:val="17"/>
          <w:i w:val="1"/>
          <w:iCs w:val="1"/>
          <w:color w:val="auto"/>
        </w:rPr>
        <w:t xml:space="preserve"> </w:t>
      </w:r>
      <w:r>
        <w:rPr>
          <w:rFonts w:ascii="Arial" w:cs="Arial" w:eastAsia="Arial" w:hAnsi="Arial"/>
          <w:sz w:val="17"/>
          <w:szCs w:val="17"/>
          <w:color w:val="auto"/>
        </w:rPr>
        <w:t>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Yoav Waizer</w:t>
      </w:r>
      <w:r>
        <w:rPr>
          <w:rFonts w:ascii="Arial" w:cs="Arial" w:eastAsia="Arial" w:hAnsi="Arial"/>
          <w:sz w:val="16"/>
          <w:szCs w:val="16"/>
          <w:color w:val="auto"/>
        </w:rPr>
        <w:t>, became a director of the Company following the Merger and has served as a member of the Board of Directors of Microbot Israel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Waizer provides CFO services on a part-time basis to a number of venture capital funds and companies; including to Israeli Technology Investments (ITI) Fund, Next Gear Venture Partners L.P. and to Medica Venture Partners. Mr. Waizer served as CFO &amp; COO at Cedar Fund, a venture capital fund focuses on investing in Israel-related high-tech companies and prior to that Mr. Waizer was the CFO of Star Ventures Israel, the Israeli fund of Star Ventures. Mr. Waizer is currently a director of Yeda Research &amp; Development Co. Ltd., the technology transfer arm of the Weizmann Institute of Science, and XACT Robotics Ltd., a private Israeli company developing novel platform robotic technology for use in minimally invasive procedures. Mr. Waizer was the CFO on a part-time basis of MEDX Xelerator L.P., a medical device and digital health Israeli incubator. Mr. Waizer holds Master of Business Administration in Information Systems and B.Sc. in Accounting and Statistics, both from the Tel-Aviv University. The Company believes that Mr. Waizer is qualified to serve as a member of the Company’s board due to his extensive investment experience and extensive knowledge of the life sciences industry.</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Yoseph Bornstein</w:t>
      </w:r>
      <w:r>
        <w:rPr>
          <w:rFonts w:ascii="Arial" w:cs="Arial" w:eastAsia="Arial" w:hAnsi="Arial"/>
          <w:sz w:val="17"/>
          <w:szCs w:val="17"/>
          <w:color w:val="auto"/>
        </w:rPr>
        <w:t>, became a director of the Company following the Merger. Mr. Bornstein is a co-founder of Microbot Israel and has been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development company focusing on creating business ties between Israeli and Japanese entities, since August 2007. Mr. Bornstein is a director of XAct Robotics Ltd., an Israeli- based private company seeking to develop a novel platform technology for robotic needle steering in minimally invasive interventional procedures, and is the founder of ShizimXL Innovation Center.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i w:val="1"/>
          <w:iCs w:val="1"/>
          <w:color w:val="auto"/>
        </w:rPr>
        <w:t>Scott R. Burell</w:t>
      </w:r>
      <w:r>
        <w:rPr>
          <w:rFonts w:ascii="Arial" w:cs="Arial" w:eastAsia="Arial" w:hAnsi="Arial"/>
          <w:sz w:val="16"/>
          <w:szCs w:val="16"/>
          <w:color w:val="auto"/>
        </w:rPr>
        <w:t>, became a director of the Company following the Merger. Since August 1, 2018, Mr. Burell has been the Chief Financial Officer of AIVITA</w:t>
      </w:r>
      <w:r>
        <w:rPr>
          <w:rFonts w:ascii="Arial" w:cs="Arial" w:eastAsia="Arial" w:hAnsi="Arial"/>
          <w:sz w:val="16"/>
          <w:szCs w:val="16"/>
          <w:i w:val="1"/>
          <w:iCs w:val="1"/>
          <w:color w:val="auto"/>
        </w:rPr>
        <w:t xml:space="preserve"> </w:t>
      </w:r>
      <w:r>
        <w:rPr>
          <w:rFonts w:ascii="Arial" w:cs="Arial" w:eastAsia="Arial" w:hAnsi="Arial"/>
          <w:sz w:val="16"/>
          <w:szCs w:val="16"/>
          <w:color w:val="auto"/>
        </w:rPr>
        <w:t>Biomedical, Inc., a private biopharmaceutical company. From November 2006 until its sale to Invitae Corp.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 Board member of Collplant Biotechnologies. (Nasdaq: CLGN), an Israeli -based publicly traded biotechnology company focused on regenerative medicine. Mr. Burell is also a Board member of Mer Telemanagement Solutions Ltd. (Nasdaq: MTSL), an Israeli-based publicly traded telecommunications services company.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holds an MBA from Indian Institute of Management, Calcutta, India and a Bachelor of Engineering from Osmania University, Hyderabad, India. The Company believes that Mr. Laxminarain is qualified as a Board member of the Company because of his extensive experience working with medical device companies and knowledge of the industries in which the Company intends to compete.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are the name, age and other information for our named executive officers, as of August 8, 2019.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gridSpan w:val="2"/>
          </w:tcPr>
          <w:p>
            <w:pPr>
              <w:ind w:left="1300"/>
              <w:spacing w:after="0"/>
              <w:rPr>
                <w:sz w:val="20"/>
                <w:szCs w:val="20"/>
                <w:color w:val="auto"/>
              </w:rPr>
            </w:pPr>
            <w:r>
              <w:rPr>
                <w:rFonts w:ascii="Arial" w:cs="Arial" w:eastAsia="Arial" w:hAnsi="Arial"/>
                <w:sz w:val="18"/>
                <w:szCs w:val="18"/>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6840" w:type="dxa"/>
            <w:vAlign w:val="bottom"/>
          </w:tcPr>
          <w:p>
            <w:pPr>
              <w:ind w:left="31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6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David Ben Naim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David Ben Naim</w:t>
      </w:r>
      <w:r>
        <w:rPr>
          <w:rFonts w:ascii="Arial" w:cs="Arial" w:eastAsia="Arial" w:hAnsi="Arial"/>
          <w:sz w:val="17"/>
          <w:szCs w:val="17"/>
          <w:color w:val="auto"/>
        </w:rPr>
        <w:t>, became the Company’s part-time Chief Financial Officer following the consummation of the Merger. Mr. Ben Naim is the general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Tempramed Inc., a private medical device company, Vonetize PLC (TASE:VNTZ), an Israeli company that offers video on demand and over-the-top content services, Unet Credit Finance Services Ltd. (TASE:UNCR-M), and Todos Medical Ltd. (OTC:TOMDF), an Israeli cancer in-vitro-diagnostic company engaging in the development of a series of blood tests for the early detection of a variety of cancers.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2018, all Section 16(a) filing requirements applicable to our officers, directors and greater than 10% beneficial owners have been met, with the exception of Mr. Ben Naim who failed to timely file a 4 report showing 1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All 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Name and Principal</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Incentive Plan</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Compensation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20" w:type="dxa"/>
            <w:vAlign w:val="bottom"/>
          </w:tcPr>
          <w:p>
            <w:pPr>
              <w:spacing w:after="0"/>
              <w:rPr>
                <w:sz w:val="20"/>
                <w:szCs w:val="20"/>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Year  Salary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 xml:space="preserve">Bonus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2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Compensation ($)</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360,000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55,000(2)</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580,667</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13,800(3)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158,000</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156,219</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Hezi Himelfarb(7)</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280,067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12,931(4)</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425,101</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Chief Operating</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Officer &amp; General</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228,653(6)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40,625</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92,205</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70,026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26,890</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69"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2"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the remaining portion of Mr. Gadot’s 2017 bonus, which was paid in 2018. Mr. Gadot’s bonus for the 2018 fiscal year was paid in 2019.</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remaining portion of Mr. Himelfarb’s 2017 bonus, which was paid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Compensation includes Mr. Himelfarb’s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salary includes $13,000 for Mr. Himelfarb’s yearly automobile allowance.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and from his position as General Manager of Microbot Medical Ltd., a wholly-owned subsidiary of the Company. Notwithstanding the foregoing, Mr. Himelfarb has remained to assist with the transition of his duties.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Option Awards</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ind w:left="1100"/>
              <w:spacing w:after="0"/>
              <w:rPr>
                <w:sz w:val="20"/>
                <w:szCs w:val="20"/>
                <w:color w:val="auto"/>
              </w:rPr>
            </w:pPr>
            <w:r>
              <w:rPr>
                <w:rFonts w:ascii="Arial" w:cs="Arial" w:eastAsia="Arial" w:hAnsi="Arial"/>
                <w:sz w:val="16"/>
                <w:szCs w:val="16"/>
                <w:b w:val="1"/>
                <w:bCs w:val="1"/>
                <w:color w:val="auto"/>
              </w:rPr>
              <w:t>Stock Awards</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Incentive Plan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Awards: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Market 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Number 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Payout 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Number of</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Equity Incentive Plan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Unearned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Underlying</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Shares or Units</w:t>
            </w: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Market value of</w:t>
            </w: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Awards: Number of</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Units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Unexercised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3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Option</w:t>
            </w: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 Stock That</w:t>
            </w: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Shares of Units of</w:t>
            </w: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Unearned Shares,</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or Other Rights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Options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3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Expiration</w:t>
            </w: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Have Not</w:t>
            </w: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Stock That Have</w:t>
            </w: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Units or Other Rights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That Have Not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ind w:left="22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Exercisable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34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Vested</w:t>
            </w: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Not Vested</w:t>
            </w: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That Have Not Vested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Vested</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w w:val="95"/>
              </w:rPr>
              <w:t>Harel Gadot</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77,846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9/01/2024</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48,672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72,175</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9/14/2027</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Hezi</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spacing w:after="0"/>
              <w:rPr>
                <w:sz w:val="20"/>
                <w:szCs w:val="20"/>
                <w:color w:val="auto"/>
              </w:rPr>
            </w:pPr>
            <w:r>
              <w:rPr>
                <w:rFonts w:ascii="Arial" w:cs="Arial" w:eastAsia="Arial" w:hAnsi="Arial"/>
                <w:sz w:val="16"/>
                <w:szCs w:val="16"/>
                <w:color w:val="auto"/>
              </w:rPr>
              <w:t>Himelfarb</w:t>
            </w:r>
          </w:p>
        </w:tc>
        <w:tc>
          <w:tcPr>
            <w:tcW w:w="1340" w:type="dxa"/>
            <w:vAlign w:val="bottom"/>
            <w:gridSpan w:val="3"/>
          </w:tcPr>
          <w:p>
            <w:pPr>
              <w:jc w:val="right"/>
              <w:ind w:right="300"/>
              <w:spacing w:after="0"/>
              <w:rPr>
                <w:sz w:val="20"/>
                <w:szCs w:val="20"/>
                <w:color w:val="auto"/>
              </w:rPr>
            </w:pPr>
            <w:r>
              <w:rPr>
                <w:rFonts w:ascii="Arial" w:cs="Arial" w:eastAsia="Arial" w:hAnsi="Arial"/>
                <w:sz w:val="16"/>
                <w:szCs w:val="16"/>
                <w:color w:val="auto"/>
              </w:rPr>
              <w:t>29,003</w:t>
            </w:r>
          </w:p>
        </w:tc>
        <w:tc>
          <w:tcPr>
            <w:tcW w:w="960" w:type="dxa"/>
            <w:vAlign w:val="bottom"/>
          </w:tcPr>
          <w:p>
            <w:pPr>
              <w:jc w:val="right"/>
              <w:spacing w:after="0"/>
              <w:rPr>
                <w:sz w:val="20"/>
                <w:szCs w:val="20"/>
                <w:color w:val="auto"/>
              </w:rPr>
            </w:pPr>
            <w:r>
              <w:rPr>
                <w:rFonts w:ascii="Arial" w:cs="Arial" w:eastAsia="Arial" w:hAnsi="Arial"/>
                <w:sz w:val="16"/>
                <w:szCs w:val="16"/>
                <w:color w:val="auto"/>
              </w:rPr>
              <w:t>43,505</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19.35</w:t>
            </w: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10/15/2027</w:t>
            </w:r>
          </w:p>
        </w:tc>
        <w:tc>
          <w:tcPr>
            <w:tcW w:w="220" w:type="dxa"/>
            <w:vAlign w:val="bottom"/>
          </w:tcPr>
          <w:p>
            <w:pPr>
              <w:spacing w:after="0"/>
              <w:rPr>
                <w:sz w:val="17"/>
                <w:szCs w:val="17"/>
                <w:color w:val="auto"/>
              </w:rPr>
            </w:pPr>
          </w:p>
        </w:tc>
        <w:tc>
          <w:tcPr>
            <w:tcW w:w="14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62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840" w:type="dxa"/>
            <w:vAlign w:val="bottom"/>
            <w:gridSpan w:val="2"/>
          </w:tcPr>
          <w:p>
            <w:pPr>
              <w:ind w:left="14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David Ben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Naim</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2,000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12/28/2027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031"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which maximum amount was paid for the 2018 fiscal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 Pursuant to the terms of the Himelfarb Agreement, Mr. Himelfarb shall receive a base salary of 64,000 New Israeli Shekel (NIS) per month or NIS 768,000 per year, or the equivalent of approximately $203,714 per annum based on an exchange rate of $.265 for NIS 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Himelfarb shall be entitled to grants or payments subject to the adoption by the Company at its discretion of a bonus plan or policy.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Himelfarb Agreement, Mr. Himelfarb was entitled to participate in the Company’s motor vehicle program and receive a motor vehicle from the Company’s vehicle pool. The Company shall pay an amount equal to 8.33% of Mr. Himelfarb’s salary, which shall be allocated to a fund for severance pay to Mr. Himelfarb, and an additional amount equal to 6.25% of Mr. Himelfarb’s salary (6.5% as of January 1, 2017), which shall be allocated to a pension plan, in addition to disability insurance contributions and as otherwise may be required by applicable Israeli law from time to time. The Company shall also contribute to an educational fund an amount equal to 7.5% of each monthly payment of Mr. Himelfarb’s full salary. Mr. Himelfarb is also entitled to options to purchase 1,087,627 shares of the Company’s common stock, which represents 3% of the Company’s issued and outstanding shares of common stock as of the closing of the Company’s merger transaction with the Subsidiary on November 28, 2016.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Himelfarb Agreement contains customary non-competition provisions pursuant to which Mr. Himelfarb agrees not to compete with the Company.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Himelfarb also agreed to customary terms regarding confidentiality and ownership of intellectual property.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Effective as of February 1, 2019, Mr. Himelfarb also resigned from his position as General Manager of Microbot Medical Ltd., a wholly-owned subsidiary of the Company. Notwithstanding the foregoing, Mr. Himelfarb remained to assist with the transition of his duties through August 1, 2019. As a result of certain termination provisions of the Himelfarb Agreement, Mr. Himelfarb is entitled to six months of compensation as a result of such resignation.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$5,835 per month based on an exchange rate of $.265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Non-Equity</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Nonqualified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5"/>
              </w:rPr>
              <w:t>Fees earned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Incentive</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Deferred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or paid in</w:t>
            </w:r>
          </w:p>
        </w:tc>
        <w:tc>
          <w:tcPr>
            <w:tcW w:w="1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Plan</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6"/>
              </w:rPr>
              <w:t>Compensation</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2"/>
              </w:rPr>
              <w:t>cash</w:t>
            </w:r>
          </w:p>
        </w:tc>
        <w:tc>
          <w:tcPr>
            <w:tcW w:w="14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Awards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Awards (1)</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9"/>
              </w:rPr>
              <w:t>Compensation</w:t>
            </w:r>
          </w:p>
        </w:tc>
        <w:tc>
          <w:tcPr>
            <w:tcW w:w="14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Earnings</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6"/>
              </w:rPr>
              <w:t>Compensation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Madden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79"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Messrs. Gadot and Himelfarb received compensation for their services to the Company as set forth under the summary compensation table above.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t>
      </w:r>
      <w:r>
        <w:rPr>
          <w:rFonts w:ascii="Arial" w:cs="Arial" w:eastAsia="Arial" w:hAnsi="Arial"/>
          <w:sz w:val="17"/>
          <w:szCs w:val="17"/>
          <w:u w:val="single" w:color="auto"/>
          <w:color w:val="auto"/>
        </w:rPr>
        <w:t>www.microbotmedical.com</w:t>
      </w:r>
      <w:r>
        <w:rPr>
          <w:rFonts w:ascii="Arial" w:cs="Arial" w:eastAsia="Arial" w:hAnsi="Arial"/>
          <w:sz w:val="17"/>
          <w:szCs w:val="17"/>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spacing w:after="0" w:line="312" w:lineRule="auto"/>
        <w:rPr>
          <w:sz w:val="20"/>
          <w:szCs w:val="20"/>
          <w:color w:val="auto"/>
        </w:rPr>
      </w:pPr>
      <w:r>
        <w:rPr>
          <w:rFonts w:ascii="Arial" w:cs="Arial" w:eastAsia="Arial" w:hAnsi="Arial"/>
          <w:sz w:val="16"/>
          <w:szCs w:val="16"/>
          <w:color w:val="auto"/>
        </w:rPr>
        <w:t>Our wholly-owned subsidiary, Microbot Medical Ltd., entered into a license agreement with Technion Research and Development Foundation Ltd., or TRDF, in 2012 pursuant to which it obtained an exclusive, worldwide, royalty-bearing, sub-licensable license to certain patents and inventions relating to the SCS and TipCAT technology platforms. TRDF is a founder of Microbot. See “Description of Business – Intellectual Property” for a description of this agreement.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above transaction, there have been no related party transactions or any other transactions or relationships required to be disclosed pursuant to Item 404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2018.</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concluded that provision of such services is compatible with maintaining the independence of the independent accountants, and approved the provision by Brightman Almagor Zohar &amp; Co. of tax compliance services with respect to the year ending December 31, 2018.</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2018 and 2017,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260" w:type="dxa"/>
            <w:vAlign w:val="bottom"/>
            <w:tcBorders>
              <w:bottom w:val="single" w:sz="8" w:color="CCEEFF"/>
            </w:tcBorders>
          </w:tcPr>
          <w:p>
            <w:pPr>
              <w:spacing w:after="0"/>
              <w:rPr>
                <w:sz w:val="21"/>
                <w:szCs w:val="21"/>
                <w:color w:val="auto"/>
              </w:rPr>
            </w:pPr>
          </w:p>
        </w:tc>
        <w:tc>
          <w:tcPr>
            <w:tcW w:w="284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12/31/18</w:t>
            </w:r>
          </w:p>
        </w:tc>
        <w:tc>
          <w:tcPr>
            <w:tcW w:w="58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12/31/17</w:t>
            </w:r>
          </w:p>
        </w:tc>
        <w:tc>
          <w:tcPr>
            <w:tcW w:w="100" w:type="dxa"/>
            <w:vAlign w:val="bottom"/>
            <w:tcBorders>
              <w:bottom w:val="single" w:sz="8" w:color="CCEEFF"/>
            </w:tcBorders>
          </w:tcPr>
          <w:p>
            <w:pPr>
              <w:spacing w:after="0"/>
              <w:rPr>
                <w:sz w:val="21"/>
                <w:szCs w:val="2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8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1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Audit-Related Fees</w:t>
            </w:r>
          </w:p>
        </w:tc>
        <w:tc>
          <w:tcPr>
            <w:tcW w:w="2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8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9,000</w:t>
            </w:r>
          </w:p>
        </w:tc>
        <w:tc>
          <w:tcPr>
            <w:tcW w:w="4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All Other Fees (2)</w:t>
            </w:r>
          </w:p>
        </w:tc>
        <w:tc>
          <w:tcPr>
            <w:tcW w:w="2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17,000</w:t>
            </w:r>
          </w:p>
        </w:tc>
        <w:tc>
          <w:tcPr>
            <w:tcW w:w="46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46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fees related to issuing comfort letter and consent(s).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2015 and through November 28, 2016, Microbot Israel did not have a standing audit committee.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2018,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2018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Concerning Independence </w:t>
      </w:r>
      <w:r>
        <w:rPr>
          <w:rFonts w:ascii="Arial" w:cs="Arial" w:eastAsia="Arial" w:hAnsi="Arial"/>
          <w:sz w:val="17"/>
          <w:szCs w:val="17"/>
          <w:color w:val="auto"/>
        </w:rPr>
        <w:t>(Rule 3526), and has discussed with Deloitte its independence.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2018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1: NOMINEES FOR ELECTION OF CLASS I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directors is currently fixed at seven, with one vacancy.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instructed, the enclosed proxy will be voted to elect the nominees named below, each of whom is now a Class I director, as Class I directors for a term of three years expiring at the 2022 Annual Meeting of Shareholders and until their successors are duly elected and qualified. All three Class I 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Harel Gadot, Yoav Waizer,</w:t>
      </w:r>
      <w:r>
        <w:rPr>
          <w:rFonts w:ascii="Arial" w:cs="Arial" w:eastAsia="Arial" w:hAnsi="Arial"/>
          <w:sz w:val="18"/>
          <w:szCs w:val="18"/>
          <w:color w:val="auto"/>
        </w:rPr>
        <w:t xml:space="preserve"> and </w:t>
      </w:r>
      <w:r>
        <w:rPr>
          <w:rFonts w:ascii="Arial" w:cs="Arial" w:eastAsia="Arial" w:hAnsi="Arial"/>
          <w:sz w:val="18"/>
          <w:szCs w:val="18"/>
          <w:b w:val="1"/>
          <w:bCs w:val="1"/>
          <w:color w:val="auto"/>
        </w:rPr>
        <w:t>Martin Madden</w:t>
      </w:r>
      <w:r>
        <w:rPr>
          <w:rFonts w:ascii="Arial" w:cs="Arial" w:eastAsia="Arial" w:hAnsi="Arial"/>
          <w:sz w:val="18"/>
          <w:szCs w:val="18"/>
          <w:color w:val="auto"/>
        </w:rPr>
        <w:t xml:space="preserve"> for election as the Company’s Class I directors to serve as Class I Directors until the 2022 Annual Meeting of Shareholders.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THREE NOMINEES DESCRIBED ABOVE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2019. The affirmative vote of the holders of a majority of the shares represented and voting at the Annual Meeting will be required to ratify the selection of Deloitte or its U.S. affiliate.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BOARD UNANIMOUSLY RECOMMENDS THAT YOU VOTE “FOR” THIS PROPOSAL 2 TO RATIFY THE SELECTION OF DELOITTE OR ITS U.S. AFFILIATE AS THE COMPANY’S INDEPENDENT PUBLIC ACCOUNTANTS FOR THE YEAR ENDING DECEMBER 31, 2019.</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ind w:left="260" w:right="200"/>
        <w:spacing w:after="0" w:line="282" w:lineRule="auto"/>
        <w:rPr>
          <w:sz w:val="20"/>
          <w:szCs w:val="20"/>
          <w:color w:val="auto"/>
        </w:rPr>
      </w:pPr>
      <w:r>
        <w:rPr>
          <w:rFonts w:ascii="Arial" w:cs="Arial" w:eastAsia="Arial" w:hAnsi="Arial"/>
          <w:sz w:val="18"/>
          <w:szCs w:val="18"/>
          <w:b w:val="1"/>
          <w:bCs w:val="1"/>
          <w:color w:val="auto"/>
        </w:rPr>
        <w:t>PROPOSAL 3: APPROVAL OF AMENDMENT TO THE COMPANY’S RESTATED CERTIFICATE OF INCORPORATION TO EFFECT A REDUCTION IN TH AUTHORIZED NUMBER OF SHARES OF CAPITAL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has adopted a resolution declaring advisable and recommending to the stockholders for their approval a proposal to amend the Company’s restated certificate of incorporation, as amended to date, to effect to effect a reduction in the authorized number of shares of capital stock the Company is authorized to issues from 221,000,000 to 61,000,000, including a reduction in the number of authorized shares of common stock of the Company from 220,000,000 to 60,000,000 (the “Share Reduction”). If the Share Reduction is approved, the Company will file an appropriate Certificate of Amendment to its Restated Certificate of Incorporation to affect such Share Reduction. Our primary reason for seeking to effect the Share Reduction is that the Share Reduction will reduce the Company Delaware franchise tax obligations.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sample form of the Certificate of Amendment relating to this Proposal Number 3, which we would complete and file with the Secretary of State of the State of Delaware to carry out the Share Reduction, is attached to this proxy statement as Schedule A (the “Amendment”). Stockholders are encouraged to review this carefully as it would modify the capitalization of the Company upon its effectiveness.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further detailed below, the Company is presently authorized to issue 221,000,000 shares of capital stock, which consists of 220,000,000 shares of common stock, par value $0.01 per share and 1,000,000 shares of undesignated preferred stock, $0.01 per share. As of August 8, 2019, the Company had 4,307,666 shares of common stock issued and outstanding and no shares of preferred stock issued and outstanding. As proposed, the Share Reduction would reduce the authorized capital of the Company from 221,000,000 to 61,000,000, including in a reduction in the authorized number of shares of common stock from 220,000,000 to 60,000,000. The Share Reduction would not affect the authorized number of shares of preferred stock, which would remain at 1,000,000. The proposed Share Reduction will not affect any stockholder’s proportionate equity interest in the Company. Neither the par value of the common stock nor any rights presently accruing to holders of Common Stock would be affected by this Amendment.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effect of the Amendment on the Company’s common stock based on shares authorized, issued, outstanding and available for future issuance as of August 8, 2019.</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2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Common Stock, 0.01 Par Value</w:t>
            </w:r>
          </w:p>
        </w:tc>
      </w:tr>
      <w:tr>
        <w:trPr>
          <w:trHeight w:val="198"/>
        </w:trPr>
        <w:tc>
          <w:tcPr>
            <w:tcW w:w="2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7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Prior to</w:t>
            </w:r>
          </w:p>
        </w:tc>
        <w:tc>
          <w:tcPr>
            <w:tcW w:w="144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Assuming</w:t>
            </w:r>
          </w:p>
        </w:tc>
        <w:tc>
          <w:tcPr>
            <w:tcW w:w="80" w:type="dxa"/>
            <w:vAlign w:val="bottom"/>
          </w:tcPr>
          <w:p>
            <w:pPr>
              <w:spacing w:after="0"/>
              <w:rPr>
                <w:sz w:val="17"/>
                <w:szCs w:val="17"/>
                <w:color w:val="auto"/>
              </w:rPr>
            </w:pPr>
          </w:p>
        </w:tc>
      </w:tr>
      <w:tr>
        <w:trPr>
          <w:trHeight w:val="241"/>
        </w:trPr>
        <w:tc>
          <w:tcPr>
            <w:tcW w:w="2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Amendment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Amendment</w:t>
            </w:r>
          </w:p>
        </w:tc>
      </w:tr>
      <w:tr>
        <w:trPr>
          <w:trHeight w:val="216"/>
        </w:trPr>
        <w:tc>
          <w:tcPr>
            <w:tcW w:w="2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Authorized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60,000,000</w:t>
            </w:r>
          </w:p>
        </w:tc>
      </w:tr>
      <w:tr>
        <w:trPr>
          <w:trHeight w:val="216"/>
        </w:trPr>
        <w:tc>
          <w:tcPr>
            <w:tcW w:w="21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shares (1)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4,307,666</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4,307,666</w:t>
            </w:r>
          </w:p>
        </w:tc>
      </w:tr>
      <w:tr>
        <w:trPr>
          <w:trHeight w:val="216"/>
        </w:trPr>
        <w:tc>
          <w:tcPr>
            <w:tcW w:w="21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available for future issuance (1)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215,692,334</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55,692,334</w:t>
            </w:r>
          </w:p>
        </w:tc>
      </w:tr>
      <w:tr>
        <w:trPr>
          <w:trHeight w:val="223"/>
        </w:trPr>
        <w:tc>
          <w:tcPr>
            <w:tcW w:w="2140" w:type="dxa"/>
            <w:vAlign w:val="bottom"/>
            <w:tcBorders>
              <w:top w:val="single" w:sz="8" w:color="CCEEFF"/>
              <w:bottom w:val="single" w:sz="8" w:color="auto"/>
            </w:tcBorders>
          </w:tcPr>
          <w:p>
            <w:pPr>
              <w:spacing w:after="0"/>
              <w:rPr>
                <w:sz w:val="19"/>
                <w:szCs w:val="19"/>
                <w:color w:val="auto"/>
              </w:rPr>
            </w:pPr>
          </w:p>
        </w:tc>
        <w:tc>
          <w:tcPr>
            <w:tcW w:w="3160" w:type="dxa"/>
            <w:vAlign w:val="bottom"/>
            <w:tcBorders>
              <w:top w:val="single" w:sz="8" w:color="CCEEFF"/>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57"/>
        </w:trPr>
        <w:tc>
          <w:tcPr>
            <w:tcW w:w="5300" w:type="dxa"/>
            <w:vAlign w:val="bottom"/>
            <w:gridSpan w:val="2"/>
          </w:tcPr>
          <w:p>
            <w:pPr>
              <w:spacing w:after="0"/>
              <w:rPr>
                <w:sz w:val="20"/>
                <w:szCs w:val="20"/>
                <w:color w:val="auto"/>
              </w:rPr>
            </w:pPr>
            <w:r>
              <w:rPr>
                <w:rFonts w:ascii="Arial" w:cs="Arial" w:eastAsia="Arial" w:hAnsi="Arial"/>
                <w:sz w:val="18"/>
                <w:szCs w:val="18"/>
                <w:color w:val="auto"/>
              </w:rPr>
              <w:t>(1) Does not include shares underlying options or warrants.</w:t>
            </w: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Proposed Share Reduction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believe the Share Reduction, if affected, will reduce the Company’s annual Delaware franchise tax liability by approximately $130,000 commencing for the year ending December 31, 2019. Assuming no changes in future Delaware franchise tax law and the Company’s current financial position, the Board anticipates that there will be ongoing savings however, there can be no assurance that such result will occur.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is not aware of any present efforts by any persons to accumulate common stock or to obtain control of the Company. The Amendment is being sought for the sole purpose of reducing the number of shares authorized capital stock for future issuance to reduce the Company’s current Delaware franchise tax liability. The Board believes that the remaining shares of authorized capital stock under the Restated Certificate of Incorporation after giving effect to the Share Reduction will be sufficient to satisfy the Company’s capital requirements in the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Potential Disadvantages of the Proposal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the Board believes that 60,000,000 authorized shares of common stock will be sufficient for our expected purposes for the foreseeable future, these expectations could turn out to be wrong and we may require additional authorized shares sooner than we expect. In that case, we would be required to obtain the approval of our stockholders to effect an increase to our authorized shares. Any such increase to our authorized shares may require us to solicit consents or proxies and hold a vote at an annual or special meeting of our stockholders. The stockholder meeting process can be costly and time-consuming and is subject to a variety of SEC rules that implement waiting periods throughout the process, which could prevent us from obtaining any increase to our authorized shares in a timely manner. Moreover, our stockholders may not approve any proposal to increase our authorized shares. Either of these outcomes could cause us to forego opportunities that we believe to be valuable or prevent us from using equity for compensation or other corporate purposes, which could limit our flexibility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of the Company trades on the NASDAQ Capital Market under the symbol “MBOT”.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July 22, 2019, there were approximately 11,500 beneficial owners of the Company’s common stock. The closing price of the common stock of the Company was $5.89 on August 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Reservation of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Delaware law, approval of the Share Reduction requires the affirmative vote of at least a majority of the outstanding shares of the Company’s common stock. Such approval will authorize the Board to effectuate a reduction in the number of authorized shares of common stock by filing the Amendment with the Secretary of State of the State of Delaware.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stockholders are not entitled to dissenter’s rights of appraisal with respect to the proposed Share Reduction.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3 TO APPROVE THE AMENDMENT TO THE COMPANY’S RESTATED CERTIFICATE OF INCORPORATION TO EFFECT THE SHARE REDUCTION</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2020 Annual Meeting of Shareholders may do so by following the procedures prescribed in Rule 14a-8 under the Exchange Act. To be eligible, the Shareholder proposals must be received by our corporate secretary on or before April 11, 2020.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2020 Annual Meeting of Shareholders, other than one that will be included in our proxy materials, must notify us no later than June 25, 2020 (see Rule 14a-4 under the Exchange Act). If a Shareholder who wishes to present a proposal at the 2020 Annual Meeting of Shareholders fails to notify us by June 25, 2020, the proxies that management solicits for the meeting will confer discretionary authority to vote on the Shareholder’s proposal if it is properly brought before the meeting.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25 Recreation Park Drive, Unit 108, Hingham, MA 02043, in accordance with the advance notice procedures and other requirements set forth in Section 3.2 of our bylaws for nominees to be considered for nomination at the 2020 annual meeting.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or on our website at www.microbotmedical.com.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Company’s by-laws provide that 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 requesting Shareholder is required to provide information with respect to the nominee(s) for director similar to that described above, as more fully set forth in the Company’s by-laws.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Annual Report on Form 10-K for the fiscal year ended December 31, 2018, as filed with the SEC, is available without charge upon request by writing to Microbot Medical Inc. at 25 Recreation Park Drive, Unit 108, Hingham, MA 02043,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The Company will promptly deliver a separate copy of either document to you if you contact the Secretary at the following address or telephone number: Microbot Medical Inc., 25 Recreation Park Drive, Unit 108, Hingham, MA 02043; telephone: (781) 875-3605. In addition, copies of both documents may be obtained from our website (www.microbotmedical.com, click on the button “Investors” and then “Presentation + Resources”). You may also request information from Morrow Sodali LLC, our proxy solicitor, at the following address and telephone number: Morrow Sodali LLC, 470 West Avenue, Stamford, CT 06902; Stockholders Call Toll Free: 800-662-5200; Microbot-info@morrowsodali.com. If you want to receive separate copies of the proxy statement or the annual report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Microbot Medical Inc. (the “Corporation”), a corporation duly organized and existing under the General Corporation Law of the State of Delaware (the “DGCL”), hereby certifies that:</w:t>
      </w:r>
    </w:p>
    <w:p>
      <w:pPr>
        <w:spacing w:after="0" w:line="170" w:lineRule="exact"/>
        <w:rPr>
          <w:sz w:val="20"/>
          <w:szCs w:val="20"/>
          <w:color w:val="auto"/>
        </w:rPr>
      </w:pPr>
    </w:p>
    <w:p>
      <w:pPr>
        <w:jc w:val="both"/>
        <w:ind w:firstLine="332"/>
        <w:spacing w:after="0" w:line="272" w:lineRule="auto"/>
        <w:tabs>
          <w:tab w:leader="none" w:pos="50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name of the Corporation is Microbot Medical Inc. and the Corporation was originally incorporated pursuant to the DGCL under the name Cellular Transplants, Inc. and the original certificate of incorporation of the Corporation was filed with the Secretary of State of the State of Delaware on August 2, 1988. The original certificate of incorporation was then restated on December 5, 1991 to change the name of the corporation to Cytotheraputics, Inc. The certificate of incorporation as restated was further amended on May 24, 2000 to change the name of the corporation to StemCells, Inc. The certificate of incorporation was restated on August 25, 2006. The certificate of incorporation as restated was further amended on November 28, 2016 to change the name of the corporation to Microbot Medical Inc. The certificate of incorporation as restated was further amended on September 4, 2018 to effect a reverse stock split of the Corporation’s common stock (as amended and restated, the “Certificate of Incorporation”).</w:t>
      </w:r>
    </w:p>
    <w:p>
      <w:pPr>
        <w:spacing w:after="0" w:line="177" w:lineRule="exact"/>
        <w:rPr>
          <w:rFonts w:ascii="Arial" w:cs="Arial" w:eastAsia="Arial" w:hAnsi="Arial"/>
          <w:sz w:val="17"/>
          <w:szCs w:val="17"/>
          <w:color w:val="auto"/>
        </w:rPr>
      </w:pPr>
    </w:p>
    <w:p>
      <w:pPr>
        <w:ind w:right="20" w:firstLine="332"/>
        <w:spacing w:after="0" w:line="277" w:lineRule="auto"/>
        <w:tabs>
          <w:tab w:leader="none" w:pos="5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filing of this Certificate of Amendment to the Certificate of Incorporation, the first paragraph of Paragraph THREE of the Certificate of Incorporation shall be amended to read in its entirety as set forth below:</w:t>
      </w:r>
    </w:p>
    <w:p>
      <w:pPr>
        <w:spacing w:after="0" w:line="170" w:lineRule="exact"/>
        <w:rPr>
          <w:sz w:val="20"/>
          <w:szCs w:val="20"/>
          <w:color w:val="auto"/>
        </w:rPr>
      </w:pPr>
    </w:p>
    <w:p>
      <w:pPr>
        <w:jc w:val="both"/>
        <w:ind w:left="1300" w:right="1300"/>
        <w:spacing w:after="0" w:line="286" w:lineRule="auto"/>
        <w:rPr>
          <w:sz w:val="20"/>
          <w:szCs w:val="20"/>
          <w:color w:val="auto"/>
        </w:rPr>
      </w:pPr>
      <w:r>
        <w:rPr>
          <w:rFonts w:ascii="Arial" w:cs="Arial" w:eastAsia="Arial" w:hAnsi="Arial"/>
          <w:sz w:val="17"/>
          <w:szCs w:val="17"/>
          <w:color w:val="auto"/>
        </w:rPr>
        <w:t>The total number of shares of stock that this Corporation shall have authority to issue is 61,000,000, consisting of 60,000,000 share of Common Stock, with a par value of $0.01 per share (the “Common Stock”), and 1,000,000 shares of Undesignated Preferred Stock with a par value of $0.01 per share (the “Undesignated Preferred Stock”).</w:t>
      </w:r>
    </w:p>
    <w:p>
      <w:pPr>
        <w:spacing w:after="0" w:line="166" w:lineRule="exact"/>
        <w:rPr>
          <w:sz w:val="20"/>
          <w:szCs w:val="20"/>
          <w:color w:val="auto"/>
        </w:rPr>
      </w:pPr>
    </w:p>
    <w:p>
      <w:pPr>
        <w:jc w:val="both"/>
        <w:ind w:firstLine="332"/>
        <w:spacing w:after="0" w:line="279" w:lineRule="auto"/>
        <w:tabs>
          <w:tab w:leader="none" w:pos="5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Amendment was duly adopted in accordance with Section 242 of the DGCL. The Board of Directors duly adopted resolutions setting forth and declaring advisable this Amendment and directed that the proposed Amendment be considered by the stockholders of the Corporation. A meeting of stockholders was duly called upon notice in accordance with Section 222 of the DGCL and held on September 10, 2019, at which meeting the necessary number of shares were voted in favor of the proposed Amendment. The stockholders of the Corporation duly adopted this Amendment.</w:t>
      </w:r>
    </w:p>
    <w:p>
      <w:pPr>
        <w:spacing w:after="0" w:line="171" w:lineRule="exact"/>
        <w:rPr>
          <w:rFonts w:ascii="Arial" w:cs="Arial" w:eastAsia="Arial" w:hAnsi="Arial"/>
          <w:sz w:val="17"/>
          <w:szCs w:val="17"/>
          <w:color w:val="auto"/>
        </w:rPr>
      </w:pPr>
    </w:p>
    <w:p>
      <w:pPr>
        <w:ind w:firstLine="332"/>
        <w:spacing w:after="0" w:line="277" w:lineRule="auto"/>
        <w:tabs>
          <w:tab w:leader="none" w:pos="5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remaining provisions of the Certificate of Incorporation are not affected by the aforementioned amendment and remain in full force and are not affected by this Amendment.</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foregoing Amendment shall be effective as of September [__],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said Corporation has caused this certificate to be signed this [__] day of September,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 President and Chairman of the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7555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7555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7254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7254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lvl w:ilvl="1">
      <w:lvlJc w:val="left"/>
      <w:lvlText w:val="(%2)"/>
      <w:numFmt w:val="decimal"/>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2019-12-21T04:39:35Z</dcterms:created>
  <dcterms:modified xsi:type="dcterms:W3CDTF">2019-12-21T04:39:35Z</dcterms:modified>
</cp:coreProperties>
</file>