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2618740</wp:posOffset>
            </wp:positionH>
            <wp:positionV relativeFrom="page">
              <wp:posOffset>431800</wp:posOffset>
            </wp:positionV>
            <wp:extent cx="232410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24100" cy="488950"/>
                    </a:xfrm>
                    <a:prstGeom prst="rect">
                      <a:avLst/>
                    </a:prstGeom>
                    <a:noFill/>
                  </pic:spPr>
                </pic:pic>
              </a:graphicData>
            </a:graphic>
          </wp:anchor>
        </w:drawing>
        <w:t>February 29,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Stop 6010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Jim B. Rosenberg, Senior Assistant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Chief Accountant</w:t>
      </w:r>
    </w:p>
    <w:p>
      <w:pPr>
        <w:spacing w:after="0" w:line="200" w:lineRule="exact"/>
        <w:rPr>
          <w:sz w:val="20"/>
          <w:szCs w:val="20"/>
          <w:color w:val="auto"/>
        </w:rPr>
      </w:pPr>
    </w:p>
    <w:p>
      <w:pPr>
        <w:spacing w:after="0" w:line="219"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Re:</w:t>
        <w:tab/>
        <w:t>SEC Comment Letter, dated December 21, 2007</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30, 2006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 No. 000-19871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behalf of StemCells, Inc. (the “Company”), this letter is being submitted to the Staff of the Securities and Exchange Commission (the “Commission”) in response to the comments in the Staff’s letter dated December 21, 2007 (the “December 21 Letter”) regarding the Company’s 10-K for the year ended December 31, 2006 filed on March 15, 2007 (the “2006 10-K”).</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reference purposes, the comments as reflected in the December 21 Letter are reproduced in bold in this letter, and the corresponding responses of the Company are shown below each comment.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supplementally advise you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17" w:lineRule="exact"/>
        <w:rPr>
          <w:sz w:val="20"/>
          <w:szCs w:val="20"/>
          <w:color w:val="auto"/>
        </w:rPr>
      </w:pPr>
    </w:p>
    <w:p>
      <w:pPr>
        <w:ind w:left="260" w:right="80" w:hanging="252"/>
        <w:spacing w:after="0" w:line="262" w:lineRule="auto"/>
        <w:tabs>
          <w:tab w:leader="none" w:pos="2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have included certain license agreements as exhibits to the Form 10-K and not others. For example, you do not include as exhibits your agreements with the California Institute of Technology and the Oregon Health &amp; Science University. Please provide us with an analysis supporting your determination as to how you have determined which of your license agreements are material contracts required to be filed as exhibits.</w:t>
      </w:r>
    </w:p>
    <w:p>
      <w:pPr>
        <w:spacing w:after="0" w:line="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3155 Porter Drive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Palo Alto, CA 94304</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(650) 475-3100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(650) 475-3101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31"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February 29,2008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Response:</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believe all our license agreements are material to our business. Most were entered into in the ordinary course of business. They are customary for businesses such as ours and our business is not substantially dependent on them. Factors we consider in determining whether a particular license agreement is material include whether the licensed patents have claims that cover our existing or contemplated therapeutic products, whether the license is likely to generate significant revenue for the Company, and whether the license is likely to cost the Company significant expense.</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these standards, the Company does not consider the license agreements with either the California Institute of Technology (Cal Tech) or the Oregon Health &amp; Science University (OHSU) as material to our business. The Cal Tech agreement covers patents that claim inventions that are not being pursued by the Company at this time, such as neural crest cells and neurogenin, but which may be relevant in the future or which may cover competitor products. However, even if the Company were to develop a product covered by the Cal Tech licensed patents, the total license fees owed by the Company to Cal Tech would be immaterial to our business, with a royalty rate of 1% or less on net sales and capped. Since entering into the Cal Tech license agreement, the Company has stopped the prosecution of some of these patents. Given the ancillary nature of these technologies, the Company recently decided to terminate the agreement with respect to patent applications outside the United States. Meanwhile, the OHSU license relates to an animal mouse model that we do not currently use and to U.S. Patent No. 6,132,708, which discloses the use of pancreatic cells for liver regeneration, a technology we are not presently developing. The Company plans to take steps to terminate this agreement in 2008. In contrast, we consider the ReNeuron agreement to be material based on the substantial proceeds we received as partial consideration under the agreement, which included a payment to us in the form of shares of ReNeuron stock, the sale of some of which has already generated in excess of $3 million in proceeds. Similarly, we consider the NeuroSpheres license agreement to be material because many of the patents and patent applications licensed from NeuroSpheres are foundational to our neural stem cell program. Collectively these patents account for at least two thirds of our issued patents worldwide. Moreover, this license includes patents that we have, in turn, licensed to others and used as the basis for our patent infringement litigation against Neuralstem.</w:t>
      </w:r>
    </w:p>
    <w:p>
      <w:pPr>
        <w:spacing w:after="0" w:line="87" w:lineRule="exact"/>
        <w:rPr>
          <w:sz w:val="20"/>
          <w:szCs w:val="20"/>
          <w:color w:val="auto"/>
        </w:rPr>
      </w:pPr>
    </w:p>
    <w:p>
      <w:pPr>
        <w:ind w:left="260" w:right="240" w:hanging="252"/>
        <w:spacing w:after="0" w:line="255"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page 20 of the Form 10-K you refer to consulting agreements with SAB members. Only one of these agreements has been included as an exhibit to the Form 10-K, that with Dr. Weissman. In addition, a consulting agreement with Judi R. Lum is included as an exhibit but not described or referred to in the Form 10-K discussion. Please provide us with an analysis supporting your determination as to how you have determined which consulting agreements are material contracts. In addition, you refer to various “research collaborations” in the Form 10-K, with organizations such as the Reeve-Irvine Center at the University of California, Oregon Health &amp; Science University, the Yale University School of Medicine and NIH. We note that you have not included any collaboration agreements as exhibits to the Form 10-K. Please provide us with an analysis supporting your determination as to how you have determined that these collaboration agreements are not material contracts required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February 29,2008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Response:</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all of our consulting agreements and collaboration agreements were made in the ordinary course of our business. We also believe, based upon the judgment and experiences of our management team, that all of these agreements contain terms and conditions that are customary for the biotechnology industry. Our business is not substantially dependent on any of our consulting or collaboration agreements. However, we have disclosed the identity of our collaborators as well as the basic scope of these collaborations insofar as this helps illustrate the direction of our research and development efforts as well as the quality of our collaborators.</w:t>
      </w:r>
    </w:p>
    <w:p>
      <w:pPr>
        <w:spacing w:after="0" w:line="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Even so, we consider certain consulting agreements to be material contracts under Item 601(b)(10)(ii)(A) of Regulation S-K if they involve officers, directors or other affiliates. Our agreement with Judi Lum was filed because she had been, before her entering into her consulting agreement with us, our Chief Financial Officer. Similarly, we consider our agreement with Dr. Weissman to be material because he is a director of the Company.</w:t>
      </w:r>
    </w:p>
    <w:p>
      <w:pPr>
        <w:spacing w:after="0" w:line="64" w:lineRule="exact"/>
        <w:rPr>
          <w:sz w:val="20"/>
          <w:szCs w:val="20"/>
          <w:color w:val="auto"/>
        </w:rPr>
      </w:pPr>
    </w:p>
    <w:p>
      <w:pPr>
        <w:ind w:left="260" w:right="20" w:hanging="252"/>
        <w:spacing w:after="0" w:line="259" w:lineRule="auto"/>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 description of legal proceedings in the Form 10-K you describe an action by Geron Corporation in which the result is that two patents being maintained by the company would be in altered form. In addition, you described a dispute with Neuralstem over four patents. Please revise your disclosure to briefly describe these patents in the section titled “Patents, Proprietary Rights and Licenses” to the extent you have not already done so and to disclose the patent description or number in “Item 3. Legal Proceedings.” In addition, please revise your disclosure in “Item 3. Legal Proceedings” to explain what it means to be in “somewhat altered form.”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Response: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future filings, beginning with the Company’s Form 10-K for the period ending December 31, 2007 (our “2007 10-K”), the Company will provide enhanced disclosure about its patent disputes consistent with this request. Our 2007 10-K will read substantially as follows:</w:t>
      </w:r>
    </w:p>
    <w:p>
      <w:pPr>
        <w:spacing w:after="0" w:line="54" w:lineRule="exact"/>
        <w:rPr>
          <w:sz w:val="20"/>
          <w:szCs w:val="20"/>
          <w:color w:val="auto"/>
        </w:rPr>
      </w:pPr>
    </w:p>
    <w:p>
      <w:pPr>
        <w:ind w:left="240"/>
        <w:spacing w:after="0" w:line="254" w:lineRule="auto"/>
        <w:rPr>
          <w:sz w:val="20"/>
          <w:szCs w:val="20"/>
          <w:color w:val="auto"/>
        </w:rPr>
      </w:pPr>
      <w:r>
        <w:rPr>
          <w:rFonts w:ascii="Times New Roman" w:cs="Times New Roman" w:eastAsia="Times New Roman" w:hAnsi="Times New Roman"/>
          <w:sz w:val="18"/>
          <w:szCs w:val="18"/>
          <w:color w:val="auto"/>
        </w:rPr>
        <w:t>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February 29,2008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9" w:lineRule="exact"/>
        <w:rPr>
          <w:sz w:val="20"/>
          <w:szCs w:val="20"/>
          <w:color w:val="auto"/>
        </w:rPr>
      </w:pPr>
    </w:p>
    <w:p>
      <w:pPr>
        <w:ind w:left="240"/>
        <w:spacing w:after="0" w:line="258" w:lineRule="auto"/>
        <w:rPr>
          <w:sz w:val="20"/>
          <w:szCs w:val="20"/>
          <w:color w:val="auto"/>
        </w:rPr>
      </w:pPr>
      <w:r>
        <w:rPr>
          <w:rFonts w:ascii="Times New Roman" w:cs="Times New Roman" w:eastAsia="Times New Roman" w:hAnsi="Times New Roman"/>
          <w:sz w:val="18"/>
          <w:szCs w:val="18"/>
          <w:color w:val="auto"/>
        </w:rPr>
        <w:t>stem cells) and U.S. Patent No. 6.,497,982 872 (claiming methods for transplanting human neural stem cells). These requests were granted by the PTO and, in June 2007, the parties voluntarily agreed to stay the pending litigation while the PTO considers them reexamination requests. In October 2007, Neuralstem petitioned the PTO to reexamine a fifth patent, namely U.S. Patent No. 6,103,530, which claims a culture medium for proliferating mammalian neural stem cells. In September 2007, the PTO issued first office actions in each of the first four reexaminations. The Company has since filed its first responses in to each of these, and expects all four patents to re-issue in 2008.</w:t>
      </w:r>
    </w:p>
    <w:p>
      <w:pPr>
        <w:spacing w:after="0" w:line="76" w:lineRule="exact"/>
        <w:rPr>
          <w:sz w:val="20"/>
          <w:szCs w:val="20"/>
          <w:color w:val="auto"/>
        </w:rPr>
      </w:pPr>
    </w:p>
    <w:p>
      <w:pPr>
        <w:ind w:left="240" w:right="20"/>
        <w:spacing w:after="0" w:line="255" w:lineRule="auto"/>
        <w:rPr>
          <w:sz w:val="20"/>
          <w:szCs w:val="20"/>
          <w:color w:val="auto"/>
        </w:rPr>
      </w:pPr>
      <w:r>
        <w:rPr>
          <w:rFonts w:ascii="Times New Roman" w:cs="Times New Roman" w:eastAsia="Times New Roman" w:hAnsi="Times New Roman"/>
          <w:sz w:val="18"/>
          <w:szCs w:val="18"/>
          <w:color w:val="auto"/>
        </w:rPr>
        <w:t>In 2003, Geron Corporation filed an opposition to two of our issued European patent cases, namely EP0594669 (claiming, among other things, methods for proliferating and using human neural stem cells as therapeutic and drug screening agents) and EP0669973 (claiming, among other things, methods for proliferating and differentiating human neural stem cells). Both oppositions were heard in 2005, and the patents were maintained in somewhat altered form by the Opposition Division of the European Patent Office. In essence the scope of each patent was limited to proliferation using specific growth factors and each had to disclaim derivation of human neural stem cells from human embryonic tissue in order to comply with the European law which precludes the patenting of embryonic stem cells. The time for appeal has run in each case. U.S. counterparts to these patents are part of our issued patent portfolio; they are not subject to opposition, because that procedure does not exist under U.S. patent law, although other types of proceedings may be available to third parties to contest our U.S. patents.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Programs, Page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Page 5</w:t>
      </w:r>
    </w:p>
    <w:p>
      <w:pPr>
        <w:spacing w:after="0" w:line="117" w:lineRule="exact"/>
        <w:rPr>
          <w:sz w:val="20"/>
          <w:szCs w:val="20"/>
          <w:color w:val="auto"/>
        </w:rPr>
      </w:pPr>
    </w:p>
    <w:p>
      <w:pPr>
        <w:ind w:left="260" w:right="300" w:hanging="252"/>
        <w:spacing w:after="0" w:line="278" w:lineRule="auto"/>
        <w:tabs>
          <w:tab w:leader="none" w:pos="2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We believe that your disclosures about historical research and development expenses and estimated future expenses related to your major research and development projects could be enhanced for investors. Please refer to the Division of Corporation Finance “Current Issues and Rulemaking Projects Quarterly Update” under section VIII – Industry Specific Issues – Accounting and Disclosure by Companies Engaged in Research and Development Activities. You can find it at the following website address: http://www.sec.gov/divisions/corpfin/cfcrq032001.htm. Please revise your MD&amp;A to disclose the following information for each of your major research and development projects.</w:t>
      </w:r>
    </w:p>
    <w:p>
      <w:pPr>
        <w:spacing w:after="0" w:line="56" w:lineRule="exact"/>
        <w:rPr>
          <w:rFonts w:ascii="Times New Roman" w:cs="Times New Roman" w:eastAsia="Times New Roman" w:hAnsi="Times New Roman"/>
          <w:sz w:val="17"/>
          <w:szCs w:val="17"/>
          <w:b w:val="1"/>
          <w:bCs w:val="1"/>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current status of the project;</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costs incurred during each period presented and to date on each project;</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nature, timing and estimated costs of the efforts necessary to complete each project;</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anticipated completion dates of each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February 29,2008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5" w:lineRule="exact"/>
        <w:rPr>
          <w:sz w:val="20"/>
          <w:szCs w:val="20"/>
          <w:color w:val="auto"/>
        </w:rPr>
      </w:pPr>
    </w:p>
    <w:p>
      <w:pPr>
        <w:ind w:left="900" w:right="140" w:hanging="446"/>
        <w:spacing w:after="0" w:line="286" w:lineRule="auto"/>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risks and uncertainties associated with completing development on schedule, and the consequences to operations, financial position and liquidity if each project is not completed timely; and finally</w:t>
      </w:r>
    </w:p>
    <w:p>
      <w:pPr>
        <w:spacing w:after="0" w:line="6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period in which material net cash inflows from significant projects are expected to commence for each project.</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Regarding b., if you do not maintain any research and development costs by project, disclose that fact and explain why management does not maintain and evaluate research and development costs by project. Provide other quantitative or qualitative disclosure that indicates the amount of the company’s resources are being used on the project.</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Regarding c. and d., disclose the amount or range of estimated costs and timing to complete the phase in process and each future phase. To the extent that information is not estimable, disclose those facts and circumstances indicating the uncertainties that preclude you from making a reasonable estimate.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Response:</w:t>
      </w:r>
    </w:p>
    <w:p>
      <w:pPr>
        <w:spacing w:after="0" w:line="11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evaluate research and development (R&amp;D) costs by type of cost incurred rather than by project, primarily because our R&amp;D personnel work across multiple programs and multiple projects rather than dedicated to any single project. Our R&amp;D personnel work across programs and projects because our technology is such that improvements and discoveries that benefit one project or program are likely to substantively improve other projects and potentially other programs. Moreover, because of the early stage of our R&amp;D efforts, much of our work is basic research, which is very difficult to meaningfully categorize or relate to specific development projects or programs. However, per the Staff’s request, and in order to disclose to investors how the Company manages its R&amp;D expenses, we will expand our disclosure in Management’s Discussion and Analysis in our future filings, beginning with our 2007 10-K, substantially as follows:</w:t>
      </w:r>
    </w:p>
    <w:p>
      <w:pPr>
        <w:spacing w:after="0" w:line="79" w:lineRule="exact"/>
        <w:rPr>
          <w:sz w:val="20"/>
          <w:szCs w:val="20"/>
          <w:color w:val="auto"/>
        </w:rPr>
      </w:pPr>
    </w:p>
    <w:p>
      <w:pPr>
        <w:ind w:left="360" w:right="100"/>
        <w:spacing w:after="0" w:line="261" w:lineRule="auto"/>
        <w:rPr>
          <w:sz w:val="20"/>
          <w:szCs w:val="20"/>
          <w:color w:val="auto"/>
        </w:rPr>
      </w:pPr>
      <w:r>
        <w:rPr>
          <w:rFonts w:ascii="Times New Roman" w:cs="Times New Roman" w:eastAsia="Times New Roman" w:hAnsi="Times New Roman"/>
          <w:sz w:val="18"/>
          <w:szCs w:val="18"/>
          <w:color w:val="auto"/>
        </w:rPr>
        <w:t xml:space="preserve">Before we can derive revenue or cash inflows from the commercialization of any of our product candidates, we will need to: (i) conduct substantial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testing and characterization of our proprietary cell types, (ii) undertake preclinical and clinical testing for specific disease indications; (iii)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validate and scale-up manufacturing processes to produce these cell-based therapeutics, and (iv) pursue required regulatory approvals. These steps are risky, expensive and time consuming.</w:t>
      </w:r>
    </w:p>
    <w:p>
      <w:pPr>
        <w:spacing w:after="0" w:line="74"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February 29,2008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9" w:lineRule="exact"/>
        <w:rPr>
          <w:sz w:val="20"/>
          <w:szCs w:val="20"/>
          <w:color w:val="auto"/>
        </w:rPr>
      </w:pPr>
    </w:p>
    <w:p>
      <w:pPr>
        <w:ind w:left="240" w:right="60"/>
        <w:spacing w:after="0" w:line="255" w:lineRule="auto"/>
        <w:rPr>
          <w:sz w:val="20"/>
          <w:szCs w:val="20"/>
          <w:color w:val="auto"/>
        </w:rPr>
      </w:pPr>
      <w:r>
        <w:rPr>
          <w:rFonts w:ascii="Times New Roman" w:cs="Times New Roman" w:eastAsia="Times New Roman" w:hAnsi="Times New Roman"/>
          <w:sz w:val="18"/>
          <w:szCs w:val="18"/>
          <w:color w:val="auto"/>
        </w:rPr>
        <w:t>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81" w:lineRule="exact"/>
        <w:rPr>
          <w:sz w:val="20"/>
          <w:szCs w:val="20"/>
          <w:color w:val="auto"/>
        </w:rPr>
      </w:pPr>
    </w:p>
    <w:p>
      <w:pPr>
        <w:ind w:left="240" w:right="160"/>
        <w:spacing w:after="0" w:line="273" w:lineRule="auto"/>
        <w:rPr>
          <w:sz w:val="20"/>
          <w:szCs w:val="20"/>
          <w:color w:val="auto"/>
        </w:rPr>
      </w:pPr>
      <w:r>
        <w:rPr>
          <w:rFonts w:ascii="Times New Roman" w:cs="Times New Roman" w:eastAsia="Times New Roman" w:hAnsi="Times New Roman"/>
          <w:sz w:val="17"/>
          <w:szCs w:val="17"/>
          <w:color w:val="auto"/>
        </w:rPr>
        <w:t>Given the early stage of development of our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64" w:lineRule="exact"/>
        <w:rPr>
          <w:sz w:val="20"/>
          <w:szCs w:val="20"/>
          <w:color w:val="auto"/>
        </w:rPr>
      </w:pPr>
    </w:p>
    <w:p>
      <w:pPr>
        <w:ind w:left="240"/>
        <w:spacing w:after="0" w:line="255" w:lineRule="auto"/>
        <w:rPr>
          <w:sz w:val="20"/>
          <w:szCs w:val="20"/>
          <w:color w:val="auto"/>
        </w:rPr>
      </w:pPr>
      <w:r>
        <w:rPr>
          <w:rFonts w:ascii="Times New Roman" w:cs="Times New Roman" w:eastAsia="Times New Roman" w:hAnsi="Times New Roman"/>
          <w:sz w:val="18"/>
          <w:szCs w:val="18"/>
          <w:color w:val="auto"/>
        </w:rPr>
        <w:t>Our R&amp;D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2007) were approximately $XX million. Over this period, the majority of these cumulative costs were related to: (i) characterization of our proprietary HuCNS-SC cell, (ii) expenditures for toxicology and other preclinical studies, preparation and submission of our Investigational New Drug (IND) application for our Phase I trial for NCL to the FDA, and obtaining FDA clearance; and (iii) expenditures in connection with our HuCNS-SC Phase I clinical trial.</w:t>
      </w:r>
    </w:p>
    <w:p>
      <w:pPr>
        <w:spacing w:after="0" w:line="77" w:lineRule="exact"/>
        <w:rPr>
          <w:sz w:val="20"/>
          <w:szCs w:val="20"/>
          <w:color w:val="auto"/>
        </w:rPr>
      </w:pPr>
    </w:p>
    <w:p>
      <w:pPr>
        <w:ind w:left="240" w:right="140"/>
        <w:spacing w:after="0" w:line="258" w:lineRule="auto"/>
        <w:rPr>
          <w:sz w:val="20"/>
          <w:szCs w:val="20"/>
          <w:color w:val="auto"/>
        </w:rPr>
      </w:pPr>
      <w:r>
        <w:rPr>
          <w:rFonts w:ascii="Times New Roman" w:cs="Times New Roman" w:eastAsia="Times New Roman" w:hAnsi="Times New Roman"/>
          <w:sz w:val="18"/>
          <w:szCs w:val="18"/>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February 29,2008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9" w:lineRule="exact"/>
        <w:rPr>
          <w:sz w:val="20"/>
          <w:szCs w:val="20"/>
          <w:color w:val="auto"/>
        </w:rPr>
      </w:pPr>
    </w:p>
    <w:p>
      <w:pPr>
        <w:ind w:left="240" w:right="200"/>
        <w:spacing w:after="0" w:line="261" w:lineRule="auto"/>
        <w:rPr>
          <w:sz w:val="20"/>
          <w:szCs w:val="20"/>
          <w:color w:val="auto"/>
        </w:rPr>
      </w:pPr>
      <w:r>
        <w:rPr>
          <w:rFonts w:ascii="Times New Roman" w:cs="Times New Roman" w:eastAsia="Times New Roman" w:hAnsi="Times New Roman"/>
          <w:sz w:val="18"/>
          <w:szCs w:val="18"/>
          <w:color w:val="auto"/>
        </w:rPr>
        <w:t>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2" w:lineRule="exact"/>
        <w:rPr>
          <w:sz w:val="20"/>
          <w:szCs w:val="20"/>
          <w:color w:val="auto"/>
        </w:rPr>
      </w:pPr>
    </w:p>
    <w:p>
      <w:pPr>
        <w:ind w:left="240" w:right="20"/>
        <w:spacing w:after="0" w:line="266" w:lineRule="auto"/>
        <w:rPr>
          <w:sz w:val="20"/>
          <w:szCs w:val="20"/>
          <w:color w:val="auto"/>
        </w:rPr>
      </w:pPr>
      <w:r>
        <w:rPr>
          <w:rFonts w:ascii="Times New Roman" w:cs="Times New Roman" w:eastAsia="Times New Roman" w:hAnsi="Times New Roman"/>
          <w:sz w:val="18"/>
          <w:szCs w:val="18"/>
          <w:color w:val="auto"/>
        </w:rPr>
        <w:t>R&amp;D expense totaled approximately $XXXX in 2007, as compared to $XXXX in 2006 and $XXXX in 2005. At December 31, 2007, we had XX full-time employees working in research and development and laboratory support services as compared to XX at December 31, 2006 and XX at December 31, 2005.</w:t>
      </w:r>
    </w:p>
    <w:p>
      <w:pPr>
        <w:spacing w:after="0" w:line="64" w:lineRule="exact"/>
        <w:rPr>
          <w:sz w:val="20"/>
          <w:szCs w:val="20"/>
          <w:color w:val="auto"/>
        </w:rPr>
      </w:pPr>
    </w:p>
    <w:p>
      <w:pPr>
        <w:ind w:lef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2007 versus 2006. </w:t>
      </w:r>
      <w:r>
        <w:rPr>
          <w:rFonts w:ascii="Times New Roman" w:cs="Times New Roman" w:eastAsia="Times New Roman" w:hAnsi="Times New Roman"/>
          <w:sz w:val="18"/>
          <w:szCs w:val="18"/>
          <w:color w:val="auto"/>
        </w:rPr>
        <w:t>The increase of approximately $XXXX, or XX%, from 2006 to 2007 was primarily attributable to the continued expansion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 cell processing and clinical development, including an increase in external services and clinical study costs of approximately $XXXX, and an increase in personnel costs of approximately $XXXX, of which approximately $XXXX was attributable to stock-based compensation expense. The remainder of the increase in 2007 was due to increases in supplies, rent, and other operating expenses.</w:t>
      </w:r>
    </w:p>
    <w:p>
      <w:pPr>
        <w:spacing w:after="0" w:line="69" w:lineRule="exact"/>
        <w:rPr>
          <w:sz w:val="20"/>
          <w:szCs w:val="20"/>
          <w:color w:val="auto"/>
        </w:rPr>
      </w:pPr>
    </w:p>
    <w:p>
      <w:pPr>
        <w:ind w:left="240"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2006 versus 2005. </w:t>
      </w:r>
      <w:r>
        <w:rPr>
          <w:rFonts w:ascii="Times New Roman" w:cs="Times New Roman" w:eastAsia="Times New Roman" w:hAnsi="Times New Roman"/>
          <w:sz w:val="18"/>
          <w:szCs w:val="18"/>
          <w:color w:val="auto"/>
        </w:rPr>
        <w:t>The increase of approximately $XXXX, or XX%, from 2005 to 2006 was primarily attributable to expansion of our operations in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and clinical development, which consisted of an increase in personnel costs of approximately $XXXX, an increase in external services of approximately $XXXX, an increase in supplies and other expenses of $XXXX and the cost of additional space leased in 2006 allocated to research and development. Of the approximately $XXXX increase in personnel costs, approximately $XXXX was attributable to stock-based compensation expense. The remaining increase was primarily attributable to increased head count.</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Please be advised that, in connection with the Staff’s comments in the December 21 Letter and the Company’s responses thereto, the Company hereby acknowledges the Staff’s position that (i) the Company is responsible for the adequacy and accuracy of the disclosure in the above-referenced filing; (ii) the Staff’s comments or changes to disclosure in response to the Staff’s comments do not foreclose the Commission from taking any action with respect to the filing; and (iii) the Company may not assert the Staff comments as a defense in any proceeding initiated by the Commission or any person under the federal securities laws of the United States.</w:t>
      </w:r>
    </w:p>
    <w:p>
      <w:pPr>
        <w:spacing w:after="0" w:line="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should have any questions about this letter or require any further information, please call the undersigned at (650) 475-3122.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B. Stratton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lvl w:ilvl="1">
      <w:lvlJc w:val="left"/>
      <w:lvlText w:val="%2."/>
      <w:numFmt w:val="lowerLetter"/>
      <w:start w:val="1"/>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2019-12-13T20:57:23Z</dcterms:created>
  <dcterms:modified xsi:type="dcterms:W3CDTF">2019-12-13T20:57:23Z</dcterms:modified>
</cp:coreProperties>
</file>