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(Mark One)</w:t>
      </w:r>
    </w:p>
    <w:p>
      <w:pPr>
        <w:spacing w:after="0" w:line="226" w:lineRule="exact"/>
        <w:rPr>
          <w:sz w:val="24"/>
          <w:szCs w:val="24"/>
          <w:color w:val="auto"/>
        </w:rPr>
      </w:pPr>
    </w:p>
    <w:p>
      <w:pPr>
        <w:ind w:left="600" w:hanging="592"/>
        <w:spacing w:after="0"/>
        <w:tabs>
          <w:tab w:leader="none" w:pos="600" w:val="left"/>
        </w:tabs>
        <w:numPr>
          <w:ilvl w:val="0"/>
          <w:numId w:val="1"/>
        </w:numPr>
        <w:rPr>
          <w:rFonts w:ascii="Segoe UI Emoji" w:cs="Segoe UI Emoji" w:eastAsia="Segoe UI Emoji" w:hAnsi="Segoe UI Emoji"/>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2023</w:t>
      </w:r>
    </w:p>
    <w:p>
      <w:pPr>
        <w:spacing w:after="0" w:line="230" w:lineRule="exact"/>
        <w:rPr>
          <w:sz w:val="24"/>
          <w:szCs w:val="24"/>
          <w:color w:val="auto"/>
        </w:rPr>
      </w:pPr>
    </w:p>
    <w:p>
      <w:pPr>
        <w:ind w:left="360" w:hanging="357"/>
        <w:spacing w:after="0"/>
        <w:tabs>
          <w:tab w:leader="none" w:pos="360" w:val="left"/>
        </w:tabs>
        <w:numPr>
          <w:ilvl w:val="0"/>
          <w:numId w:val="2"/>
        </w:numPr>
        <w:rPr>
          <w:rFonts w:ascii="Segoe UI Emoji" w:cs="Segoe UI Emoji" w:eastAsia="Segoe UI Emoji" w:hAnsi="Segoe UI Emoji"/>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30"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 to _____</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000-19871</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MICROBOT MEDICAL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(Exact name of registrant as specified in its charter)</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6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38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b w:val="1"/>
                <w:bCs w:val="1"/>
                <w:color w:val="auto"/>
              </w:rPr>
              <w:t>94-3078125</w:t>
            </w:r>
          </w:p>
        </w:tc>
      </w:tr>
      <w:tr>
        <w:trPr>
          <w:trHeight w:val="212"/>
        </w:trPr>
        <w:tc>
          <w:tcPr>
            <w:tcW w:w="6940" w:type="dxa"/>
            <w:vAlign w:val="bottom"/>
            <w:tcBorders>
              <w:top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i w:val="1"/>
                <w:iCs w:val="1"/>
                <w:color w:val="auto"/>
              </w:rPr>
              <w:t>(State or Other Jurisdiction</w:t>
            </w:r>
          </w:p>
        </w:tc>
        <w:tc>
          <w:tcPr>
            <w:tcW w:w="120" w:type="dxa"/>
            <w:vAlign w:val="bottom"/>
          </w:tcPr>
          <w:p>
            <w:pPr>
              <w:spacing w:after="0"/>
              <w:rPr>
                <w:sz w:val="18"/>
                <w:szCs w:val="18"/>
                <w:color w:val="auto"/>
              </w:rPr>
            </w:pPr>
          </w:p>
        </w:tc>
        <w:tc>
          <w:tcPr>
            <w:tcW w:w="3740" w:type="dxa"/>
            <w:vAlign w:val="bottom"/>
            <w:tcBorders>
              <w:top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i w:val="1"/>
                <w:iCs w:val="1"/>
                <w:color w:val="auto"/>
              </w:rPr>
              <w:t>(I.R.S. Employer</w:t>
            </w:r>
          </w:p>
        </w:tc>
      </w:tr>
      <w:tr>
        <w:trPr>
          <w:trHeight w:val="264"/>
        </w:trPr>
        <w:tc>
          <w:tcPr>
            <w:tcW w:w="694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of Incorporation or Organization)</w:t>
            </w:r>
          </w:p>
        </w:tc>
        <w:tc>
          <w:tcPr>
            <w:tcW w:w="120" w:type="dxa"/>
            <w:vAlign w:val="bottom"/>
          </w:tcPr>
          <w:p>
            <w:pPr>
              <w:spacing w:after="0"/>
              <w:rPr>
                <w:sz w:val="22"/>
                <w:szCs w:val="22"/>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288 Grove Street, Suite 388</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Braintree, MA 02184</w:t>
      </w:r>
    </w:p>
    <w:p>
      <w:pPr>
        <w:jc w:val="center"/>
        <w:spacing w:after="0"/>
        <w:rPr>
          <w:sz w:val="20"/>
          <w:szCs w:val="20"/>
          <w:color w:val="auto"/>
        </w:rPr>
      </w:pPr>
      <w:r>
        <w:rPr>
          <w:rFonts w:ascii="Times New Roman" w:cs="Times New Roman" w:eastAsia="Times New Roman" w:hAnsi="Times New Roman"/>
          <w:sz w:val="20"/>
          <w:szCs w:val="20"/>
          <w:i w:val="1"/>
          <w:iCs w:val="1"/>
          <w:color w:val="auto"/>
        </w:rPr>
        <w:t>(Address including zip code of registrant’s Principal Executive Offices)</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(781) 875-3605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under Section 12(b) of the Act:</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60" w:type="dxa"/>
            <w:vAlign w:val="bottom"/>
          </w:tcPr>
          <w:p>
            <w:pPr>
              <w:spacing w:after="0"/>
              <w:rPr>
                <w:sz w:val="22"/>
                <w:szCs w:val="22"/>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Trading Symbol(s)</w:t>
            </w:r>
          </w:p>
        </w:tc>
        <w:tc>
          <w:tcPr>
            <w:tcW w:w="80" w:type="dxa"/>
            <w:vAlign w:val="bottom"/>
          </w:tcPr>
          <w:p>
            <w:pPr>
              <w:spacing w:after="0"/>
              <w:rPr>
                <w:sz w:val="22"/>
                <w:szCs w:val="22"/>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 of each exchange on which registered</w:t>
            </w:r>
          </w:p>
        </w:tc>
      </w:tr>
      <w:tr>
        <w:trPr>
          <w:trHeight w:val="266"/>
        </w:trPr>
        <w:tc>
          <w:tcPr>
            <w:tcW w:w="3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Common Stock, Par value $0.01</w:t>
            </w:r>
          </w:p>
        </w:tc>
        <w:tc>
          <w:tcPr>
            <w:tcW w:w="6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MBOT</w:t>
            </w:r>
          </w:p>
        </w:tc>
        <w:tc>
          <w:tcPr>
            <w:tcW w:w="80" w:type="dxa"/>
            <w:vAlign w:val="bottom"/>
          </w:tcPr>
          <w:p>
            <w:pPr>
              <w:spacing w:after="0"/>
              <w:rPr>
                <w:sz w:val="23"/>
                <w:szCs w:val="23"/>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NASDAQ Capital Market</w:t>
            </w:r>
          </w:p>
        </w:tc>
      </w:tr>
    </w:tbl>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under Section 12(g) of the Act: None</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Segoe UI Emoji" w:cs="Segoe UI Emoji" w:eastAsia="Segoe UI Emoji" w:hAnsi="Segoe UI Emoji"/>
          <w:sz w:val="20"/>
          <w:szCs w:val="20"/>
          <w:color w:val="auto"/>
        </w:rPr>
        <w:t>☐</w:t>
      </w:r>
      <w:r>
        <w:rPr>
          <w:rFonts w:ascii="Times New Roman" w:cs="Times New Roman" w:eastAsia="Times New Roman" w:hAnsi="Times New Roman"/>
          <w:sz w:val="20"/>
          <w:szCs w:val="20"/>
          <w:color w:val="auto"/>
        </w:rPr>
        <w:t xml:space="preserve"> No </w:t>
      </w:r>
      <w:r>
        <w:rPr>
          <w:rFonts w:ascii="Segoe UI Emoji" w:cs="Segoe UI Emoji" w:eastAsia="Segoe UI Emoji" w:hAnsi="Segoe UI Emoji"/>
          <w:sz w:val="20"/>
          <w:szCs w:val="20"/>
          <w:color w:val="auto"/>
        </w:rPr>
        <w:t>☒</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Segoe UI Emoji" w:cs="Segoe UI Emoji" w:eastAsia="Segoe UI Emoji" w:hAnsi="Segoe UI Emoji"/>
          <w:sz w:val="20"/>
          <w:szCs w:val="20"/>
          <w:color w:val="auto"/>
        </w:rPr>
        <w:t>☐</w:t>
      </w:r>
      <w:r>
        <w:rPr>
          <w:rFonts w:ascii="Times New Roman" w:cs="Times New Roman" w:eastAsia="Times New Roman" w:hAnsi="Times New Roman"/>
          <w:sz w:val="20"/>
          <w:szCs w:val="20"/>
          <w:color w:val="auto"/>
        </w:rPr>
        <w:t xml:space="preserve"> No </w:t>
      </w:r>
      <w:r>
        <w:rPr>
          <w:rFonts w:ascii="Segoe UI Emoji" w:cs="Segoe UI Emoji" w:eastAsia="Segoe UI Emoji" w:hAnsi="Segoe UI Emoji"/>
          <w:sz w:val="20"/>
          <w:szCs w:val="20"/>
          <w:color w:val="auto"/>
        </w:rPr>
        <w:t>☒</w:t>
      </w:r>
    </w:p>
    <w:p>
      <w:pPr>
        <w:spacing w:after="0" w:line="20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spacing w:after="0" w:line="235" w:lineRule="auto"/>
        <w:rPr>
          <w:sz w:val="20"/>
          <w:szCs w:val="20"/>
          <w:color w:val="auto"/>
        </w:rPr>
      </w:pPr>
      <w:r>
        <w:rPr>
          <w:rFonts w:ascii="Times New Roman" w:cs="Times New Roman" w:eastAsia="Times New Roman" w:hAnsi="Times New Roman"/>
          <w:sz w:val="20"/>
          <w:szCs w:val="20"/>
          <w:color w:val="auto"/>
        </w:rPr>
        <w:t xml:space="preserve">and (2) has been subject to such filing requirements for the past 90 days. Yes </w:t>
      </w:r>
      <w:r>
        <w:rPr>
          <w:rFonts w:ascii="Segoe UI Emoji" w:cs="Segoe UI Emoji" w:eastAsia="Segoe UI Emoji" w:hAnsi="Segoe UI Emoji"/>
          <w:sz w:val="20"/>
          <w:szCs w:val="20"/>
          <w:color w:val="auto"/>
        </w:rPr>
        <w:t>☒</w:t>
      </w:r>
      <w:r>
        <w:rPr>
          <w:rFonts w:ascii="Times New Roman" w:cs="Times New Roman" w:eastAsia="Times New Roman" w:hAnsi="Times New Roman"/>
          <w:sz w:val="20"/>
          <w:szCs w:val="20"/>
          <w:color w:val="auto"/>
        </w:rPr>
        <w:t xml:space="preserve"> No </w:t>
      </w:r>
      <w:r>
        <w:rPr>
          <w:rFonts w:ascii="Segoe UI Emoji" w:cs="Segoe UI Emoji" w:eastAsia="Segoe UI Emoji" w:hAnsi="Segoe UI Emoji"/>
          <w:sz w:val="20"/>
          <w:szCs w:val="20"/>
          <w:color w:val="auto"/>
        </w:rPr>
        <w:t>☐</w:t>
      </w:r>
    </w:p>
    <w:p>
      <w:pPr>
        <w:spacing w:after="0" w:line="201"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w:t>
      </w:r>
    </w:p>
    <w:p>
      <w:pPr>
        <w:spacing w:after="0" w:line="234" w:lineRule="auto"/>
        <w:rPr>
          <w:sz w:val="20"/>
          <w:szCs w:val="20"/>
          <w:color w:val="auto"/>
        </w:rPr>
      </w:pPr>
      <w:r>
        <w:rPr>
          <w:rFonts w:ascii="Times New Roman" w:cs="Times New Roman" w:eastAsia="Times New Roman" w:hAnsi="Times New Roman"/>
          <w:sz w:val="20"/>
          <w:szCs w:val="20"/>
          <w:color w:val="auto"/>
        </w:rPr>
        <w:t xml:space="preserve">was required to submit such files). Yes </w:t>
      </w:r>
      <w:r>
        <w:rPr>
          <w:rFonts w:ascii="Segoe UI Emoji" w:cs="Segoe UI Emoji" w:eastAsia="Segoe UI Emoji" w:hAnsi="Segoe UI Emoji"/>
          <w:sz w:val="20"/>
          <w:szCs w:val="20"/>
          <w:color w:val="auto"/>
        </w:rPr>
        <w:t>☒</w:t>
      </w:r>
      <w:r>
        <w:rPr>
          <w:rFonts w:ascii="Times New Roman" w:cs="Times New Roman" w:eastAsia="Times New Roman" w:hAnsi="Times New Roman"/>
          <w:sz w:val="20"/>
          <w:szCs w:val="20"/>
          <w:color w:val="auto"/>
        </w:rPr>
        <w:t xml:space="preserve"> No </w:t>
      </w:r>
      <w:r>
        <w:rPr>
          <w:rFonts w:ascii="Segoe UI Emoji" w:cs="Segoe UI Emoji" w:eastAsia="Segoe UI Emoji" w:hAnsi="Segoe UI Emoji"/>
          <w:sz w:val="20"/>
          <w:szCs w:val="20"/>
          <w:color w:val="auto"/>
        </w:rPr>
        <w:t>☐</w:t>
      </w:r>
    </w:p>
    <w:p>
      <w:pPr>
        <w:spacing w:after="0" w:line="20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800"/>
          </w:cols>
          <w:pgMar w:left="720" w:top="533" w:right="72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 xml:space="preserve">Large accelerated filer </w:t>
      </w:r>
      <w:r>
        <w:rPr>
          <w:rFonts w:ascii="Segoe UI Emoji" w:cs="Segoe UI Emoji" w:eastAsia="Segoe UI Emoji" w:hAnsi="Segoe UI Emoji"/>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 xml:space="preserve">Accelerated filer </w:t>
      </w:r>
      <w:r>
        <w:rPr>
          <w:rFonts w:ascii="Segoe UI Emoji" w:cs="Segoe UI Emoji" w:eastAsia="Segoe UI Emoji" w:hAnsi="Segoe UI Emoji"/>
          <w:sz w:val="19"/>
          <w:szCs w:val="19"/>
          <w:color w:val="auto"/>
        </w:rPr>
        <w:t>☐</w:t>
      </w:r>
    </w:p>
    <w:p>
      <w:pPr>
        <w:spacing w:after="0" w:line="13" w:lineRule="exact"/>
        <w:rPr>
          <w:sz w:val="20"/>
          <w:szCs w:val="20"/>
          <w:color w:val="auto"/>
        </w:rPr>
      </w:pPr>
    </w:p>
    <w:p>
      <w:pPr>
        <w:sectPr>
          <w:pgSz w:w="12240" w:h="15840" w:orient="portrait"/>
          <w:cols w:equalWidth="0" w:num="2">
            <w:col w:w="4100" w:space="720"/>
            <w:col w:w="5980"/>
          </w:cols>
          <w:pgMar w:left="720" w:top="585" w:right="720" w:bottom="1440" w:gutter="0" w:footer="0" w:header="0"/>
        </w:sectPr>
      </w:pPr>
    </w:p>
    <w:p>
      <w:pPr>
        <w:spacing w:after="0"/>
        <w:rPr>
          <w:sz w:val="20"/>
          <w:szCs w:val="20"/>
          <w:color w:val="auto"/>
        </w:rPr>
      </w:pPr>
      <w:r>
        <w:rPr>
          <w:rFonts w:ascii="Times New Roman" w:cs="Times New Roman" w:eastAsia="Times New Roman" w:hAnsi="Times New Roman"/>
          <w:sz w:val="20"/>
          <w:szCs w:val="20"/>
          <w:color w:val="auto"/>
        </w:rPr>
        <w:t xml:space="preserve">Non-accelerated filer </w:t>
      </w:r>
      <w:r>
        <w:rPr>
          <w:rFonts w:ascii="Segoe UI Emoji" w:cs="Segoe UI Emoji" w:eastAsia="Segoe UI Emoji" w:hAnsi="Segoe UI Emoji"/>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 xml:space="preserve">Smaller reporting company </w:t>
      </w:r>
      <w:r>
        <w:rPr>
          <w:rFonts w:ascii="Segoe UI Emoji" w:cs="Segoe UI Emoji" w:eastAsia="Segoe UI Emoji" w:hAnsi="Segoe UI Emoji"/>
          <w:sz w:val="20"/>
          <w:szCs w:val="20"/>
          <w:color w:val="auto"/>
        </w:rPr>
        <w:t>☒</w:t>
      </w:r>
    </w:p>
    <w:p>
      <w:pPr>
        <w:spacing w:after="0" w:line="1" w:lineRule="exact"/>
        <w:rPr>
          <w:sz w:val="20"/>
          <w:szCs w:val="20"/>
          <w:color w:val="auto"/>
        </w:rPr>
      </w:pPr>
    </w:p>
    <w:p>
      <w:pPr>
        <w:sectPr>
          <w:pgSz w:w="12240" w:h="15840" w:orient="portrait"/>
          <w:cols w:equalWidth="0" w:num="2">
            <w:col w:w="4100" w:space="720"/>
            <w:col w:w="5980"/>
          </w:cols>
          <w:pgMar w:left="720" w:top="585" w:right="720" w:bottom="1440" w:gutter="0" w:footer="0" w:header="0"/>
          <w:type w:val="continuous"/>
        </w:sectPr>
      </w:pPr>
    </w:p>
    <w:p>
      <w:pPr>
        <w:ind w:left="4820"/>
        <w:spacing w:after="0"/>
        <w:rPr>
          <w:sz w:val="20"/>
          <w:szCs w:val="20"/>
          <w:color w:val="auto"/>
        </w:rPr>
      </w:pPr>
      <w:r>
        <w:rPr>
          <w:rFonts w:ascii="Times New Roman" w:cs="Times New Roman" w:eastAsia="Times New Roman" w:hAnsi="Times New Roman"/>
          <w:sz w:val="19"/>
          <w:szCs w:val="19"/>
          <w:color w:val="auto"/>
        </w:rPr>
        <w:t xml:space="preserve">Emerging Growth Company </w:t>
      </w:r>
      <w:r>
        <w:rPr>
          <w:rFonts w:ascii="Segoe UI Emoji" w:cs="Segoe UI Emoji" w:eastAsia="Segoe UI Emoji" w:hAnsi="Segoe UI Emoji"/>
          <w:sz w:val="19"/>
          <w:szCs w:val="19"/>
          <w:color w:val="auto"/>
        </w:rPr>
        <w:t>☐</w:t>
      </w:r>
    </w:p>
    <w:p>
      <w:pPr>
        <w:sectPr>
          <w:pgSz w:w="12240" w:h="15840" w:orient="portrait"/>
          <w:cols w:equalWidth="0" w:num="1">
            <w:col w:w="10800"/>
          </w:cols>
          <w:pgMar w:left="720" w:top="585" w:right="720" w:bottom="1440" w:gutter="0" w:footer="0" w:header="0"/>
          <w:type w:val="continuous"/>
        </w:sect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Emoji" w:cs="Segoe UI Emoji" w:eastAsia="Segoe UI Emoji" w:hAnsi="Segoe UI Emoji"/>
          <w:sz w:val="20"/>
          <w:szCs w:val="20"/>
          <w:color w:val="auto"/>
        </w:rPr>
        <w: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w:t>
      </w:r>
    </w:p>
    <w:p>
      <w:pPr>
        <w:spacing w:after="0" w:line="235" w:lineRule="auto"/>
        <w:rPr>
          <w:sz w:val="20"/>
          <w:szCs w:val="20"/>
          <w:color w:val="auto"/>
        </w:rPr>
      </w:pPr>
      <w:r>
        <w:rPr>
          <w:rFonts w:ascii="Times New Roman" w:cs="Times New Roman" w:eastAsia="Times New Roman" w:hAnsi="Times New Roman"/>
          <w:sz w:val="20"/>
          <w:szCs w:val="20"/>
          <w:color w:val="auto"/>
        </w:rPr>
        <w:t xml:space="preserve">public accounting firm that prepared or issued its audit report. </w:t>
      </w:r>
      <w:r>
        <w:rPr>
          <w:rFonts w:ascii="Segoe UI Emoji" w:cs="Segoe UI Emoji" w:eastAsia="Segoe UI Emoji" w:hAnsi="Segoe UI Emoji"/>
          <w:sz w:val="20"/>
          <w:szCs w:val="20"/>
          <w:color w:val="auto"/>
        </w:rPr>
        <w:t>☐</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Emoji" w:cs="Segoe UI Emoji" w:eastAsia="Segoe UI Emoji" w:hAnsi="Segoe UI Emoji"/>
          <w:sz w:val="20"/>
          <w:szCs w:val="20"/>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Emoji" w:cs="Segoe UI Emoji" w:eastAsia="Segoe UI Emoji" w:hAnsi="Segoe UI Emoji"/>
          <w:sz w:val="20"/>
          <w:szCs w:val="20"/>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Exchange Act). Yes </w:t>
      </w:r>
      <w:r>
        <w:rPr>
          <w:rFonts w:ascii="Segoe UI Emoji" w:cs="Segoe UI Emoji" w:eastAsia="Segoe UI Emoji" w:hAnsi="Segoe UI Emoji"/>
          <w:sz w:val="20"/>
          <w:szCs w:val="20"/>
          <w:color w:val="auto"/>
        </w:rPr>
        <w:t>☐</w:t>
      </w:r>
      <w:r>
        <w:rPr>
          <w:rFonts w:ascii="Times New Roman" w:cs="Times New Roman" w:eastAsia="Times New Roman" w:hAnsi="Times New Roman"/>
          <w:sz w:val="20"/>
          <w:szCs w:val="20"/>
          <w:color w:val="auto"/>
        </w:rPr>
        <w:t xml:space="preserve"> No </w:t>
      </w:r>
      <w:r>
        <w:rPr>
          <w:rFonts w:ascii="Segoe UI Emoji" w:cs="Segoe UI Emoji" w:eastAsia="Segoe UI Emoji" w:hAnsi="Segoe UI Emoji"/>
          <w:sz w:val="20"/>
          <w:szCs w:val="20"/>
          <w:color w:val="auto"/>
        </w:rPr>
        <w:t>☒</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approximately $38,134,642.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 outstanding as of March 25, 2024: 14,398,964 shares</w:t>
      </w:r>
    </w:p>
    <w:p>
      <w:pPr>
        <w:sectPr>
          <w:pgSz w:w="12240" w:h="15840" w:orient="portrait"/>
          <w:cols w:equalWidth="0" w:num="1">
            <w:col w:w="10800"/>
          </w:cols>
          <w:pgMar w:left="720" w:top="585" w:right="720"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INFORMATION CONCERNING FORWARD-LOOKING STATEMENTS</w:t>
      </w:r>
    </w:p>
    <w:p>
      <w:pPr>
        <w:spacing w:after="0" w:line="2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This report contains forward-looking statements. Forward-looking statements are projections in respect of future events or our future financial performance. In some cases, you can identify forward-looking statements by terminology such as “may”, “should”, “intends”, “expects”, “will”, “plans”, “anticipates”, “believes”, “estimates”, “predicts”, “potential”, or “continue” or the negative of these terms or other comparable terminology. These statements are only predictions and involve known and unknown risks, uncertainties and other factors, including the risks listed under the section entitled “Risk Factors” commencing on page 13 of this report, which may cause our or our industry’s actual results, levels of activity or performance to be materially different from any future results, levels of activity or performance expressed or implied by these forward-looking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900" w:type="dxa"/>
            <w:vAlign w:val="bottom"/>
            <w:gridSpan w:val="17"/>
          </w:tcPr>
          <w:p>
            <w:pPr>
              <w:ind w:left="1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4"/>
            <w:vMerge w:val="restart"/>
          </w:tcPr>
          <w:p>
            <w:pPr>
              <w:jc w:val="center"/>
              <w:ind w:right="4460"/>
              <w:spacing w:after="0"/>
              <w:rPr>
                <w:sz w:val="20"/>
                <w:szCs w:val="20"/>
                <w:color w:val="auto"/>
              </w:rPr>
            </w:pPr>
            <w:r>
              <w:rPr>
                <w:rFonts w:ascii="Times New Roman" w:cs="Times New Roman" w:eastAsia="Times New Roman" w:hAnsi="Times New Roman"/>
                <w:sz w:val="20"/>
                <w:szCs w:val="20"/>
                <w:b w:val="1"/>
                <w:bCs w:val="1"/>
                <w:color w:val="auto"/>
                <w:w w:val="98"/>
              </w:rPr>
              <w:t>PART I</w:t>
            </w: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0" w:type="dxa"/>
            <w:vAlign w:val="bottom"/>
            <w:gridSpan w:val="14"/>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1.</w:t>
            </w:r>
          </w:p>
        </w:tc>
        <w:tc>
          <w:tcPr>
            <w:tcW w:w="4440" w:type="dxa"/>
            <w:vAlign w:val="bottom"/>
            <w:gridSpan w:val="18"/>
          </w:tcPr>
          <w:p>
            <w:pPr>
              <w:spacing w:after="0" w:line="210" w:lineRule="exact"/>
              <w:rPr>
                <w:sz w:val="20"/>
                <w:szCs w:val="20"/>
                <w:color w:val="auto"/>
              </w:rPr>
            </w:pPr>
            <w:r>
              <w:rPr>
                <w:rFonts w:ascii="Times New Roman" w:cs="Times New Roman" w:eastAsia="Times New Roman" w:hAnsi="Times New Roman"/>
                <w:sz w:val="20"/>
                <w:szCs w:val="20"/>
                <w:color w:val="auto"/>
              </w:rPr>
              <w:t>Business</w:t>
            </w:r>
          </w:p>
        </w:tc>
        <w:tc>
          <w:tcPr>
            <w:tcW w:w="100" w:type="dxa"/>
            <w:vAlign w:val="bottom"/>
            <w:tcBorders>
              <w:top w:val="single" w:sz="8" w:color="091E8B"/>
            </w:tcBorders>
          </w:tcPr>
          <w:p>
            <w:pPr>
              <w:spacing w:after="0"/>
              <w:rPr>
                <w:sz w:val="18"/>
                <w:szCs w:val="18"/>
                <w:color w:val="auto"/>
              </w:rPr>
            </w:pPr>
          </w:p>
        </w:tc>
        <w:tc>
          <w:tcPr>
            <w:tcW w:w="240" w:type="dxa"/>
            <w:vAlign w:val="bottom"/>
            <w:tcBorders>
              <w:top w:val="single" w:sz="8" w:color="091E8B"/>
            </w:tcBorders>
          </w:tcPr>
          <w:p>
            <w:pPr>
              <w:spacing w:after="0"/>
              <w:rPr>
                <w:sz w:val="18"/>
                <w:szCs w:val="18"/>
                <w:color w:val="auto"/>
              </w:rPr>
            </w:pPr>
          </w:p>
        </w:tc>
        <w:tc>
          <w:tcPr>
            <w:tcW w:w="320" w:type="dxa"/>
            <w:vAlign w:val="bottom"/>
            <w:tcBorders>
              <w:top w:val="single" w:sz="8" w:color="091E8B"/>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1A.</w:t>
            </w:r>
          </w:p>
        </w:tc>
        <w:tc>
          <w:tcPr>
            <w:tcW w:w="700" w:type="dxa"/>
            <w:vAlign w:val="bottom"/>
            <w:shd w:val="clear" w:color="auto" w:fill="091E8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13</w:t>
            </w:r>
          </w:p>
        </w:tc>
        <w:tc>
          <w:tcPr>
            <w:tcW w:w="0" w:type="dxa"/>
            <w:vAlign w:val="bottom"/>
          </w:tcPr>
          <w:p>
            <w:pPr>
              <w:spacing w:after="0" w:line="20" w:lineRule="exact"/>
              <w:rPr>
                <w:sz w:val="1"/>
                <w:szCs w:val="1"/>
                <w:color w:val="auto"/>
              </w:rPr>
            </w:pPr>
          </w:p>
        </w:tc>
      </w:tr>
      <w:tr>
        <w:trPr>
          <w:trHeight w:val="210"/>
        </w:trPr>
        <w:tc>
          <w:tcPr>
            <w:tcW w:w="760" w:type="dxa"/>
            <w:vAlign w:val="bottom"/>
            <w:vMerge w:val="continue"/>
          </w:tcPr>
          <w:p>
            <w:pPr>
              <w:spacing w:after="0"/>
              <w:rPr>
                <w:sz w:val="18"/>
                <w:szCs w:val="18"/>
                <w:color w:val="auto"/>
              </w:rPr>
            </w:pPr>
          </w:p>
        </w:tc>
        <w:tc>
          <w:tcPr>
            <w:tcW w:w="9600" w:type="dxa"/>
            <w:vAlign w:val="bottom"/>
            <w:gridSpan w:val="31"/>
          </w:tcPr>
          <w:p>
            <w:pPr>
              <w:spacing w:after="0" w:line="210" w:lineRule="exact"/>
              <w:rPr>
                <w:sz w:val="20"/>
                <w:szCs w:val="20"/>
                <w:color w:val="auto"/>
              </w:rPr>
            </w:pPr>
            <w:r>
              <w:rPr>
                <w:rFonts w:ascii="Times New Roman" w:cs="Times New Roman" w:eastAsia="Times New Roman" w:hAnsi="Times New Roman"/>
                <w:sz w:val="20"/>
                <w:szCs w:val="20"/>
                <w:color w:val="auto"/>
              </w:rPr>
              <w:t>Risk Factors</w:t>
            </w: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1B.</w:t>
            </w:r>
          </w:p>
        </w:tc>
        <w:tc>
          <w:tcPr>
            <w:tcW w:w="1000" w:type="dxa"/>
            <w:vAlign w:val="bottom"/>
            <w:tcBorders>
              <w:top w:val="single" w:sz="8" w:color="091E8B"/>
            </w:tcBorders>
            <w:gridSpan w:val="3"/>
          </w:tcPr>
          <w:p>
            <w:pPr>
              <w:spacing w:after="0" w:line="210" w:lineRule="exact"/>
              <w:rPr>
                <w:sz w:val="20"/>
                <w:szCs w:val="20"/>
                <w:color w:val="auto"/>
              </w:rPr>
            </w:pPr>
            <w:r>
              <w:rPr>
                <w:rFonts w:ascii="Times New Roman" w:cs="Times New Roman" w:eastAsia="Times New Roman" w:hAnsi="Times New Roman"/>
                <w:sz w:val="20"/>
                <w:szCs w:val="20"/>
                <w:color w:val="auto"/>
              </w:rPr>
              <w:t>Unresolved</w:t>
            </w:r>
          </w:p>
        </w:tc>
        <w:tc>
          <w:tcPr>
            <w:tcW w:w="8600" w:type="dxa"/>
            <w:vAlign w:val="bottom"/>
            <w:gridSpan w:val="28"/>
          </w:tcPr>
          <w:p>
            <w:pPr>
              <w:spacing w:after="0" w:line="210" w:lineRule="exact"/>
              <w:rPr>
                <w:sz w:val="20"/>
                <w:szCs w:val="20"/>
                <w:color w:val="auto"/>
              </w:rPr>
            </w:pPr>
            <w:r>
              <w:rPr>
                <w:rFonts w:ascii="Times New Roman" w:cs="Times New Roman" w:eastAsia="Times New Roman" w:hAnsi="Times New Roman"/>
                <w:sz w:val="20"/>
                <w:szCs w:val="20"/>
                <w:color w:val="auto"/>
              </w:rPr>
              <w:t>Staff Comments</w:t>
            </w: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28</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1C</w:t>
            </w:r>
          </w:p>
        </w:tc>
        <w:tc>
          <w:tcPr>
            <w:tcW w:w="2280" w:type="dxa"/>
            <w:vAlign w:val="bottom"/>
            <w:tcBorders>
              <w:top w:val="single" w:sz="8" w:color="091E8B"/>
            </w:tcBorders>
            <w:gridSpan w:val="11"/>
          </w:tcPr>
          <w:p>
            <w:pPr>
              <w:spacing w:after="0" w:line="210" w:lineRule="exact"/>
              <w:rPr>
                <w:sz w:val="20"/>
                <w:szCs w:val="20"/>
                <w:color w:val="auto"/>
              </w:rPr>
            </w:pPr>
            <w:r>
              <w:rPr>
                <w:rFonts w:ascii="Times New Roman" w:cs="Times New Roman" w:eastAsia="Times New Roman" w:hAnsi="Times New Roman"/>
                <w:sz w:val="20"/>
                <w:szCs w:val="20"/>
                <w:color w:val="auto"/>
              </w:rPr>
              <w:t>Cybersecurity</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28</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2.</w:t>
            </w:r>
          </w:p>
        </w:tc>
        <w:tc>
          <w:tcPr>
            <w:tcW w:w="1120" w:type="dxa"/>
            <w:vAlign w:val="bottom"/>
            <w:tcBorders>
              <w:top w:val="single" w:sz="8" w:color="091E8B"/>
            </w:tcBorders>
            <w:gridSpan w:val="4"/>
          </w:tcPr>
          <w:p>
            <w:pPr>
              <w:spacing w:after="0" w:line="210" w:lineRule="exact"/>
              <w:rPr>
                <w:sz w:val="20"/>
                <w:szCs w:val="20"/>
                <w:color w:val="auto"/>
              </w:rPr>
            </w:pPr>
            <w:r>
              <w:rPr>
                <w:rFonts w:ascii="Times New Roman" w:cs="Times New Roman" w:eastAsia="Times New Roman" w:hAnsi="Times New Roman"/>
                <w:sz w:val="20"/>
                <w:szCs w:val="20"/>
                <w:color w:val="auto"/>
                <w:w w:val="95"/>
              </w:rPr>
              <w:t>Description of</w:t>
            </w:r>
          </w:p>
        </w:tc>
        <w:tc>
          <w:tcPr>
            <w:tcW w:w="8480" w:type="dxa"/>
            <w:vAlign w:val="bottom"/>
            <w:gridSpan w:val="27"/>
          </w:tcPr>
          <w:p>
            <w:pPr>
              <w:ind w:left="80"/>
              <w:spacing w:after="0" w:line="210" w:lineRule="exact"/>
              <w:rPr>
                <w:sz w:val="20"/>
                <w:szCs w:val="20"/>
                <w:color w:val="auto"/>
              </w:rPr>
            </w:pPr>
            <w:r>
              <w:rPr>
                <w:rFonts w:ascii="Times New Roman" w:cs="Times New Roman" w:eastAsia="Times New Roman" w:hAnsi="Times New Roman"/>
                <w:sz w:val="20"/>
                <w:szCs w:val="20"/>
                <w:color w:val="auto"/>
              </w:rPr>
              <w:t>Property</w:t>
            </w: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29</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3.</w:t>
            </w:r>
          </w:p>
        </w:tc>
        <w:tc>
          <w:tcPr>
            <w:tcW w:w="1480" w:type="dxa"/>
            <w:vAlign w:val="bottom"/>
            <w:tcBorders>
              <w:top w:val="single" w:sz="8" w:color="091E8B"/>
              <w:bottom w:val="single" w:sz="8" w:color="091E8B"/>
            </w:tcBorders>
            <w:gridSpan w:val="6"/>
          </w:tcPr>
          <w:p>
            <w:pPr>
              <w:spacing w:after="0" w:line="210" w:lineRule="exact"/>
              <w:rPr>
                <w:sz w:val="20"/>
                <w:szCs w:val="20"/>
                <w:color w:val="auto"/>
              </w:rPr>
            </w:pPr>
            <w:r>
              <w:rPr>
                <w:rFonts w:ascii="Times New Roman" w:cs="Times New Roman" w:eastAsia="Times New Roman" w:hAnsi="Times New Roman"/>
                <w:sz w:val="20"/>
                <w:szCs w:val="20"/>
                <w:color w:val="auto"/>
                <w:w w:val="98"/>
              </w:rPr>
              <w:t>Legal Proceedings</w:t>
            </w:r>
          </w:p>
        </w:tc>
        <w:tc>
          <w:tcPr>
            <w:tcW w:w="400" w:type="dxa"/>
            <w:vAlign w:val="bottom"/>
            <w:tcBorders>
              <w:top w:val="single" w:sz="8" w:color="091E8B"/>
            </w:tcBorders>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29</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4.</w:t>
            </w:r>
          </w:p>
        </w:tc>
        <w:tc>
          <w:tcPr>
            <w:tcW w:w="9600" w:type="dxa"/>
            <w:vAlign w:val="bottom"/>
            <w:gridSpan w:val="31"/>
          </w:tcPr>
          <w:p>
            <w:pPr>
              <w:spacing w:after="0" w:line="210" w:lineRule="exact"/>
              <w:rPr>
                <w:sz w:val="20"/>
                <w:szCs w:val="20"/>
                <w:color w:val="auto"/>
              </w:rPr>
            </w:pPr>
            <w:r>
              <w:rPr>
                <w:rFonts w:ascii="Times New Roman" w:cs="Times New Roman" w:eastAsia="Times New Roman" w:hAnsi="Times New Roman"/>
                <w:sz w:val="20"/>
                <w:szCs w:val="20"/>
                <w:color w:val="auto"/>
              </w:rPr>
              <w:t>Mine Safety Disclosures</w:t>
            </w: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29</w:t>
            </w:r>
          </w:p>
        </w:tc>
        <w:tc>
          <w:tcPr>
            <w:tcW w:w="0" w:type="dxa"/>
            <w:vAlign w:val="bottom"/>
          </w:tcPr>
          <w:p>
            <w:pPr>
              <w:spacing w:after="0"/>
              <w:rPr>
                <w:sz w:val="1"/>
                <w:szCs w:val="1"/>
                <w:color w:val="auto"/>
              </w:rPr>
            </w:pPr>
          </w:p>
        </w:tc>
      </w:tr>
      <w:tr>
        <w:trPr>
          <w:trHeight w:val="440"/>
        </w:trPr>
        <w:tc>
          <w:tcPr>
            <w:tcW w:w="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5.</w:t>
            </w:r>
          </w:p>
        </w:tc>
        <w:tc>
          <w:tcPr>
            <w:tcW w:w="700" w:type="dxa"/>
            <w:vAlign w:val="bottom"/>
            <w:tcBorders>
              <w:top w:val="single" w:sz="8" w:color="091E8B"/>
            </w:tcBorders>
          </w:tcPr>
          <w:p>
            <w:pPr>
              <w:spacing w:after="0"/>
              <w:rPr>
                <w:sz w:val="24"/>
                <w:szCs w:val="24"/>
                <w:color w:val="auto"/>
              </w:rPr>
            </w:pPr>
          </w:p>
        </w:tc>
        <w:tc>
          <w:tcPr>
            <w:tcW w:w="180" w:type="dxa"/>
            <w:vAlign w:val="bottom"/>
            <w:tcBorders>
              <w:top w:val="single" w:sz="8" w:color="091E8B"/>
            </w:tcBorders>
          </w:tcPr>
          <w:p>
            <w:pPr>
              <w:spacing w:after="0"/>
              <w:rPr>
                <w:sz w:val="24"/>
                <w:szCs w:val="24"/>
                <w:color w:val="auto"/>
              </w:rPr>
            </w:pPr>
          </w:p>
        </w:tc>
        <w:tc>
          <w:tcPr>
            <w:tcW w:w="120" w:type="dxa"/>
            <w:vAlign w:val="bottom"/>
            <w:tcBorders>
              <w:top w:val="single" w:sz="8" w:color="091E8B"/>
            </w:tcBorders>
          </w:tcPr>
          <w:p>
            <w:pPr>
              <w:spacing w:after="0"/>
              <w:rPr>
                <w:sz w:val="24"/>
                <w:szCs w:val="24"/>
                <w:color w:val="auto"/>
              </w:rPr>
            </w:pPr>
          </w:p>
        </w:tc>
        <w:tc>
          <w:tcPr>
            <w:tcW w:w="120" w:type="dxa"/>
            <w:vAlign w:val="bottom"/>
            <w:tcBorders>
              <w:top w:val="single" w:sz="8" w:color="091E8B"/>
            </w:tcBorders>
          </w:tcPr>
          <w:p>
            <w:pPr>
              <w:spacing w:after="0"/>
              <w:rPr>
                <w:sz w:val="24"/>
                <w:szCs w:val="24"/>
                <w:color w:val="auto"/>
              </w:rPr>
            </w:pPr>
          </w:p>
        </w:tc>
        <w:tc>
          <w:tcPr>
            <w:tcW w:w="340" w:type="dxa"/>
            <w:vAlign w:val="bottom"/>
            <w:tcBorders>
              <w:top w:val="single" w:sz="8" w:color="091E8B"/>
            </w:tcBorders>
          </w:tcPr>
          <w:p>
            <w:pPr>
              <w:spacing w:after="0"/>
              <w:rPr>
                <w:sz w:val="24"/>
                <w:szCs w:val="24"/>
                <w:color w:val="auto"/>
              </w:rPr>
            </w:pPr>
          </w:p>
        </w:tc>
        <w:tc>
          <w:tcPr>
            <w:tcW w:w="20" w:type="dxa"/>
            <w:vAlign w:val="bottom"/>
            <w:tcBorders>
              <w:top w:val="single" w:sz="8" w:color="091E8B"/>
            </w:tcBorders>
          </w:tcPr>
          <w:p>
            <w:pPr>
              <w:spacing w:after="0"/>
              <w:rPr>
                <w:sz w:val="24"/>
                <w:szCs w:val="24"/>
                <w:color w:val="auto"/>
              </w:rPr>
            </w:pPr>
          </w:p>
        </w:tc>
        <w:tc>
          <w:tcPr>
            <w:tcW w:w="240" w:type="dxa"/>
            <w:vAlign w:val="bottom"/>
            <w:tcBorders>
              <w:top w:val="single" w:sz="8" w:color="091E8B"/>
            </w:tcBorders>
          </w:tcPr>
          <w:p>
            <w:pPr>
              <w:spacing w:after="0"/>
              <w:rPr>
                <w:sz w:val="24"/>
                <w:szCs w:val="24"/>
                <w:color w:val="auto"/>
              </w:rPr>
            </w:pPr>
          </w:p>
        </w:tc>
        <w:tc>
          <w:tcPr>
            <w:tcW w:w="160" w:type="dxa"/>
            <w:vAlign w:val="bottom"/>
            <w:tcBorders>
              <w:top w:val="single" w:sz="8" w:color="091E8B"/>
            </w:tcBorders>
          </w:tcPr>
          <w:p>
            <w:pPr>
              <w:spacing w:after="0"/>
              <w:rPr>
                <w:sz w:val="24"/>
                <w:szCs w:val="24"/>
                <w:color w:val="auto"/>
              </w:rPr>
            </w:pPr>
          </w:p>
        </w:tc>
        <w:tc>
          <w:tcPr>
            <w:tcW w:w="80" w:type="dxa"/>
            <w:vAlign w:val="bottom"/>
            <w:tcBorders>
              <w:top w:val="single" w:sz="8" w:color="091E8B"/>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4"/>
          </w:tcPr>
          <w:p>
            <w:pPr>
              <w:jc w:val="center"/>
              <w:ind w:right="4460"/>
              <w:spacing w:after="0"/>
              <w:rPr>
                <w:sz w:val="20"/>
                <w:szCs w:val="20"/>
                <w:color w:val="auto"/>
              </w:rPr>
            </w:pPr>
            <w:r>
              <w:rPr>
                <w:rFonts w:ascii="Times New Roman" w:cs="Times New Roman" w:eastAsia="Times New Roman" w:hAnsi="Times New Roman"/>
                <w:sz w:val="20"/>
                <w:szCs w:val="20"/>
                <w:b w:val="1"/>
                <w:bCs w:val="1"/>
                <w:color w:val="auto"/>
                <w:w w:val="98"/>
              </w:rPr>
              <w:t>PART II</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c>
          <w:tcPr>
            <w:tcW w:w="0" w:type="dxa"/>
            <w:vAlign w:val="bottom"/>
          </w:tcPr>
          <w:p>
            <w:pPr>
              <w:spacing w:after="0"/>
              <w:rPr>
                <w:sz w:val="1"/>
                <w:szCs w:val="1"/>
                <w:color w:val="auto"/>
              </w:rPr>
            </w:pPr>
          </w:p>
        </w:tc>
      </w:tr>
      <w:tr>
        <w:trPr>
          <w:trHeight w:val="20"/>
        </w:trPr>
        <w:tc>
          <w:tcPr>
            <w:tcW w:w="760" w:type="dxa"/>
            <w:vAlign w:val="bottom"/>
            <w:vMerge w:val="continu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91E8B"/>
          </w:tcPr>
          <w:p>
            <w:pPr>
              <w:spacing w:after="0" w:line="20" w:lineRule="exact"/>
              <w:rPr>
                <w:sz w:val="1"/>
                <w:szCs w:val="1"/>
                <w:color w:val="auto"/>
              </w:rPr>
            </w:pPr>
          </w:p>
        </w:tc>
        <w:tc>
          <w:tcPr>
            <w:tcW w:w="240" w:type="dxa"/>
            <w:vAlign w:val="bottom"/>
            <w:shd w:val="clear" w:color="auto" w:fill="091E8B"/>
          </w:tcPr>
          <w:p>
            <w:pPr>
              <w:spacing w:after="0" w:line="20" w:lineRule="exact"/>
              <w:rPr>
                <w:sz w:val="1"/>
                <w:szCs w:val="1"/>
                <w:color w:val="auto"/>
              </w:rPr>
            </w:pPr>
          </w:p>
        </w:tc>
        <w:tc>
          <w:tcPr>
            <w:tcW w:w="360" w:type="dxa"/>
            <w:vAlign w:val="bottom"/>
            <w:gridSpan w:val="2"/>
            <w:shd w:val="clear" w:color="auto" w:fill="091E8B"/>
          </w:tcPr>
          <w:p>
            <w:pPr>
              <w:spacing w:after="0" w:line="20" w:lineRule="exact"/>
              <w:rPr>
                <w:sz w:val="1"/>
                <w:szCs w:val="1"/>
                <w:color w:val="auto"/>
              </w:rPr>
            </w:pPr>
          </w:p>
        </w:tc>
        <w:tc>
          <w:tcPr>
            <w:tcW w:w="446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color w:val="auto"/>
              </w:rPr>
              <w:t>Matters and Issuer Purchases of Equity Securities</w:t>
            </w: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vMerge w:val="continue"/>
          </w:tcPr>
          <w:p>
            <w:pPr>
              <w:spacing w:after="0"/>
              <w:rPr>
                <w:sz w:val="18"/>
                <w:szCs w:val="18"/>
                <w:color w:val="auto"/>
              </w:rPr>
            </w:pPr>
          </w:p>
        </w:tc>
        <w:tc>
          <w:tcPr>
            <w:tcW w:w="5140" w:type="dxa"/>
            <w:vAlign w:val="bottom"/>
            <w:gridSpan w:val="22"/>
          </w:tcPr>
          <w:p>
            <w:pPr>
              <w:spacing w:after="0" w:line="210" w:lineRule="exact"/>
              <w:rPr>
                <w:sz w:val="20"/>
                <w:szCs w:val="20"/>
                <w:color w:val="auto"/>
              </w:rPr>
            </w:pPr>
            <w:r>
              <w:rPr>
                <w:rFonts w:ascii="Times New Roman" w:cs="Times New Roman" w:eastAsia="Times New Roman" w:hAnsi="Times New Roman"/>
                <w:sz w:val="20"/>
                <w:szCs w:val="20"/>
                <w:color w:val="auto"/>
              </w:rPr>
              <w:t>Market for Registrant’s Common Equity, Related Stockholder</w:t>
            </w:r>
          </w:p>
        </w:tc>
        <w:tc>
          <w:tcPr>
            <w:tcW w:w="4460" w:type="dxa"/>
            <w:vAlign w:val="bottom"/>
            <w:gridSpan w:val="9"/>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6.</w:t>
            </w:r>
          </w:p>
        </w:tc>
        <w:tc>
          <w:tcPr>
            <w:tcW w:w="880" w:type="dxa"/>
            <w:vAlign w:val="bottom"/>
            <w:tcBorders>
              <w:top w:val="single" w:sz="8" w:color="091E8B"/>
              <w:bottom w:val="single" w:sz="8" w:color="091E8B"/>
            </w:tcBorders>
            <w:gridSpan w:val="2"/>
          </w:tcPr>
          <w:p>
            <w:pPr>
              <w:spacing w:after="0" w:line="210" w:lineRule="exact"/>
              <w:rPr>
                <w:sz w:val="20"/>
                <w:szCs w:val="20"/>
                <w:color w:val="auto"/>
              </w:rPr>
            </w:pPr>
            <w:r>
              <w:rPr>
                <w:rFonts w:ascii="Times New Roman" w:cs="Times New Roman" w:eastAsia="Times New Roman" w:hAnsi="Times New Roman"/>
                <w:sz w:val="20"/>
                <w:szCs w:val="20"/>
                <w:color w:val="auto"/>
                <w:w w:val="97"/>
              </w:rPr>
              <w:t>[Reserved]</w:t>
            </w:r>
          </w:p>
        </w:tc>
        <w:tc>
          <w:tcPr>
            <w:tcW w:w="8120" w:type="dxa"/>
            <w:vAlign w:val="bottom"/>
            <w:tcBorders>
              <w:top w:val="single" w:sz="8" w:color="091E8B"/>
            </w:tcBorders>
            <w:gridSpan w:val="28"/>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30</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7.</w:t>
            </w:r>
          </w:p>
        </w:tc>
        <w:tc>
          <w:tcPr>
            <w:tcW w:w="9600" w:type="dxa"/>
            <w:vAlign w:val="bottom"/>
            <w:gridSpan w:val="31"/>
          </w:tcPr>
          <w:p>
            <w:pPr>
              <w:spacing w:after="0" w:line="210" w:lineRule="exact"/>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30</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7A.</w:t>
            </w:r>
          </w:p>
        </w:tc>
        <w:tc>
          <w:tcPr>
            <w:tcW w:w="7180" w:type="dxa"/>
            <w:vAlign w:val="bottom"/>
            <w:tcBorders>
              <w:top w:val="single" w:sz="8" w:color="091E8B"/>
            </w:tcBorders>
            <w:gridSpan w:val="27"/>
          </w:tcPr>
          <w:p>
            <w:pPr>
              <w:spacing w:after="0" w:line="210" w:lineRule="exact"/>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34</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8.</w:t>
            </w:r>
          </w:p>
        </w:tc>
        <w:tc>
          <w:tcPr>
            <w:tcW w:w="4780" w:type="dxa"/>
            <w:vAlign w:val="bottom"/>
            <w:tcBorders>
              <w:top w:val="single" w:sz="8" w:color="091E8B"/>
            </w:tcBorders>
            <w:gridSpan w:val="20"/>
          </w:tcPr>
          <w:p>
            <w:pPr>
              <w:spacing w:after="0" w:line="210" w:lineRule="exact"/>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4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34</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9.</w:t>
            </w:r>
          </w:p>
        </w:tc>
        <w:tc>
          <w:tcPr>
            <w:tcW w:w="3700" w:type="dxa"/>
            <w:vAlign w:val="bottom"/>
            <w:tcBorders>
              <w:top w:val="single" w:sz="8" w:color="091E8B"/>
            </w:tcBorders>
            <w:gridSpan w:val="14"/>
          </w:tcPr>
          <w:p>
            <w:pPr>
              <w:spacing w:after="0" w:line="210" w:lineRule="exact"/>
              <w:rPr>
                <w:sz w:val="20"/>
                <w:szCs w:val="20"/>
                <w:color w:val="auto"/>
              </w:rPr>
            </w:pPr>
            <w:r>
              <w:rPr>
                <w:rFonts w:ascii="Times New Roman" w:cs="Times New Roman" w:eastAsia="Times New Roman" w:hAnsi="Times New Roman"/>
                <w:sz w:val="20"/>
                <w:szCs w:val="20"/>
                <w:color w:val="auto"/>
                <w:w w:val="93"/>
              </w:rPr>
              <w:t>Changes in and Disagreements with Accountants</w:t>
            </w:r>
          </w:p>
        </w:tc>
        <w:tc>
          <w:tcPr>
            <w:tcW w:w="5900" w:type="dxa"/>
            <w:vAlign w:val="bottom"/>
            <w:gridSpan w:val="17"/>
          </w:tcPr>
          <w:p>
            <w:pPr>
              <w:ind w:left="280"/>
              <w:spacing w:after="0" w:line="210" w:lineRule="exact"/>
              <w:rPr>
                <w:sz w:val="20"/>
                <w:szCs w:val="20"/>
                <w:color w:val="auto"/>
              </w:rPr>
            </w:pPr>
            <w:r>
              <w:rPr>
                <w:rFonts w:ascii="Times New Roman" w:cs="Times New Roman" w:eastAsia="Times New Roman" w:hAnsi="Times New Roman"/>
                <w:sz w:val="20"/>
                <w:szCs w:val="20"/>
                <w:color w:val="auto"/>
              </w:rPr>
              <w:t>on Accounting and Financial Disclosure</w:t>
            </w: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34</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9A.</w:t>
            </w:r>
          </w:p>
        </w:tc>
        <w:tc>
          <w:tcPr>
            <w:tcW w:w="7200" w:type="dxa"/>
            <w:vAlign w:val="bottom"/>
            <w:tcBorders>
              <w:top w:val="single" w:sz="8" w:color="091E8B"/>
            </w:tcBorders>
            <w:gridSpan w:val="28"/>
          </w:tcPr>
          <w:p>
            <w:pPr>
              <w:spacing w:after="0" w:line="210" w:lineRule="exact"/>
              <w:rPr>
                <w:sz w:val="20"/>
                <w:szCs w:val="20"/>
                <w:color w:val="auto"/>
              </w:rPr>
            </w:pPr>
            <w:r>
              <w:rPr>
                <w:rFonts w:ascii="Times New Roman" w:cs="Times New Roman" w:eastAsia="Times New Roman" w:hAnsi="Times New Roman"/>
                <w:sz w:val="20"/>
                <w:szCs w:val="20"/>
                <w:color w:val="auto"/>
              </w:rPr>
              <w:t>Controls and Procedures</w:t>
            </w:r>
          </w:p>
        </w:tc>
        <w:tc>
          <w:tcPr>
            <w:tcW w:w="90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34</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9B.</w:t>
            </w:r>
          </w:p>
        </w:tc>
        <w:tc>
          <w:tcPr>
            <w:tcW w:w="1460" w:type="dxa"/>
            <w:vAlign w:val="bottom"/>
            <w:tcBorders>
              <w:top w:val="single" w:sz="8" w:color="091E8B"/>
              <w:bottom w:val="single" w:sz="8" w:color="091E8B"/>
            </w:tcBorders>
            <w:gridSpan w:val="5"/>
          </w:tcPr>
          <w:p>
            <w:pPr>
              <w:spacing w:after="0" w:line="210" w:lineRule="exact"/>
              <w:rPr>
                <w:sz w:val="20"/>
                <w:szCs w:val="20"/>
                <w:color w:val="auto"/>
              </w:rPr>
            </w:pPr>
            <w:r>
              <w:rPr>
                <w:rFonts w:ascii="Times New Roman" w:cs="Times New Roman" w:eastAsia="Times New Roman" w:hAnsi="Times New Roman"/>
                <w:sz w:val="20"/>
                <w:szCs w:val="20"/>
                <w:color w:val="auto"/>
                <w:w w:val="98"/>
              </w:rPr>
              <w:t>Other Information</w:t>
            </w:r>
          </w:p>
        </w:tc>
        <w:tc>
          <w:tcPr>
            <w:tcW w:w="500" w:type="dxa"/>
            <w:vAlign w:val="bottom"/>
            <w:tcBorders>
              <w:top w:val="single" w:sz="8" w:color="091E8B"/>
            </w:tcBorders>
            <w:gridSpan w:val="4"/>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3"/>
          </w:tcPr>
          <w:p>
            <w:pPr>
              <w:spacing w:after="0"/>
              <w:rPr>
                <w:sz w:val="18"/>
                <w:szCs w:val="18"/>
                <w:color w:val="auto"/>
              </w:rPr>
            </w:pPr>
          </w:p>
        </w:tc>
        <w:tc>
          <w:tcPr>
            <w:tcW w:w="6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40" w:type="dxa"/>
            <w:vAlign w:val="bottom"/>
            <w:gridSpan w:val="3"/>
          </w:tcPr>
          <w:p>
            <w:pPr>
              <w:spacing w:after="0"/>
              <w:rPr>
                <w:sz w:val="18"/>
                <w:szCs w:val="18"/>
                <w:color w:val="auto"/>
              </w:rPr>
            </w:pPr>
          </w:p>
        </w:tc>
        <w:tc>
          <w:tcPr>
            <w:tcW w:w="1500" w:type="dxa"/>
            <w:vAlign w:val="bottom"/>
            <w:gridSpan w:val="2"/>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35</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9C.</w:t>
            </w:r>
          </w:p>
        </w:tc>
        <w:tc>
          <w:tcPr>
            <w:tcW w:w="5440" w:type="dxa"/>
            <w:vAlign w:val="bottom"/>
            <w:tcBorders>
              <w:bottom w:val="single" w:sz="8" w:color="091E8B"/>
            </w:tcBorders>
            <w:gridSpan w:val="25"/>
          </w:tcPr>
          <w:p>
            <w:pPr>
              <w:spacing w:after="0" w:line="210" w:lineRule="exact"/>
              <w:rPr>
                <w:sz w:val="20"/>
                <w:szCs w:val="20"/>
                <w:color w:val="auto"/>
              </w:rPr>
            </w:pPr>
            <w:r>
              <w:rPr>
                <w:rFonts w:ascii="Times New Roman" w:cs="Times New Roman" w:eastAsia="Times New Roman" w:hAnsi="Times New Roman"/>
                <w:sz w:val="20"/>
                <w:szCs w:val="20"/>
                <w:color w:val="auto"/>
                <w:w w:val="99"/>
              </w:rPr>
              <w:t>Disclosure Regarding Foreign Jurisdictions that Prevent Inspections</w:t>
            </w:r>
          </w:p>
        </w:tc>
        <w:tc>
          <w:tcPr>
            <w:tcW w:w="4160" w:type="dxa"/>
            <w:vAlign w:val="bottom"/>
            <w:gridSpan w:val="6"/>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35</w:t>
            </w:r>
          </w:p>
        </w:tc>
        <w:tc>
          <w:tcPr>
            <w:tcW w:w="0" w:type="dxa"/>
            <w:vAlign w:val="bottom"/>
          </w:tcPr>
          <w:p>
            <w:pPr>
              <w:spacing w:after="0"/>
              <w:rPr>
                <w:sz w:val="1"/>
                <w:szCs w:val="1"/>
                <w:color w:val="auto"/>
              </w:rPr>
            </w:pPr>
          </w:p>
        </w:tc>
      </w:tr>
      <w:tr>
        <w:trPr>
          <w:trHeight w:val="440"/>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40" w:type="dxa"/>
            <w:vAlign w:val="bottom"/>
            <w:gridSpan w:val="16"/>
          </w:tcPr>
          <w:p>
            <w:pPr>
              <w:jc w:val="center"/>
              <w:ind w:right="4420"/>
              <w:spacing w:after="0"/>
              <w:rPr>
                <w:sz w:val="20"/>
                <w:szCs w:val="20"/>
                <w:color w:val="auto"/>
              </w:rPr>
            </w:pPr>
            <w:r>
              <w:rPr>
                <w:rFonts w:ascii="Times New Roman" w:cs="Times New Roman" w:eastAsia="Times New Roman" w:hAnsi="Times New Roman"/>
                <w:sz w:val="20"/>
                <w:szCs w:val="20"/>
                <w:b w:val="1"/>
                <w:bCs w:val="1"/>
                <w:color w:val="auto"/>
                <w:w w:val="98"/>
              </w:rPr>
              <w:t>PART III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10.</w:t>
            </w:r>
          </w:p>
        </w:tc>
        <w:tc>
          <w:tcPr>
            <w:tcW w:w="4360" w:type="dxa"/>
            <w:vAlign w:val="bottom"/>
            <w:tcBorders>
              <w:bottom w:val="single" w:sz="8" w:color="091E8B"/>
            </w:tcBorders>
            <w:gridSpan w:val="15"/>
          </w:tcPr>
          <w:p>
            <w:pPr>
              <w:spacing w:after="0" w:line="210" w:lineRule="exact"/>
              <w:rPr>
                <w:sz w:val="20"/>
                <w:szCs w:val="20"/>
                <w:color w:val="auto"/>
              </w:rPr>
            </w:pPr>
            <w:r>
              <w:rPr>
                <w:rFonts w:ascii="Times New Roman" w:cs="Times New Roman" w:eastAsia="Times New Roman" w:hAnsi="Times New Roman"/>
                <w:sz w:val="20"/>
                <w:szCs w:val="20"/>
                <w:color w:val="auto"/>
                <w:w w:val="95"/>
              </w:rPr>
              <w:t>Directors, Executive Officers and Corporate Governance</w:t>
            </w:r>
          </w:p>
        </w:tc>
        <w:tc>
          <w:tcPr>
            <w:tcW w:w="20" w:type="dxa"/>
            <w:vAlign w:val="bottom"/>
            <w:tcBorders>
              <w:top w:val="single" w:sz="8" w:color="091E8B"/>
              <w:bottom w:val="single" w:sz="8" w:color="091E8B"/>
            </w:tcBorders>
          </w:tcPr>
          <w:p>
            <w:pPr>
              <w:spacing w:after="0"/>
              <w:rPr>
                <w:sz w:val="18"/>
                <w:szCs w:val="18"/>
                <w:color w:val="auto"/>
              </w:rPr>
            </w:pPr>
          </w:p>
        </w:tc>
        <w:tc>
          <w:tcPr>
            <w:tcW w:w="160" w:type="dxa"/>
            <w:vAlign w:val="bottom"/>
            <w:tcBorders>
              <w:top w:val="single" w:sz="8" w:color="091E8B"/>
              <w:bottom w:val="single" w:sz="8" w:color="091E8B"/>
            </w:tcBorders>
            <w:gridSpan w:val="3"/>
          </w:tcPr>
          <w:p>
            <w:pPr>
              <w:spacing w:after="0"/>
              <w:rPr>
                <w:sz w:val="18"/>
                <w:szCs w:val="18"/>
                <w:color w:val="auto"/>
              </w:rPr>
            </w:pPr>
          </w:p>
        </w:tc>
        <w:tc>
          <w:tcPr>
            <w:tcW w:w="640" w:type="dxa"/>
            <w:vAlign w:val="bottom"/>
            <w:tcBorders>
              <w:top w:val="single" w:sz="8" w:color="091E8B"/>
            </w:tcBorders>
            <w:gridSpan w:val="4"/>
          </w:tcPr>
          <w:p>
            <w:pPr>
              <w:spacing w:after="0"/>
              <w:rPr>
                <w:sz w:val="18"/>
                <w:szCs w:val="18"/>
                <w:color w:val="auto"/>
              </w:rPr>
            </w:pPr>
          </w:p>
        </w:tc>
        <w:tc>
          <w:tcPr>
            <w:tcW w:w="20" w:type="dxa"/>
            <w:vAlign w:val="bottom"/>
            <w:tcBorders>
              <w:top w:val="single" w:sz="8" w:color="091E8B"/>
            </w:tcBorders>
          </w:tcPr>
          <w:p>
            <w:pPr>
              <w:spacing w:after="0"/>
              <w:rPr>
                <w:sz w:val="18"/>
                <w:szCs w:val="18"/>
                <w:color w:val="auto"/>
              </w:rPr>
            </w:pPr>
          </w:p>
        </w:tc>
        <w:tc>
          <w:tcPr>
            <w:tcW w:w="860" w:type="dxa"/>
            <w:vAlign w:val="bottom"/>
            <w:gridSpan w:val="2"/>
          </w:tcPr>
          <w:p>
            <w:pPr>
              <w:spacing w:after="0"/>
              <w:rPr>
                <w:sz w:val="18"/>
                <w:szCs w:val="18"/>
                <w:color w:val="auto"/>
              </w:rPr>
            </w:pPr>
          </w:p>
        </w:tc>
        <w:tc>
          <w:tcPr>
            <w:tcW w:w="2040" w:type="dxa"/>
            <w:vAlign w:val="bottom"/>
            <w:gridSpan w:val="3"/>
          </w:tcPr>
          <w:p>
            <w:pPr>
              <w:spacing w:after="0"/>
              <w:rPr>
                <w:sz w:val="18"/>
                <w:szCs w:val="18"/>
                <w:color w:val="auto"/>
              </w:rPr>
            </w:pPr>
          </w:p>
        </w:tc>
        <w:tc>
          <w:tcPr>
            <w:tcW w:w="1500" w:type="dxa"/>
            <w:vAlign w:val="bottom"/>
            <w:gridSpan w:val="2"/>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35</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11.</w:t>
            </w:r>
          </w:p>
        </w:tc>
        <w:tc>
          <w:tcPr>
            <w:tcW w:w="4540" w:type="dxa"/>
            <w:vAlign w:val="bottom"/>
            <w:gridSpan w:val="19"/>
          </w:tcPr>
          <w:p>
            <w:pPr>
              <w:spacing w:after="0" w:line="210" w:lineRule="exact"/>
              <w:rPr>
                <w:sz w:val="20"/>
                <w:szCs w:val="20"/>
                <w:color w:val="auto"/>
              </w:rPr>
            </w:pPr>
            <w:r>
              <w:rPr>
                <w:rFonts w:ascii="Times New Roman" w:cs="Times New Roman" w:eastAsia="Times New Roman" w:hAnsi="Times New Roman"/>
                <w:sz w:val="20"/>
                <w:szCs w:val="20"/>
                <w:color w:val="auto"/>
              </w:rPr>
              <w:t>Executive Compensation</w:t>
            </w:r>
          </w:p>
        </w:tc>
        <w:tc>
          <w:tcPr>
            <w:tcW w:w="640" w:type="dxa"/>
            <w:vAlign w:val="bottom"/>
            <w:gridSpan w:val="4"/>
          </w:tcPr>
          <w:p>
            <w:pPr>
              <w:spacing w:after="0"/>
              <w:rPr>
                <w:sz w:val="18"/>
                <w:szCs w:val="18"/>
                <w:color w:val="auto"/>
              </w:rPr>
            </w:pPr>
          </w:p>
        </w:tc>
        <w:tc>
          <w:tcPr>
            <w:tcW w:w="880" w:type="dxa"/>
            <w:vAlign w:val="bottom"/>
            <w:gridSpan w:val="3"/>
          </w:tcPr>
          <w:p>
            <w:pPr>
              <w:spacing w:after="0"/>
              <w:rPr>
                <w:sz w:val="18"/>
                <w:szCs w:val="18"/>
                <w:color w:val="auto"/>
              </w:rPr>
            </w:pPr>
          </w:p>
        </w:tc>
        <w:tc>
          <w:tcPr>
            <w:tcW w:w="2040" w:type="dxa"/>
            <w:vAlign w:val="bottom"/>
            <w:gridSpan w:val="3"/>
          </w:tcPr>
          <w:p>
            <w:pPr>
              <w:spacing w:after="0"/>
              <w:rPr>
                <w:sz w:val="18"/>
                <w:szCs w:val="18"/>
                <w:color w:val="auto"/>
              </w:rPr>
            </w:pPr>
          </w:p>
        </w:tc>
        <w:tc>
          <w:tcPr>
            <w:tcW w:w="1500" w:type="dxa"/>
            <w:vAlign w:val="bottom"/>
            <w:gridSpan w:val="2"/>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40</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12.</w:t>
            </w:r>
          </w:p>
        </w:tc>
        <w:tc>
          <w:tcPr>
            <w:tcW w:w="2000" w:type="dxa"/>
            <w:vAlign w:val="bottom"/>
            <w:tcBorders>
              <w:top w:val="single" w:sz="8" w:color="091E8B"/>
            </w:tcBorders>
            <w:gridSpan w:val="10"/>
          </w:tcPr>
          <w:p>
            <w:pPr>
              <w:spacing w:after="0" w:line="210" w:lineRule="exact"/>
              <w:rPr>
                <w:sz w:val="20"/>
                <w:szCs w:val="20"/>
                <w:color w:val="auto"/>
              </w:rPr>
            </w:pPr>
            <w:r>
              <w:rPr>
                <w:rFonts w:ascii="Times New Roman" w:cs="Times New Roman" w:eastAsia="Times New Roman" w:hAnsi="Times New Roman"/>
                <w:sz w:val="20"/>
                <w:szCs w:val="20"/>
                <w:color w:val="auto"/>
              </w:rPr>
              <w:t>Security Ownership of</w:t>
            </w:r>
          </w:p>
        </w:tc>
        <w:tc>
          <w:tcPr>
            <w:tcW w:w="7600" w:type="dxa"/>
            <w:vAlign w:val="bottom"/>
            <w:gridSpan w:val="21"/>
          </w:tcPr>
          <w:p>
            <w:pPr>
              <w:spacing w:after="0" w:line="210" w:lineRule="exact"/>
              <w:rPr>
                <w:sz w:val="20"/>
                <w:szCs w:val="20"/>
                <w:color w:val="auto"/>
              </w:rPr>
            </w:pPr>
            <w:r>
              <w:rPr>
                <w:rFonts w:ascii="Times New Roman" w:cs="Times New Roman" w:eastAsia="Times New Roman" w:hAnsi="Times New Roman"/>
                <w:sz w:val="20"/>
                <w:szCs w:val="20"/>
                <w:color w:val="auto"/>
              </w:rPr>
              <w:t>Certain Beneficial Owners and Management and Related Stockholder Matters</w:t>
            </w: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45</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13.</w:t>
            </w:r>
          </w:p>
        </w:tc>
        <w:tc>
          <w:tcPr>
            <w:tcW w:w="8100" w:type="dxa"/>
            <w:vAlign w:val="bottom"/>
            <w:tcBorders>
              <w:top w:val="single" w:sz="8" w:color="091E8B"/>
            </w:tcBorders>
            <w:gridSpan w:val="29"/>
          </w:tcPr>
          <w:p>
            <w:pPr>
              <w:spacing w:after="0" w:line="210" w:lineRule="exact"/>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1500" w:type="dxa"/>
            <w:vAlign w:val="bottom"/>
            <w:gridSpan w:val="2"/>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46</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14.</w:t>
            </w:r>
          </w:p>
        </w:tc>
        <w:tc>
          <w:tcPr>
            <w:tcW w:w="6060" w:type="dxa"/>
            <w:vAlign w:val="bottom"/>
            <w:tcBorders>
              <w:top w:val="single" w:sz="8" w:color="091E8B"/>
            </w:tcBorders>
            <w:gridSpan w:val="26"/>
          </w:tcPr>
          <w:p>
            <w:pPr>
              <w:spacing w:after="0" w:line="210" w:lineRule="exact"/>
              <w:rPr>
                <w:sz w:val="20"/>
                <w:szCs w:val="20"/>
                <w:color w:val="auto"/>
              </w:rPr>
            </w:pPr>
            <w:r>
              <w:rPr>
                <w:rFonts w:ascii="Times New Roman" w:cs="Times New Roman" w:eastAsia="Times New Roman" w:hAnsi="Times New Roman"/>
                <w:sz w:val="20"/>
                <w:szCs w:val="20"/>
                <w:color w:val="auto"/>
              </w:rPr>
              <w:t>Principal Accountant Fees and Services</w:t>
            </w:r>
          </w:p>
        </w:tc>
        <w:tc>
          <w:tcPr>
            <w:tcW w:w="3540" w:type="dxa"/>
            <w:vAlign w:val="bottom"/>
            <w:gridSpan w:val="5"/>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46</w:t>
            </w:r>
          </w:p>
        </w:tc>
        <w:tc>
          <w:tcPr>
            <w:tcW w:w="0" w:type="dxa"/>
            <w:vAlign w:val="bottom"/>
          </w:tcPr>
          <w:p>
            <w:pPr>
              <w:spacing w:after="0"/>
              <w:rPr>
                <w:sz w:val="1"/>
                <w:szCs w:val="1"/>
                <w:color w:val="auto"/>
              </w:rPr>
            </w:pPr>
          </w:p>
        </w:tc>
      </w:tr>
      <w:tr>
        <w:trPr>
          <w:trHeight w:val="440"/>
        </w:trPr>
        <w:tc>
          <w:tcPr>
            <w:tcW w:w="760" w:type="dxa"/>
            <w:vAlign w:val="bottom"/>
          </w:tcPr>
          <w:p>
            <w:pPr>
              <w:spacing w:after="0"/>
              <w:rPr>
                <w:sz w:val="24"/>
                <w:szCs w:val="24"/>
                <w:color w:val="auto"/>
              </w:rPr>
            </w:pPr>
          </w:p>
        </w:tc>
        <w:tc>
          <w:tcPr>
            <w:tcW w:w="700" w:type="dxa"/>
            <w:vAlign w:val="bottom"/>
            <w:tcBorders>
              <w:top w:val="single" w:sz="8" w:color="091E8B"/>
            </w:tcBorders>
          </w:tcPr>
          <w:p>
            <w:pPr>
              <w:spacing w:after="0"/>
              <w:rPr>
                <w:sz w:val="24"/>
                <w:szCs w:val="24"/>
                <w:color w:val="auto"/>
              </w:rPr>
            </w:pPr>
          </w:p>
        </w:tc>
        <w:tc>
          <w:tcPr>
            <w:tcW w:w="180" w:type="dxa"/>
            <w:vAlign w:val="bottom"/>
            <w:tcBorders>
              <w:top w:val="single" w:sz="8" w:color="091E8B"/>
            </w:tcBorders>
          </w:tcPr>
          <w:p>
            <w:pPr>
              <w:spacing w:after="0"/>
              <w:rPr>
                <w:sz w:val="24"/>
                <w:szCs w:val="24"/>
                <w:color w:val="auto"/>
              </w:rPr>
            </w:pPr>
          </w:p>
        </w:tc>
        <w:tc>
          <w:tcPr>
            <w:tcW w:w="120" w:type="dxa"/>
            <w:vAlign w:val="bottom"/>
            <w:tcBorders>
              <w:top w:val="single" w:sz="8" w:color="091E8B"/>
            </w:tcBorders>
          </w:tcPr>
          <w:p>
            <w:pPr>
              <w:spacing w:after="0"/>
              <w:rPr>
                <w:sz w:val="24"/>
                <w:szCs w:val="24"/>
                <w:color w:val="auto"/>
              </w:rPr>
            </w:pPr>
          </w:p>
        </w:tc>
        <w:tc>
          <w:tcPr>
            <w:tcW w:w="120" w:type="dxa"/>
            <w:vAlign w:val="bottom"/>
            <w:tcBorders>
              <w:top w:val="single" w:sz="8" w:color="091E8B"/>
            </w:tcBorders>
          </w:tcPr>
          <w:p>
            <w:pPr>
              <w:spacing w:after="0"/>
              <w:rPr>
                <w:sz w:val="24"/>
                <w:szCs w:val="24"/>
                <w:color w:val="auto"/>
              </w:rPr>
            </w:pPr>
          </w:p>
        </w:tc>
        <w:tc>
          <w:tcPr>
            <w:tcW w:w="340" w:type="dxa"/>
            <w:vAlign w:val="bottom"/>
            <w:tcBorders>
              <w:top w:val="single" w:sz="8" w:color="091E8B"/>
            </w:tcBorders>
          </w:tcPr>
          <w:p>
            <w:pPr>
              <w:spacing w:after="0"/>
              <w:rPr>
                <w:sz w:val="24"/>
                <w:szCs w:val="24"/>
                <w:color w:val="auto"/>
              </w:rPr>
            </w:pPr>
          </w:p>
        </w:tc>
        <w:tc>
          <w:tcPr>
            <w:tcW w:w="20" w:type="dxa"/>
            <w:vAlign w:val="bottom"/>
            <w:tcBorders>
              <w:top w:val="single" w:sz="8" w:color="091E8B"/>
            </w:tcBorders>
          </w:tcPr>
          <w:p>
            <w:pPr>
              <w:spacing w:after="0"/>
              <w:rPr>
                <w:sz w:val="24"/>
                <w:szCs w:val="24"/>
                <w:color w:val="auto"/>
              </w:rPr>
            </w:pPr>
          </w:p>
        </w:tc>
        <w:tc>
          <w:tcPr>
            <w:tcW w:w="240" w:type="dxa"/>
            <w:vAlign w:val="bottom"/>
            <w:tcBorders>
              <w:top w:val="single" w:sz="8" w:color="091E8B"/>
            </w:tcBorders>
          </w:tcPr>
          <w:p>
            <w:pPr>
              <w:spacing w:after="0"/>
              <w:rPr>
                <w:sz w:val="24"/>
                <w:szCs w:val="24"/>
                <w:color w:val="auto"/>
              </w:rPr>
            </w:pPr>
          </w:p>
        </w:tc>
        <w:tc>
          <w:tcPr>
            <w:tcW w:w="160" w:type="dxa"/>
            <w:vAlign w:val="bottom"/>
            <w:tcBorders>
              <w:top w:val="single" w:sz="8" w:color="091E8B"/>
            </w:tcBorders>
          </w:tcPr>
          <w:p>
            <w:pPr>
              <w:spacing w:after="0"/>
              <w:rPr>
                <w:sz w:val="24"/>
                <w:szCs w:val="24"/>
                <w:color w:val="auto"/>
              </w:rPr>
            </w:pPr>
          </w:p>
        </w:tc>
        <w:tc>
          <w:tcPr>
            <w:tcW w:w="80" w:type="dxa"/>
            <w:vAlign w:val="bottom"/>
            <w:tcBorders>
              <w:top w:val="single" w:sz="8" w:color="091E8B"/>
            </w:tcBorders>
          </w:tcPr>
          <w:p>
            <w:pPr>
              <w:spacing w:after="0"/>
              <w:rPr>
                <w:sz w:val="24"/>
                <w:szCs w:val="24"/>
                <w:color w:val="auto"/>
              </w:rPr>
            </w:pPr>
          </w:p>
        </w:tc>
        <w:tc>
          <w:tcPr>
            <w:tcW w:w="40" w:type="dxa"/>
            <w:vAlign w:val="bottom"/>
            <w:tcBorders>
              <w:top w:val="single" w:sz="8" w:color="091E8B"/>
            </w:tcBorders>
          </w:tcPr>
          <w:p>
            <w:pPr>
              <w:spacing w:after="0"/>
              <w:rPr>
                <w:sz w:val="24"/>
                <w:szCs w:val="24"/>
                <w:color w:val="auto"/>
              </w:rPr>
            </w:pPr>
          </w:p>
        </w:tc>
        <w:tc>
          <w:tcPr>
            <w:tcW w:w="280" w:type="dxa"/>
            <w:vAlign w:val="bottom"/>
            <w:tcBorders>
              <w:top w:val="single" w:sz="8" w:color="091E8B"/>
            </w:tcBorders>
          </w:tcPr>
          <w:p>
            <w:pPr>
              <w:spacing w:after="0"/>
              <w:rPr>
                <w:sz w:val="24"/>
                <w:szCs w:val="24"/>
                <w:color w:val="auto"/>
              </w:rPr>
            </w:pPr>
          </w:p>
        </w:tc>
        <w:tc>
          <w:tcPr>
            <w:tcW w:w="900" w:type="dxa"/>
            <w:vAlign w:val="bottom"/>
            <w:tcBorders>
              <w:top w:val="single" w:sz="8" w:color="091E8B"/>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40" w:type="dxa"/>
            <w:vAlign w:val="bottom"/>
            <w:gridSpan w:val="16"/>
          </w:tcPr>
          <w:p>
            <w:pPr>
              <w:jc w:val="center"/>
              <w:ind w:right="442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15.</w:t>
            </w:r>
          </w:p>
        </w:tc>
        <w:tc>
          <w:tcPr>
            <w:tcW w:w="4380" w:type="dxa"/>
            <w:vAlign w:val="bottom"/>
            <w:gridSpan w:val="16"/>
          </w:tcPr>
          <w:p>
            <w:pPr>
              <w:spacing w:after="0" w:line="210" w:lineRule="exact"/>
              <w:rPr>
                <w:sz w:val="20"/>
                <w:szCs w:val="20"/>
                <w:color w:val="auto"/>
              </w:rPr>
            </w:pPr>
            <w:r>
              <w:rPr>
                <w:rFonts w:ascii="Times New Roman" w:cs="Times New Roman" w:eastAsia="Times New Roman" w:hAnsi="Times New Roman"/>
                <w:sz w:val="20"/>
                <w:szCs w:val="20"/>
                <w:color w:val="auto"/>
              </w:rPr>
              <w:t>Exhibits and Financial Statement Schedules</w:t>
            </w:r>
          </w:p>
        </w:tc>
        <w:tc>
          <w:tcPr>
            <w:tcW w:w="800" w:type="dxa"/>
            <w:vAlign w:val="bottom"/>
            <w:tcBorders>
              <w:top w:val="single" w:sz="8" w:color="091E8B"/>
            </w:tcBorders>
            <w:gridSpan w:val="7"/>
          </w:tcPr>
          <w:p>
            <w:pPr>
              <w:spacing w:after="0"/>
              <w:rPr>
                <w:sz w:val="18"/>
                <w:szCs w:val="18"/>
                <w:color w:val="auto"/>
              </w:rPr>
            </w:pPr>
          </w:p>
        </w:tc>
        <w:tc>
          <w:tcPr>
            <w:tcW w:w="4420" w:type="dxa"/>
            <w:vAlign w:val="bottom"/>
            <w:gridSpan w:val="8"/>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47</w:t>
            </w:r>
          </w:p>
        </w:tc>
        <w:tc>
          <w:tcPr>
            <w:tcW w:w="0" w:type="dxa"/>
            <w:vAlign w:val="bottom"/>
          </w:tcPr>
          <w:p>
            <w:pPr>
              <w:spacing w:after="0"/>
              <w:rPr>
                <w:sz w:val="1"/>
                <w:szCs w:val="1"/>
                <w:color w:val="auto"/>
              </w:rPr>
            </w:pPr>
          </w:p>
        </w:tc>
      </w:tr>
      <w:tr>
        <w:trPr>
          <w:trHeight w:val="210"/>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Item 16</w:t>
            </w:r>
          </w:p>
        </w:tc>
        <w:tc>
          <w:tcPr>
            <w:tcW w:w="1720" w:type="dxa"/>
            <w:vAlign w:val="bottom"/>
            <w:tcBorders>
              <w:top w:val="single" w:sz="8" w:color="091E8B"/>
              <w:bottom w:val="single" w:sz="8" w:color="091E8B"/>
            </w:tcBorders>
            <w:gridSpan w:val="7"/>
          </w:tcPr>
          <w:p>
            <w:pPr>
              <w:spacing w:after="0" w:line="210" w:lineRule="exact"/>
              <w:rPr>
                <w:sz w:val="20"/>
                <w:szCs w:val="20"/>
                <w:color w:val="auto"/>
              </w:rPr>
            </w:pPr>
            <w:r>
              <w:rPr>
                <w:rFonts w:ascii="Times New Roman" w:cs="Times New Roman" w:eastAsia="Times New Roman" w:hAnsi="Times New Roman"/>
                <w:sz w:val="20"/>
                <w:szCs w:val="20"/>
                <w:color w:val="auto"/>
                <w:w w:val="98"/>
              </w:rPr>
              <w:t>Form 10-K Summary</w:t>
            </w:r>
          </w:p>
        </w:tc>
        <w:tc>
          <w:tcPr>
            <w:tcW w:w="1780" w:type="dxa"/>
            <w:vAlign w:val="bottom"/>
            <w:tcBorders>
              <w:top w:val="single" w:sz="8" w:color="091E8B"/>
            </w:tcBorders>
            <w:gridSpan w:val="6"/>
          </w:tcPr>
          <w:p>
            <w:pPr>
              <w:spacing w:after="0"/>
              <w:rPr>
                <w:sz w:val="18"/>
                <w:szCs w:val="18"/>
                <w:color w:val="auto"/>
              </w:rPr>
            </w:pPr>
          </w:p>
        </w:tc>
        <w:tc>
          <w:tcPr>
            <w:tcW w:w="6100" w:type="dxa"/>
            <w:vAlign w:val="bottom"/>
            <w:gridSpan w:val="18"/>
          </w:tcPr>
          <w:p>
            <w:pPr>
              <w:spacing w:after="0"/>
              <w:rPr>
                <w:sz w:val="18"/>
                <w:szCs w:val="18"/>
                <w:color w:val="auto"/>
              </w:rPr>
            </w:pPr>
          </w:p>
        </w:tc>
        <w:tc>
          <w:tcPr>
            <w:tcW w:w="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26" w:right="720" w:bottom="4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i</w:t>
      </w:r>
    </w:p>
    <w:p>
      <w:pPr>
        <w:sectPr>
          <w:pgSz w:w="12240" w:h="15840" w:orient="portrait"/>
          <w:cols w:equalWidth="0" w:num="1">
            <w:col w:w="10800"/>
          </w:cols>
          <w:pgMar w:left="720" w:top="926" w:right="720" w:bottom="455"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NOTE REGARDING REFERENCES TO OUR COMPANY</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Throughout this Form 10-K, the words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 owned subsidiary of the Company on November 28, 2016. The capitalized term “Merger” refers to the November 28, 2016 merger of C&amp;RD Israel Ltd, a then wholly owned subsidiary of the Company, with and into Microbot Israel, with Microbot Israel surviving as a wholly owned subsidiary of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is a summary of the principal risks that could adversely affect our business, operations, and financial results. A more thorough discussion of these and other risks are listed under the section entitled “Risk Factors” commencing on page 13.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Relating to Microbot’s Financial Position and Need for Additional Capital</w:t>
      </w:r>
    </w:p>
    <w:p>
      <w:pPr>
        <w:spacing w:after="0" w:line="134" w:lineRule="exact"/>
        <w:rPr>
          <w:sz w:val="20"/>
          <w:szCs w:val="20"/>
          <w:color w:val="auto"/>
        </w:rPr>
      </w:pPr>
    </w:p>
    <w:p>
      <w:pPr>
        <w:ind w:left="720" w:hanging="360"/>
        <w:spacing w:after="0"/>
        <w:tabs>
          <w:tab w:leader="none" w:pos="72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There is substantial doubt regarding our ability to continue as a going concern.</w:t>
      </w:r>
    </w:p>
    <w:p>
      <w:pPr>
        <w:spacing w:after="0" w:line="121" w:lineRule="exact"/>
        <w:rPr>
          <w:rFonts w:ascii="PMingLiU" w:cs="PMingLiU" w:eastAsia="PMingLiU" w:hAnsi="PMingLiU"/>
          <w:sz w:val="20"/>
          <w:szCs w:val="20"/>
          <w:color w:val="auto"/>
        </w:rPr>
      </w:pPr>
    </w:p>
    <w:p>
      <w:pPr>
        <w:jc w:val="both"/>
        <w:ind w:left="720" w:hanging="360"/>
        <w:spacing w:after="0" w:line="251" w:lineRule="auto"/>
        <w:tabs>
          <w:tab w:leader="none" w:pos="72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88"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 has a limited operating history outside of being a research and development-stage company, which may make it difficult to evaluate the prospects for the Company’s future viability.</w:t>
      </w:r>
    </w:p>
    <w:p>
      <w:pPr>
        <w:spacing w:after="0" w:line="75"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 will need additional funding. If Microbot is unable to raise capital when needed, it could be forced to delay, reduce or eliminate its product development programs or commercialization efforts.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Relating to the Development and Commercialization of Microbot’s Product Candidates</w:t>
      </w:r>
    </w:p>
    <w:p>
      <w:pPr>
        <w:spacing w:after="0" w:line="134" w:lineRule="exact"/>
        <w:rPr>
          <w:sz w:val="20"/>
          <w:szCs w:val="20"/>
          <w:color w:val="auto"/>
        </w:rPr>
      </w:pPr>
    </w:p>
    <w:p>
      <w:pPr>
        <w:ind w:left="720" w:hanging="360"/>
        <w:spacing w:after="0" w:line="263" w:lineRule="auto"/>
        <w:tabs>
          <w:tab w:leader="none" w:pos="72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Unsuccessful animal studies, clinical trials or procedures relating to product candidates under development could have a material adverse effect on Microbot’s prospects.</w:t>
      </w:r>
    </w:p>
    <w:p>
      <w:pPr>
        <w:spacing w:after="0" w:line="73" w:lineRule="exact"/>
        <w:rPr>
          <w:rFonts w:ascii="PMingLiU" w:cs="PMingLiU" w:eastAsia="PMingLiU" w:hAnsi="PMingLiU"/>
          <w:sz w:val="20"/>
          <w:szCs w:val="20"/>
          <w:color w:val="auto"/>
        </w:rPr>
      </w:pPr>
    </w:p>
    <w:p>
      <w:pPr>
        <w:jc w:val="both"/>
        <w:ind w:left="720" w:hanging="360"/>
        <w:spacing w:after="0" w:line="205" w:lineRule="auto"/>
        <w:tabs>
          <w:tab w:leader="none" w:pos="72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Microbot’s business depends heavily on the success of its sole lead product candidate,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If Microbot is unable to commercialize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or experiences significant delays in doing so, Microbot’s business will be materially harmed.</w:t>
      </w:r>
    </w:p>
    <w:p>
      <w:pPr>
        <w:spacing w:after="0" w:line="10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results of Microbot’s research and development efforts are uncertain and there can be no assurance of the commercial success of Microbot’s product candidates.</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 may not meet its development and commercialization objectives in a timely manner or at all.</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Microbot’s ability to expand its technology platforms for other uses may be limited.</w:t>
      </w:r>
    </w:p>
    <w:p>
      <w:pPr>
        <w:spacing w:after="0" w:line="121" w:lineRule="exact"/>
        <w:rPr>
          <w:rFonts w:ascii="PMingLiU" w:cs="PMingLiU" w:eastAsia="PMingLiU" w:hAnsi="PMingLiU"/>
          <w:sz w:val="20"/>
          <w:szCs w:val="20"/>
          <w:color w:val="auto"/>
        </w:rPr>
      </w:pPr>
    </w:p>
    <w:p>
      <w:pPr>
        <w:jc w:val="both"/>
        <w:ind w:left="720" w:hanging="360"/>
        <w:spacing w:after="0" w:line="223" w:lineRule="auto"/>
        <w:tabs>
          <w:tab w:leader="none" w:pos="72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At this time, Microbot does not know the extent of the clinical trial that the FDA will require it to submit in support of its future marketing applications for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which creates uncertainty for Microbot as well as the possibility of increased product development costs and time to market.</w:t>
      </w:r>
    </w:p>
    <w:p>
      <w:pPr>
        <w:spacing w:after="0" w:line="98" w:lineRule="exact"/>
        <w:rPr>
          <w:rFonts w:ascii="PMingLiU" w:cs="PMingLiU" w:eastAsia="PMingLiU" w:hAnsi="PMingLiU"/>
          <w:sz w:val="20"/>
          <w:szCs w:val="20"/>
          <w:color w:val="auto"/>
        </w:rPr>
      </w:pPr>
    </w:p>
    <w:p>
      <w:pPr>
        <w:ind w:left="720" w:hanging="360"/>
        <w:spacing w:after="0" w:line="217" w:lineRule="auto"/>
        <w:tabs>
          <w:tab w:leader="none" w:pos="72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Microbot’s technology acquired from CardioSert and part of its One &amp; Done</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feature is subject to a buy-back clause which was triggered, thus causing us to lose rights to the technology.</w:t>
      </w:r>
    </w:p>
    <w:p>
      <w:pPr>
        <w:spacing w:after="0" w:line="98" w:lineRule="exact"/>
        <w:rPr>
          <w:rFonts w:ascii="PMingLiU" w:cs="PMingLiU" w:eastAsia="PMingLiU" w:hAnsi="PMingLiU"/>
          <w:sz w:val="20"/>
          <w:szCs w:val="20"/>
          <w:color w:val="auto"/>
        </w:rPr>
      </w:pPr>
    </w:p>
    <w:p>
      <w:pPr>
        <w:jc w:val="both"/>
        <w:ind w:left="720" w:hanging="360"/>
        <w:spacing w:after="0" w:line="251" w:lineRule="auto"/>
        <w:tabs>
          <w:tab w:leader="none" w:pos="72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88" w:lineRule="exact"/>
        <w:rPr>
          <w:rFonts w:ascii="PMingLiU" w:cs="PMingLiU" w:eastAsia="PMingLiU" w:hAnsi="PMingLiU"/>
          <w:sz w:val="20"/>
          <w:szCs w:val="20"/>
          <w:color w:val="auto"/>
        </w:rPr>
      </w:pPr>
    </w:p>
    <w:p>
      <w:pPr>
        <w:jc w:val="both"/>
        <w:ind w:left="720" w:hanging="360"/>
        <w:spacing w:after="0" w:line="251" w:lineRule="auto"/>
        <w:tabs>
          <w:tab w:leader="none" w:pos="72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87" w:lineRule="exact"/>
        <w:rPr>
          <w:rFonts w:ascii="PMingLiU" w:cs="PMingLiU" w:eastAsia="PMingLiU" w:hAnsi="PMingLiU"/>
          <w:sz w:val="20"/>
          <w:szCs w:val="20"/>
          <w:color w:val="auto"/>
        </w:rPr>
      </w:pPr>
    </w:p>
    <w:p>
      <w:pPr>
        <w:jc w:val="both"/>
        <w:ind w:left="720" w:hanging="360"/>
        <w:spacing w:after="0" w:line="213" w:lineRule="auto"/>
        <w:tabs>
          <w:tab w:leader="none" w:pos="720" w:val="left"/>
        </w:tabs>
        <w:numPr>
          <w:ilvl w:val="0"/>
          <w:numId w:val="4"/>
        </w:numPr>
        <w:rPr>
          <w:rFonts w:ascii="PMingLiU" w:cs="PMingLiU" w:eastAsia="PMingLiU" w:hAnsi="PMingLiU"/>
          <w:sz w:val="19"/>
          <w:szCs w:val="19"/>
          <w:color w:val="auto"/>
        </w:rPr>
      </w:pPr>
      <w:r>
        <w:rPr>
          <w:rFonts w:ascii="Times New Roman" w:cs="Times New Roman" w:eastAsia="Times New Roman" w:hAnsi="Times New Roman"/>
          <w:sz w:val="19"/>
          <w:szCs w:val="19"/>
          <w:color w:val="auto"/>
        </w:rPr>
        <w:t>If the commercial opportunity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Endovascular Robotic Surgical System and such other products will be adversely affected and Microbot’s business will suffer.</w:t>
      </w:r>
    </w:p>
    <w:p>
      <w:pPr>
        <w:spacing w:after="0" w:line="98" w:lineRule="exact"/>
        <w:rPr>
          <w:rFonts w:ascii="PMingLiU" w:cs="PMingLiU" w:eastAsia="PMingLiU" w:hAnsi="PMingLiU"/>
          <w:sz w:val="19"/>
          <w:szCs w:val="19"/>
          <w:color w:val="auto"/>
        </w:rPr>
      </w:pPr>
    </w:p>
    <w:p>
      <w:pPr>
        <w:ind w:left="720" w:hanging="360"/>
        <w:spacing w:after="0" w:line="217" w:lineRule="auto"/>
        <w:tabs>
          <w:tab w:leader="none" w:pos="72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Customers will be unlikely to buy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candidates unless Microbot can demonstrate that they can be produced for sale to consumers at attractive prices.</w:t>
      </w:r>
    </w:p>
    <w:p>
      <w:pPr>
        <w:sectPr>
          <w:pgSz w:w="12240" w:h="15840" w:orient="portrait"/>
          <w:cols w:equalWidth="0" w:num="1">
            <w:col w:w="10800"/>
          </w:cols>
          <w:pgMar w:left="720" w:top="696" w:right="720" w:bottom="490" w:gutter="0" w:footer="0" w:header="0"/>
        </w:sectPr>
      </w:pP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2240" w:h="15840" w:orient="portrait"/>
          <w:cols w:equalWidth="0" w:num="1">
            <w:col w:w="10800"/>
          </w:cols>
          <w:pgMar w:left="720" w:top="696" w:right="720" w:bottom="490" w:gutter="0" w:footer="0" w:header="0"/>
          <w:type w:val="continuous"/>
        </w:sectPr>
      </w:pPr>
    </w:p>
    <w:bookmarkStart w:id="4" w:name="page5"/>
    <w:bookmarkEnd w:id="4"/>
    <w:p>
      <w:pPr>
        <w:ind w:left="720" w:hanging="360"/>
        <w:spacing w:after="0"/>
        <w:tabs>
          <w:tab w:leader="none" w:pos="720" w:val="left"/>
        </w:tabs>
        <w:numPr>
          <w:ilvl w:val="0"/>
          <w:numId w:val="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 has relied on, and intends to continue to rely on, third-party manufacturers to produce its product candidates.</w:t>
      </w:r>
    </w:p>
    <w:p>
      <w:pPr>
        <w:spacing w:after="0" w:line="12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If Microbot’s product candidates are not considered to be a safe and effective alternative to existing technologies, Microbot will not be commercially successful.</w:t>
      </w:r>
    </w:p>
    <w:p>
      <w:pPr>
        <w:spacing w:after="0" w:line="75" w:lineRule="exact"/>
        <w:rPr>
          <w:rFonts w:ascii="PMingLiU" w:cs="PMingLiU" w:eastAsia="PMingLiU" w:hAnsi="PMingLiU"/>
          <w:sz w:val="20"/>
          <w:szCs w:val="20"/>
          <w:color w:val="auto"/>
        </w:rPr>
      </w:pPr>
    </w:p>
    <w:p>
      <w:pPr>
        <w:ind w:left="720" w:right="640" w:hanging="360"/>
        <w:spacing w:after="0" w:line="263" w:lineRule="auto"/>
        <w:tabs>
          <w:tab w:leader="none" w:pos="720" w:val="left"/>
        </w:tabs>
        <w:numPr>
          <w:ilvl w:val="0"/>
          <w:numId w:val="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 may be subject to penalties and may be precluded from marketing its product candidates if Microbot fails to comply with extensive governmental regulations.</w:t>
      </w:r>
    </w:p>
    <w:p>
      <w:pPr>
        <w:spacing w:after="0" w:line="75" w:lineRule="exact"/>
        <w:rPr>
          <w:rFonts w:ascii="PMingLiU" w:cs="PMingLiU" w:eastAsia="PMingLiU" w:hAnsi="PMingLiU"/>
          <w:sz w:val="20"/>
          <w:szCs w:val="20"/>
          <w:color w:val="auto"/>
        </w:rPr>
      </w:pPr>
    </w:p>
    <w:p>
      <w:pPr>
        <w:jc w:val="both"/>
        <w:ind w:left="720" w:hanging="360"/>
        <w:spacing w:after="0" w:line="251" w:lineRule="auto"/>
        <w:tabs>
          <w:tab w:leader="none" w:pos="720" w:val="left"/>
        </w:tabs>
        <w:numPr>
          <w:ilvl w:val="0"/>
          <w:numId w:val="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87" w:lineRule="exact"/>
        <w:rPr>
          <w:rFonts w:ascii="PMingLiU" w:cs="PMingLiU" w:eastAsia="PMingLiU" w:hAnsi="PMingLiU"/>
          <w:sz w:val="20"/>
          <w:szCs w:val="20"/>
          <w:color w:val="auto"/>
        </w:rPr>
      </w:pPr>
    </w:p>
    <w:p>
      <w:pPr>
        <w:ind w:left="720" w:hanging="360"/>
        <w:spacing w:after="0" w:line="217" w:lineRule="auto"/>
        <w:tabs>
          <w:tab w:leader="none" w:pos="720" w:val="left"/>
        </w:tabs>
        <w:numPr>
          <w:ilvl w:val="0"/>
          <w:numId w:val="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Clinical outcome studies for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may not provide sufficient data to make Microbot’s product candidates the standard of care.</w:t>
      </w:r>
    </w:p>
    <w:p>
      <w:pPr>
        <w:spacing w:after="0" w:line="98"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 products may in the future be subject to mandatory product recalls that could harm its reputation, business and financial results.</w:t>
      </w:r>
    </w:p>
    <w:p>
      <w:pPr>
        <w:spacing w:after="0" w:line="75"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75"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 could be exposed to significant liability claims if Microbot is unable to obtain insurance at acceptable costs and adequate levels or otherwise protect itself against potential product liability claims.</w:t>
      </w:r>
    </w:p>
    <w:p>
      <w:pPr>
        <w:spacing w:after="0" w:line="75"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If Microbot fails to retain certain of its key personnel and attract and retain additional qualified personnel, Microbot might not be able to pursue its growth strategy effectively.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Relating to International Business</w:t>
      </w:r>
    </w:p>
    <w:p>
      <w:pPr>
        <w:spacing w:after="0" w:line="134" w:lineRule="exact"/>
        <w:rPr>
          <w:sz w:val="20"/>
          <w:szCs w:val="20"/>
          <w:color w:val="auto"/>
        </w:rPr>
      </w:pPr>
    </w:p>
    <w:p>
      <w:pPr>
        <w:ind w:left="720" w:hanging="360"/>
        <w:spacing w:after="0" w:line="263" w:lineRule="auto"/>
        <w:tabs>
          <w:tab w:leader="none" w:pos="720" w:val="left"/>
        </w:tabs>
        <w:numPr>
          <w:ilvl w:val="0"/>
          <w:numId w:val="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If Microbot fails to obtain regulatory clearances in other countries for its product candidates under development, Microbot will not be able to commercialize these product candidates in those countries.</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 operations in international markets involve inherent risks that Microbot may not be able to control.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Relating to Microbot’s Intellectual Property</w:t>
      </w:r>
    </w:p>
    <w:p>
      <w:pPr>
        <w:spacing w:after="0" w:line="134" w:lineRule="exact"/>
        <w:rPr>
          <w:sz w:val="20"/>
          <w:szCs w:val="20"/>
          <w:color w:val="auto"/>
        </w:rPr>
      </w:pPr>
    </w:p>
    <w:p>
      <w:pPr>
        <w:ind w:left="720" w:hanging="360"/>
        <w:spacing w:after="0" w:line="263" w:lineRule="auto"/>
        <w:tabs>
          <w:tab w:leader="none" w:pos="720" w:val="left"/>
        </w:tabs>
        <w:numPr>
          <w:ilvl w:val="0"/>
          <w:numId w:val="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Intellectual property litigation and infringement claims could cause Microbot to incur significant expenses or prevent Microbot from selling certain of its product candidates.</w:t>
      </w:r>
    </w:p>
    <w:p>
      <w:pPr>
        <w:spacing w:after="0" w:line="75" w:lineRule="exact"/>
        <w:rPr>
          <w:rFonts w:ascii="PMingLiU" w:cs="PMingLiU" w:eastAsia="PMingLiU" w:hAnsi="PMingLiU"/>
          <w:sz w:val="20"/>
          <w:szCs w:val="20"/>
          <w:color w:val="auto"/>
        </w:rPr>
      </w:pPr>
    </w:p>
    <w:p>
      <w:pPr>
        <w:jc w:val="both"/>
        <w:ind w:left="720" w:hanging="360"/>
        <w:spacing w:after="0" w:line="251" w:lineRule="auto"/>
        <w:tabs>
          <w:tab w:leader="none" w:pos="720" w:val="left"/>
        </w:tabs>
        <w:numPr>
          <w:ilvl w:val="0"/>
          <w:numId w:val="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88"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Relating to Operations in Israel</w:t>
      </w:r>
    </w:p>
    <w:p>
      <w:pPr>
        <w:spacing w:after="0" w:line="134" w:lineRule="exact"/>
        <w:rPr>
          <w:sz w:val="20"/>
          <w:szCs w:val="20"/>
          <w:color w:val="auto"/>
        </w:rPr>
      </w:pPr>
    </w:p>
    <w:p>
      <w:pPr>
        <w:ind w:left="720" w:hanging="360"/>
        <w:spacing w:after="0" w:line="263" w:lineRule="auto"/>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75"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 has facilities located in Israel, and therefore, political conditions in Israel may affect Microbot’s operations and results.</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Political relations could limit Microbot’s ability to sell or buy internationally.</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Israel’s economy may become unstable.</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Exchange rate fluctuations between the U.S. dollar and the NIS currencies may negatively affect Microbot’s operating costs.</w:t>
      </w:r>
    </w:p>
    <w:p>
      <w:pPr>
        <w:spacing w:after="0" w:line="12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Funding and other benefits provided by Israeli government programs may be terminated or reduced in the future and the terms of such funding may have a significant impact on future corporate decisions.</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Some of Microbot’s employees are obligated to perform military reserve duty in Israel.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138" w:lineRule="exact"/>
        <w:rPr>
          <w:sz w:val="20"/>
          <w:szCs w:val="20"/>
          <w:color w:val="auto"/>
        </w:rPr>
      </w:pPr>
    </w:p>
    <w:p>
      <w:pPr>
        <w:ind w:left="720" w:hanging="360"/>
        <w:spacing w:after="0" w:line="263" w:lineRule="auto"/>
        <w:tabs>
          <w:tab w:leader="none" w:pos="720" w:val="left"/>
        </w:tabs>
        <w:numPr>
          <w:ilvl w:val="0"/>
          <w:numId w:val="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issuance of shares upon exercise of outstanding warrants and options could cause immediate and substantial dilution to existing stockholders.</w:t>
      </w:r>
    </w:p>
    <w:p>
      <w:pPr>
        <w:sectPr>
          <w:pgSz w:w="12240" w:h="15840" w:orient="portrait"/>
          <w:cols w:equalWidth="0" w:num="1">
            <w:col w:w="10800"/>
          </w:cols>
          <w:pgMar w:left="720" w:top="714" w:right="720" w:bottom="467"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iii</w:t>
      </w:r>
    </w:p>
    <w:p>
      <w:pPr>
        <w:sectPr>
          <w:pgSz w:w="12240" w:h="15840" w:orient="portrait"/>
          <w:cols w:equalWidth="0" w:num="1">
            <w:col w:w="10800"/>
          </w:cols>
          <w:pgMar w:left="720" w:top="714" w:right="720" w:bottom="467"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 </w:t>
      </w:r>
      <w:r>
        <w:rPr>
          <w:rFonts w:ascii="Times New Roman" w:cs="Times New Roman" w:eastAsia="Times New Roman" w:hAnsi="Times New Roman"/>
          <w:sz w:val="20"/>
          <w:szCs w:val="20"/>
          <w:b w:val="1"/>
          <w:bCs w:val="1"/>
          <w:u w:val="single" w:color="auto"/>
          <w:color w:val="auto"/>
        </w:rPr>
        <w:t>Description of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20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Using our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we are developing the first ever fully disposable robot for various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Technological Platforms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LIBERTY</w:t>
      </w:r>
      <w:r>
        <w:rPr>
          <w:rFonts w:ascii="Times New Roman" w:cs="Times New Roman" w:eastAsia="Times New Roman" w:hAnsi="Times New Roman"/>
          <w:sz w:val="32"/>
          <w:szCs w:val="32"/>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13, 2020, Microbot unveiled what it believes is the world’s first fully disposable robotic system for use in endovascular</w:t>
      </w:r>
    </w:p>
    <w:p>
      <w:pPr>
        <w:spacing w:after="0" w:line="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interventional procedures, such as cardiovascular, peripheral and neurovascular.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21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1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We believe the addressable markets for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are the Interventional Cardiology, Interventional Radiology and Interventional Neuroradiology markets.</w:t>
      </w:r>
    </w:p>
    <w:p>
      <w:pPr>
        <w:spacing w:after="0" w:line="21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The unique characteristics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is being designed to have the following attributes:</w:t>
      </w:r>
    </w:p>
    <w:p>
      <w:pPr>
        <w:spacing w:after="0" w:line="46" w:lineRule="exact"/>
        <w:rPr>
          <w:sz w:val="20"/>
          <w:szCs w:val="20"/>
          <w:color w:val="auto"/>
        </w:rPr>
      </w:pPr>
    </w:p>
    <w:p>
      <w:pPr>
        <w:ind w:left="720" w:hanging="360"/>
        <w:spacing w:after="0"/>
        <w:tabs>
          <w:tab w:leader="none" w:pos="72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Compact size - Eliminates the need for large capital equipment in dedicated cath-lab rooms with dedicated staff.</w:t>
      </w:r>
    </w:p>
    <w:p>
      <w:pPr>
        <w:spacing w:after="0" w:line="115" w:lineRule="exact"/>
        <w:rPr>
          <w:rFonts w:ascii="PMingLiU" w:cs="PMingLiU" w:eastAsia="PMingLiU" w:hAnsi="PMingLiU"/>
          <w:sz w:val="20"/>
          <w:szCs w:val="20"/>
          <w:color w:val="auto"/>
        </w:rPr>
      </w:pPr>
    </w:p>
    <w:p>
      <w:pPr>
        <w:ind w:left="720" w:hanging="360"/>
        <w:spacing w:after="0"/>
        <w:tabs>
          <w:tab w:leader="none" w:pos="72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Fully disposable - To our knowledge, the first fully disposable, robotic system for endovascular procedures.</w:t>
      </w:r>
    </w:p>
    <w:p>
      <w:pPr>
        <w:spacing w:after="0" w:line="119" w:lineRule="exact"/>
        <w:rPr>
          <w:rFonts w:ascii="PMingLiU" w:cs="PMingLiU" w:eastAsia="PMingLiU" w:hAnsi="PMingLiU"/>
          <w:sz w:val="20"/>
          <w:szCs w:val="20"/>
          <w:color w:val="auto"/>
        </w:rPr>
      </w:pPr>
    </w:p>
    <w:p>
      <w:pPr>
        <w:ind w:left="720" w:hanging="360"/>
        <w:spacing w:after="0" w:line="217" w:lineRule="auto"/>
        <w:tabs>
          <w:tab w:leader="none" w:pos="72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One &amp; Done</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 Can be made compatible with Microbot’s NitiLoop’s NovaCross® products or possibly other guidewire/microcatheter technologies, that combines guidewire and microcatheter into a single device.</w:t>
      </w:r>
    </w:p>
    <w:p>
      <w:pPr>
        <w:spacing w:after="0" w:line="98"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State of the art maneuverability - Provides linear and rotational control of its guidewire, as well as linear and rotational control of a guide catheter, and the linear motion for an additional “over the wire” device.</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Compatibility with a wide range of commercially-available guidewires, microcatheters and guide-catheters.</w:t>
      </w:r>
    </w:p>
    <w:p>
      <w:pPr>
        <w:spacing w:after="0" w:line="12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75"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Ease of use - Its intuitive remote controls aims to simplify advanced procedures while shortening the physician’s learning curve.</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Telemedicine compatible - Capable of supporting tele-catheterization, carried out remotely by highly trained specialists.</w:t>
      </w:r>
    </w:p>
    <w:p>
      <w:pPr>
        <w:spacing w:after="0" w:line="23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On August 17, 2020, Microbot announced the successful conclusion of its feasibility animal study using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800"/>
          </w:cols>
          <w:pgMar w:left="720" w:top="696" w:right="720" w:bottom="175" w:gutter="0" w:footer="0" w:header="0"/>
          <w:type w:val="continuous"/>
        </w:sectPr>
      </w:pPr>
    </w:p>
    <w:bookmarkStart w:id="6" w:name="page7"/>
    <w:bookmarkEnd w:id="6"/>
    <w:p>
      <w:pPr>
        <w:jc w:val="both"/>
        <w:spacing w:after="0" w:line="227" w:lineRule="auto"/>
        <w:rPr>
          <w:sz w:val="20"/>
          <w:szCs w:val="20"/>
          <w:color w:val="auto"/>
        </w:rPr>
      </w:pPr>
      <w:r>
        <w:rPr>
          <w:rFonts w:ascii="Times New Roman" w:cs="Times New Roman" w:eastAsia="Times New Roman" w:hAnsi="Times New Roman"/>
          <w:sz w:val="20"/>
          <w:szCs w:val="20"/>
          <w:color w:val="auto"/>
        </w:rPr>
        <w:t>On May 3, 2023, we announced that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June 29, 2023, we announced the successful completion of a two-day preclinical study held by leading key opinion leaders at a New</w:t>
      </w:r>
    </w:p>
    <w:p>
      <w:pPr>
        <w:spacing w:after="0" w:line="4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York-based research lab, where they performed dozens of catheterizations, including the utilization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October 2023, we announced the successful initial outcomes from our pivotal preclinical study with the LIBERTY® Endovascular Robotic Surgical System. The pivotal study was conducted by three leading interventional radiologists that utilized the LIBERTY®</w:t>
      </w:r>
    </w:p>
    <w:p>
      <w:pPr>
        <w:spacing w:after="0" w:line="187" w:lineRule="auto"/>
        <w:rPr>
          <w:sz w:val="20"/>
          <w:szCs w:val="20"/>
          <w:color w:val="auto"/>
        </w:rPr>
      </w:pPr>
      <w:r>
        <w:rPr>
          <w:rFonts w:ascii="Times New Roman" w:cs="Times New Roman" w:eastAsia="Times New Roman" w:hAnsi="Times New Roman"/>
          <w:sz w:val="20"/>
          <w:szCs w:val="20"/>
          <w:color w:val="auto"/>
        </w:rPr>
        <w:t>Endovascular Robotic Surgical System to reach a total of 48 animal targets. A total of 6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Systems were used in the study. All 6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filing date of this Annual Report on Form 10-K, we are continuing our interaction with the FDA regarding our IDE submission process. See “-Government Regulation-U.S. Regulation-Description of the IDE process” below.</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October 24, 2023, we announced that we received confirmation for the commencement of the process to support our future CE Mark approval, and to ultimately allow us to market the LIBERTY®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NovaCross</w:t>
      </w:r>
      <w:r>
        <w:rPr>
          <w:rFonts w:ascii="Times New Roman" w:cs="Times New Roman" w:eastAsia="Times New Roman" w:hAnsi="Times New Roman"/>
          <w:sz w:val="32"/>
          <w:szCs w:val="32"/>
          <w:b w:val="1"/>
          <w:bCs w:val="1"/>
          <w:i w:val="1"/>
          <w:iCs w:val="1"/>
          <w:color w:val="auto"/>
          <w:vertAlign w:val="superscript"/>
        </w:rPr>
        <w:t>®</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w:t>
      </w:r>
    </w:p>
    <w:p>
      <w:pPr>
        <w:spacing w:after="0"/>
        <w:rPr>
          <w:sz w:val="20"/>
          <w:szCs w:val="20"/>
          <w:color w:val="auto"/>
        </w:rPr>
      </w:pPr>
      <w:r>
        <w:rPr>
          <w:rFonts w:ascii="Times New Roman" w:cs="Times New Roman" w:eastAsia="Times New Roman" w:hAnsi="Times New Roman"/>
          <w:sz w:val="20"/>
          <w:szCs w:val="20"/>
          <w:color w:val="auto"/>
        </w:rPr>
        <w:t>Done</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feature.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Technologies and Platforms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second and third quarters of 2023, as a result of our core-business focus program and our cost reduction plan, described below, we ceased research and development activities relating to the technology we acquired from CardioSert, and with respect to our SCS and TipCat platforms. As a result, we terminated the Company’s agreement with CardioSert for that technology, ceased maintaining the intellectual property with respect to that technology, and are returning the acquired intellectual property to CardioSert, and returned intellectual property relating to the SCS (ViRob) and TipCat to Technion Research and Development Foundation.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Settlement of Lawsuit</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ectPr>
          <w:pgSz w:w="12240" w:h="15840" w:orient="portrait"/>
          <w:cols w:equalWidth="0" w:num="1">
            <w:col w:w="10800"/>
          </w:cols>
          <w:pgMar w:left="720" w:top="713" w:right="720" w:bottom="175"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800"/>
          </w:cols>
          <w:pgMar w:left="720" w:top="713" w:right="720" w:bottom="175" w:gutter="0" w:footer="0" w:header="0"/>
          <w:type w:val="continuous"/>
        </w:sectPr>
      </w:pPr>
    </w:p>
    <w:bookmarkStart w:id="7" w:name="page8"/>
    <w:bookmarkEnd w:id="7"/>
    <w:p>
      <w:pPr>
        <w:jc w:val="both"/>
        <w:spacing w:after="0" w:line="247" w:lineRule="auto"/>
        <w:rPr>
          <w:sz w:val="20"/>
          <w:szCs w:val="20"/>
          <w:color w:val="auto"/>
        </w:rPr>
      </w:pPr>
      <w:r>
        <w:rPr>
          <w:rFonts w:ascii="Times New Roman" w:cs="Times New Roman" w:eastAsia="Times New Roman" w:hAnsi="Times New Roman"/>
          <w:sz w:val="20"/>
          <w:szCs w:val="20"/>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February 2024, the Plaintiffs filed a stipulation discontinuing the Lawsuit with prejudice.</w:t>
      </w:r>
    </w:p>
    <w:p>
      <w:pPr>
        <w:spacing w:after="0" w:line="2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also agreed, pursuant to a Registration Rights Agreement (the “Registration Rights Agreement”), to file a registration statement on Form S-1 or Form S-3 covering the resale of the Shares (the “Resale Registration Statement”), within 30 calendar days following the Effective Date, and to use reasonable best efforts to have such Resale Registration Statement declared effective by the SEC within 60 days (or, in the event of a “full review” by the Securities and Exchange Commission, within 90 days) following the Effective Date. We shall be required to make cash payments to the Plaintiffs in the event we fail to register the Shares and keep the Resale Registration Statement effective pursuant to the terms of the Registration Rights Agreement, and if we fail to remove the restrictions on the Shares pursuant to the terms of the Settlement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Investment Option Inducement Transaction</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Core-Business Focus Program</w:t>
      </w:r>
    </w:p>
    <w:p>
      <w:pPr>
        <w:spacing w:after="0" w:line="12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9"/>
          <w:szCs w:val="19"/>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Endovascular Robotic Surgical System.</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This core-business focus program includes the cessation of research and development activities not related to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Reduction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the core-business focus program described above, the Board of Directors of the Company authorized, and the Company</w:t>
      </w:r>
    </w:p>
    <w:p>
      <w:pPr>
        <w:spacing w:after="0" w:line="35"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0"/>
          <w:szCs w:val="20"/>
          <w:color w:val="auto"/>
        </w:rPr>
        <w:t>commenced, a cost reduction plan while the Company seeks to raise additional capital to continue development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 in-human trials are not promising, the Company may be forced to take more drastic actions to conserve capital or shut down operations entirely.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First-In-Human Clinical Cases</w:t>
      </w:r>
    </w:p>
    <w:p>
      <w:pPr>
        <w:spacing w:after="0" w:line="12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On January 29, 2024, we submitted an Investigational Device Exemption (IDE) application with the U.S. Food and Drug Administration, in order to commence our pivotal clinical trial in humans, and as of the filing date of this Annual Report on Form 10-K, we are continuing</w:t>
      </w:r>
    </w:p>
    <w:p>
      <w:pPr>
        <w:sectPr>
          <w:pgSz w:w="12240" w:h="15840" w:orient="portrait"/>
          <w:cols w:equalWidth="0" w:num="1">
            <w:col w:w="10800"/>
          </w:cols>
          <w:pgMar w:left="720" w:top="700" w:right="720" w:bottom="175"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800"/>
          </w:cols>
          <w:pgMar w:left="720" w:top="700" w:right="720" w:bottom="175" w:gutter="0" w:footer="0" w:header="0"/>
          <w:type w:val="continuous"/>
        </w:sectPr>
      </w:pPr>
    </w:p>
    <w:bookmarkStart w:id="8" w:name="page9"/>
    <w:bookmarkEnd w:id="8"/>
    <w:p>
      <w:pPr>
        <w:jc w:val="both"/>
        <w:spacing w:after="0" w:line="277" w:lineRule="auto"/>
        <w:rPr>
          <w:sz w:val="20"/>
          <w:szCs w:val="20"/>
          <w:color w:val="auto"/>
        </w:rPr>
      </w:pPr>
      <w:r>
        <w:rPr>
          <w:rFonts w:ascii="Times New Roman" w:cs="Times New Roman" w:eastAsia="Times New Roman" w:hAnsi="Times New Roman"/>
          <w:sz w:val="20"/>
          <w:szCs w:val="20"/>
          <w:color w:val="auto"/>
        </w:rPr>
        <w:t>our interaction with the FDA regarding our IDE submission process. See “-Government Regulation-U.S. Regulation-Description of the IDE process”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Israel-Hamas War</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filing date of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considered various ongoing risks relating to the military operation and related matters, including:</w:t>
      </w:r>
    </w:p>
    <w:p>
      <w:pPr>
        <w:spacing w:after="0" w:line="134" w:lineRule="exact"/>
        <w:rPr>
          <w:sz w:val="20"/>
          <w:szCs w:val="20"/>
          <w:color w:val="auto"/>
        </w:rPr>
      </w:pPr>
    </w:p>
    <w:p>
      <w:pPr>
        <w:ind w:left="720" w:hanging="360"/>
        <w:spacing w:after="0" w:line="263" w:lineRule="auto"/>
        <w:tabs>
          <w:tab w:leader="none" w:pos="720" w:val="left"/>
        </w:tabs>
        <w:numPr>
          <w:ilvl w:val="0"/>
          <w:numId w:val="1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That some of the Company’s Israeli subcontractors, vendors, suppliers and other companies in which the Company relies, are currently only partially active, as instructed by the relevant authorities; and</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1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 slowdown in the number of international flights in and out of Israel.</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Annual Report on Form 10-K,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Overview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Minimally Invasive Robot-Assisted Endovascular Interventions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20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Microbot believes that with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coupled with its own NovaCross</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products and other off-the-shelf products, it is well-positioned to deliver a value-added endovascular robotic system, with a focus on improving the ease and access and enhancing the safety of endovascular interventions.</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700" w:right="720" w:bottom="175"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i w:val="1"/>
          <w:iCs w:val="1"/>
          <w:color w:val="auto"/>
        </w:rPr>
        <w:t>Strategy</w:t>
      </w:r>
    </w:p>
    <w:p>
      <w:pPr>
        <w:spacing w:after="0" w:line="13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Microbot’s goal is to generate sales of its products, once they have received regulatory approval, by establishing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100" w:lineRule="exact"/>
        <w:rPr>
          <w:sz w:val="20"/>
          <w:szCs w:val="20"/>
          <w:color w:val="auto"/>
        </w:rPr>
      </w:pPr>
    </w:p>
    <w:p>
      <w:pPr>
        <w:jc w:val="both"/>
        <w:ind w:left="720" w:hanging="360"/>
        <w:spacing w:after="0" w:line="245" w:lineRule="auto"/>
        <w:tabs>
          <w:tab w:leader="none" w:pos="720" w:val="left"/>
        </w:tabs>
        <w:numPr>
          <w:ilvl w:val="0"/>
          <w:numId w:val="1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Continue to refine existing product candidates and develop additional surgical robotic solutions. As Microbot prepares to bring its initial product 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96" w:lineRule="exact"/>
        <w:rPr>
          <w:rFonts w:ascii="PMingLiU" w:cs="PMingLiU" w:eastAsia="PMingLiU" w:hAnsi="PMingLiU"/>
          <w:sz w:val="20"/>
          <w:szCs w:val="20"/>
          <w:color w:val="auto"/>
        </w:rPr>
      </w:pPr>
    </w:p>
    <w:p>
      <w:pPr>
        <w:jc w:val="both"/>
        <w:ind w:left="720" w:hanging="360"/>
        <w:spacing w:after="0" w:line="229" w:lineRule="auto"/>
        <w:tabs>
          <w:tab w:leader="none" w:pos="720" w:val="left"/>
        </w:tabs>
        <w:numPr>
          <w:ilvl w:val="0"/>
          <w:numId w:val="1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Establish and leverage relationships with key institutions and leading clinicians. Microbot’s objective will be to maintain clinical focus with leading hospitals and clinics so as to establish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p>
      <w:pPr>
        <w:spacing w:after="0" w:line="100" w:lineRule="exact"/>
        <w:rPr>
          <w:rFonts w:ascii="PMingLiU" w:cs="PMingLiU" w:eastAsia="PMingLiU" w:hAnsi="PMingLiU"/>
          <w:sz w:val="20"/>
          <w:szCs w:val="20"/>
          <w:color w:val="auto"/>
        </w:rPr>
      </w:pPr>
    </w:p>
    <w:p>
      <w:pPr>
        <w:jc w:val="both"/>
        <w:ind w:left="720" w:hanging="360"/>
        <w:spacing w:after="0" w:line="247" w:lineRule="auto"/>
        <w:tabs>
          <w:tab w:leader="none" w:pos="720" w:val="left"/>
        </w:tabs>
        <w:numPr>
          <w:ilvl w:val="0"/>
          <w:numId w:val="1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Continuously invest in research and development. Microbot’s most significant expense has historically been research and development, and 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p>
      <w:pPr>
        <w:spacing w:after="0" w:line="93" w:lineRule="exact"/>
        <w:rPr>
          <w:rFonts w:ascii="PMingLiU" w:cs="PMingLiU" w:eastAsia="PMingLiU" w:hAnsi="PMingLiU"/>
          <w:sz w:val="20"/>
          <w:szCs w:val="20"/>
          <w:color w:val="auto"/>
        </w:rPr>
      </w:pPr>
    </w:p>
    <w:p>
      <w:pPr>
        <w:jc w:val="both"/>
        <w:ind w:left="720" w:hanging="360"/>
        <w:spacing w:after="0" w:line="247" w:lineRule="auto"/>
        <w:tabs>
          <w:tab w:leader="none" w:pos="720" w:val="left"/>
        </w:tabs>
        <w:numPr>
          <w:ilvl w:val="0"/>
          <w:numId w:val="1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Explore partnerships for the introduction of Microbot’s products. In parallel to its efforts to establish direct sales and marketing capabilities, 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93" w:lineRule="exact"/>
        <w:rPr>
          <w:rFonts w:ascii="PMingLiU" w:cs="PMingLiU" w:eastAsia="PMingLiU" w:hAnsi="PMingLiU"/>
          <w:sz w:val="20"/>
          <w:szCs w:val="20"/>
          <w:color w:val="auto"/>
        </w:rPr>
      </w:pPr>
    </w:p>
    <w:p>
      <w:pPr>
        <w:jc w:val="both"/>
        <w:ind w:left="720" w:hanging="360"/>
        <w:spacing w:after="0" w:line="251" w:lineRule="auto"/>
        <w:tabs>
          <w:tab w:leader="none" w:pos="720" w:val="left"/>
        </w:tabs>
        <w:numPr>
          <w:ilvl w:val="0"/>
          <w:numId w:val="1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Seek additional IP and technologies to complement and strengthen Microbot’s current IP portfolio. Microbot intends to continue exploring new technologies, IP and know-how to add to its current portfolio through licensing, mergers and/or acquisitions and to allow Microbot to enter new spaces and strengthen its overall product portfolio.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LIBERTY</w:t>
      </w:r>
      <w:r>
        <w:rPr>
          <w:rFonts w:ascii="Times New Roman" w:cs="Times New Roman" w:eastAsia="Times New Roman" w:hAnsi="Times New Roman"/>
          <w:sz w:val="32"/>
          <w:szCs w:val="32"/>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Competitive Landscape</w:t>
      </w:r>
    </w:p>
    <w:p>
      <w:pPr>
        <w:spacing w:after="0" w:line="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We believe the main competitor to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for PCI only). We believe these systems have drawbacks, such as limited maneuverability, the requirement to exchange and use multiple expensive surgical tools, being cumbersome to set-up and operate, and requiring significant upfront capital expenditures. We also expect that we could be competing with other technologies that are in different stages of development, including preclinical and without CE/FDA approvals, such as LN Robotics and Endoways, of which additional competitive data will be required to better explore their respective positioning in the competitive landscape.</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System’s core technology is co-owned by Microbot and The Technion Research and</w:t>
      </w:r>
    </w:p>
    <w:p>
      <w:pPr>
        <w:jc w:val="both"/>
        <w:spacing w:after="0" w:line="235" w:lineRule="auto"/>
        <w:rPr>
          <w:sz w:val="20"/>
          <w:szCs w:val="20"/>
          <w:color w:val="auto"/>
        </w:rPr>
      </w:pPr>
      <w:r>
        <w:rPr>
          <w:rFonts w:ascii="Times New Roman" w:cs="Times New Roman" w:eastAsia="Times New Roman" w:hAnsi="Times New Roman"/>
          <w:sz w:val="19"/>
          <w:szCs w:val="19"/>
          <w:color w:val="auto"/>
        </w:rPr>
        <w:t>Development Foundation Ltd., or TRDF. The NovaCross</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12 patents issued/allowed and 47 patent applications pending worldwide. Microbot also holds 10 design patents issued/allowed and 5 design patents pending worldwide. It also has registered trademarks in Israel, Europe, UK and the U.S.</w:t>
      </w:r>
    </w:p>
    <w:p>
      <w:pPr>
        <w:sectPr>
          <w:pgSz w:w="12240" w:h="15840" w:orient="portrait"/>
          <w:cols w:equalWidth="0" w:num="1">
            <w:col w:w="10800"/>
          </w:cols>
          <w:pgMar w:left="720" w:top="700" w:right="720" w:bottom="175"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800"/>
          </w:cols>
          <w:pgMar w:left="720" w:top="700" w:right="720" w:bottom="175" w:gutter="0" w:footer="0" w:header="0"/>
          <w:type w:val="continuous"/>
        </w:sectPr>
      </w:pPr>
    </w:p>
    <w:bookmarkStart w:id="10" w:name="page11"/>
    <w:bookmarkEnd w:id="10"/>
    <w:p>
      <w:pPr>
        <w:jc w:val="both"/>
        <w:spacing w:after="0" w:line="227" w:lineRule="auto"/>
        <w:rPr>
          <w:sz w:val="20"/>
          <w:szCs w:val="20"/>
          <w:color w:val="auto"/>
        </w:rPr>
      </w:pPr>
      <w:r>
        <w:rPr>
          <w:rFonts w:ascii="Times New Roman" w:cs="Times New Roman" w:eastAsia="Times New Roman" w:hAnsi="Times New Roman"/>
          <w:sz w:val="20"/>
          <w:szCs w:val="20"/>
          <w:color w:val="auto"/>
        </w:rPr>
        <w:t>relating to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and also has trademarks relating to its proprietary Microbot Medical wordmark and logo registered in Israel, Europe, and UK, and pending in the U.S. and China, in addition to having registered trademarks for the “One &amp; Done” wordmark in Israel, Europe, the U.S., UK, and Japan. Microbot also has a registered trademark in the U.S. for the NovaCross trademark.</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the Technion</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spacing w:after="0" w:line="21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Endovascular Robotic Surgical System, which was invented by employees of Microbot together with Professor Moshe Shoham of the Technion, in his capacity as a consultant to Microbot, is co-owned by Microbot and TRDF, and the parties established</w:t>
      </w:r>
    </w:p>
    <w:p>
      <w:pPr>
        <w:jc w:val="both"/>
        <w:spacing w:after="0" w:line="217" w:lineRule="auto"/>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as a “Joint Invention” in accordance with the terms of the License Agreement. Once the Joint Invention is established, Microbot will have to pay TRDF royalties of between 1.5% and 3.0% of net sales of products covered by this Joint Invention.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ectPr>
          <w:pgSz w:w="12240" w:h="15840" w:orient="portrait"/>
          <w:cols w:equalWidth="0" w:num="1">
            <w:col w:w="10800"/>
          </w:cols>
          <w:pgMar w:left="720" w:top="713" w:right="720" w:bottom="175"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800"/>
          </w:cols>
          <w:pgMar w:left="720" w:top="713" w:right="720" w:bottom="175" w:gutter="0" w:footer="0" w:header="0"/>
          <w:type w:val="continuous"/>
        </w:sectPr>
      </w:pPr>
    </w:p>
    <w:bookmarkStart w:id="11" w:name="page12"/>
    <w:bookmarkEnd w:id="11"/>
    <w:p>
      <w:pPr>
        <w:jc w:val="both"/>
        <w:spacing w:after="0" w:line="277" w:lineRule="auto"/>
        <w:rPr>
          <w:sz w:val="20"/>
          <w:szCs w:val="20"/>
          <w:color w:val="auto"/>
        </w:rPr>
      </w:pPr>
      <w:r>
        <w:rPr>
          <w:rFonts w:ascii="Times New Roman" w:cs="Times New Roman" w:eastAsia="Times New Roman" w:hAnsi="Times New Roman"/>
          <w:sz w:val="20"/>
          <w:szCs w:val="20"/>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Microbot Israel has received grants from the Israeli Innovation Authority (“IIA”) for participation in research and development since 2013 through December 31, 2023 totaling approximately $1.8 million. This amount includes amounts received in 2023 of approximately $304,000, which are a portion of an additional grant from the IIA in the amount of approximately NIS 1.6 million (approximately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0"/>
          <w:szCs w:val="20"/>
          <w:color w:val="auto"/>
        </w:rPr>
        <w:t>$447,000) approved by the IIA on June 1, 2023, to further finance the development of the manufacturing process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as a result of the agreement with CardioSert on January 4, 2018, Microbot Israel took over the liability to repay CardioSert’s IIA grants in the aggregate amount of approximately $530,000, which liability will remain for so long as the Company continues to own the CardioSert assets. As a result of CardioSert’s recent exercise to have the assets returned, we expect that this will cease to be a liability upon return.</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As a result of the agreement with Nitiloop, on October 6, 2022, Microbot Israel took over the liability to repay Nitiloop’s IIA grants in the aggregate amount of approximately $925,000.</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relation to the IIA grants described above, the Company is obligated to pay royalties amounting to 3%-5% of its future sales of the products relating to such grants.</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grants are linked to the exchange rate of the dollar to the New Israeli Shekel and bears interest of SOFR per year (SOFR is a benchmark interest rate which replaced LIBOR).</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December 11, 2022, the Company received approval for a grant from the Ministry of Economy, in the amount of NIS 300,000</w:t>
      </w:r>
    </w:p>
    <w:p>
      <w:pPr>
        <w:spacing w:after="0" w:line="35"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20"/>
          <w:szCs w:val="20"/>
          <w:color w:val="auto"/>
        </w:rPr>
        <w:t>(approximately $83,000), for participation in expenses related to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in the U.S. market. As of December 31, 2023, the Company received approximately $27,000 of such amount. In relation with the Ministry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0"/>
          <w:szCs w:val="20"/>
          <w:color w:val="auto"/>
        </w:rPr>
        <w:t>Economy grant, the Company is obligated to pay royalties amounting to 3% of future sales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up to the grant amount plus interest.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Microbot expects to continue to access government funding in the future.</w:t>
      </w:r>
    </w:p>
    <w:p>
      <w:pPr>
        <w:spacing w:after="0" w:line="2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For the fiscal years ended December 31, 2022 and 2023, respectively, Microbot incurred research and development expenses of approximately $7,736,000 and $5,724,000.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collaboration agreement with Stryker</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On December 22, 2021, the Company entered into a strategic collaboration agreement for technology co-development with Stryker Corporation, acting through its Neurovascular Division. Pursuant to the agreement, the collaborative development program between the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Company and Stryker aims to integrate certain of Stryker’s instruments with the Company’s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to address certain neurovascular procedures. The parties conducted discussions in the past to define the development plan; however, due to other strategic priorities, the collaboration is not moving forward.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2024.</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August 4, 2023, we signed a Turn-Key Manufacturing Agreement with a subcontractor that is suited to assemble and test our products under applicable regulatory requirements and regulations. As of the filing date of this Annual Report on Form 10-K, we are working with the subcontractor to transfer the production to the subcontractor.</w:t>
      </w:r>
    </w:p>
    <w:p>
      <w:pPr>
        <w:sectPr>
          <w:pgSz w:w="12240" w:h="15840" w:orient="portrait"/>
          <w:cols w:equalWidth="0" w:num="1">
            <w:col w:w="10800"/>
          </w:cols>
          <w:pgMar w:left="720" w:top="700" w:right="720" w:bottom="175"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800"/>
          </w:cols>
          <w:pgMar w:left="720" w:top="700" w:right="720" w:bottom="175"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Commercialization</w:t>
      </w:r>
    </w:p>
    <w:p>
      <w:pPr>
        <w:spacing w:after="0" w:line="13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color w:val="auto"/>
        </w:rPr>
        <w:t>Microbot has not yet established a sales, marketing or product distribution infrastructure for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 which are still in development stages.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Regulation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83" w:lineRule="exact"/>
        <w:rPr>
          <w:sz w:val="20"/>
          <w:szCs w:val="20"/>
          <w:color w:val="auto"/>
        </w:rPr>
      </w:pPr>
    </w:p>
    <w:p>
      <w:pPr>
        <w:ind w:left="720" w:hanging="360"/>
        <w:spacing w:after="0"/>
        <w:tabs>
          <w:tab w:leader="none" w:pos="720" w:val="left"/>
        </w:tabs>
        <w:numPr>
          <w:ilvl w:val="0"/>
          <w:numId w:val="1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 product design, and development;</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1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 product safety, testing, labeling and storage;</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1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 record keeping procedures; and</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1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 product marketing.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numerous FDA regulatory requirements governing the approval or clearance and subsequent commercial marketing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Microbot’s products. These include:</w:t>
      </w:r>
    </w:p>
    <w:p>
      <w:pPr>
        <w:spacing w:after="0" w:line="106" w:lineRule="exact"/>
        <w:rPr>
          <w:sz w:val="20"/>
          <w:szCs w:val="20"/>
          <w:color w:val="auto"/>
        </w:rPr>
      </w:pPr>
    </w:p>
    <w:p>
      <w:pPr>
        <w:ind w:left="720" w:hanging="360"/>
        <w:spacing w:after="0" w:line="263" w:lineRule="auto"/>
        <w:tabs>
          <w:tab w:leader="none" w:pos="720" w:val="left"/>
        </w:tabs>
        <w:numPr>
          <w:ilvl w:val="0"/>
          <w:numId w:val="1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timely submission of product listing and establishment registration information, along with associated establishment user fees;</w:t>
      </w:r>
    </w:p>
    <w:p>
      <w:pPr>
        <w:spacing w:after="0" w:line="75" w:lineRule="exact"/>
        <w:rPr>
          <w:rFonts w:ascii="PMingLiU" w:cs="PMingLiU" w:eastAsia="PMingLiU" w:hAnsi="PMingLiU"/>
          <w:sz w:val="20"/>
          <w:szCs w:val="20"/>
          <w:color w:val="auto"/>
        </w:rPr>
      </w:pPr>
    </w:p>
    <w:p>
      <w:pPr>
        <w:jc w:val="both"/>
        <w:ind w:left="720" w:hanging="360"/>
        <w:spacing w:after="0" w:line="251" w:lineRule="auto"/>
        <w:tabs>
          <w:tab w:leader="none" w:pos="720" w:val="left"/>
        </w:tabs>
        <w:numPr>
          <w:ilvl w:val="0"/>
          <w:numId w:val="1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88"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1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labeling regulations and FDA prohibitions against the promotion of products for uncleared, unapproved or off-label use or indication;</w:t>
      </w:r>
    </w:p>
    <w:p>
      <w:pPr>
        <w:spacing w:after="0" w:line="75"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1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clearance or approval of product modifications that could significantly affect the safety or effectiveness of the device or that would constitute a major change in intended use;</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800"/>
          </w:cols>
          <w:pgMar w:left="720" w:top="696" w:right="720" w:bottom="175" w:gutter="0" w:footer="0" w:header="0"/>
          <w:type w:val="continuous"/>
        </w:sectPr>
      </w:pPr>
    </w:p>
    <w:bookmarkStart w:id="13" w:name="page14"/>
    <w:bookmarkEnd w:id="13"/>
    <w:p>
      <w:pPr>
        <w:jc w:val="both"/>
        <w:ind w:left="720" w:hanging="360"/>
        <w:spacing w:after="0" w:line="251" w:lineRule="auto"/>
        <w:tabs>
          <w:tab w:leader="none" w:pos="720" w:val="left"/>
        </w:tabs>
        <w:numPr>
          <w:ilvl w:val="0"/>
          <w:numId w:val="1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88"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1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adequate use of the Corrective and Preventive Actions process to identify and correct or prevent significant systemic failures of products or processes or in trends which suggest same;</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1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post-approval restrictions or conditions, including post-approval study commitments;</w:t>
      </w:r>
    </w:p>
    <w:p>
      <w:pPr>
        <w:spacing w:after="0" w:line="12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1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post-market surveillance regulations, which apply when necessary to protect the public health or to provide additional safety and effectiveness data for the device; and</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1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notices of correction or removal and recall regulations.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88" w:lineRule="exact"/>
        <w:rPr>
          <w:sz w:val="20"/>
          <w:szCs w:val="20"/>
          <w:color w:val="auto"/>
        </w:rPr>
      </w:pPr>
    </w:p>
    <w:p>
      <w:pPr>
        <w:jc w:val="both"/>
        <w:ind w:left="720" w:hanging="360"/>
        <w:spacing w:after="0" w:line="251" w:lineRule="auto"/>
        <w:tabs>
          <w:tab w:leader="none" w:pos="720" w:val="left"/>
        </w:tabs>
        <w:numPr>
          <w:ilvl w:val="0"/>
          <w:numId w:val="1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88" w:lineRule="exact"/>
        <w:rPr>
          <w:rFonts w:ascii="PMingLiU" w:cs="PMingLiU" w:eastAsia="PMingLiU" w:hAnsi="PMingLiU"/>
          <w:sz w:val="20"/>
          <w:szCs w:val="20"/>
          <w:color w:val="auto"/>
        </w:rPr>
      </w:pPr>
    </w:p>
    <w:p>
      <w:pPr>
        <w:jc w:val="both"/>
        <w:ind w:left="720" w:hanging="360"/>
        <w:spacing w:after="0" w:line="251" w:lineRule="auto"/>
        <w:tabs>
          <w:tab w:leader="none" w:pos="720" w:val="left"/>
        </w:tabs>
        <w:numPr>
          <w:ilvl w:val="0"/>
          <w:numId w:val="1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88" w:lineRule="exact"/>
        <w:rPr>
          <w:rFonts w:ascii="PMingLiU" w:cs="PMingLiU" w:eastAsia="PMingLiU" w:hAnsi="PMingLiU"/>
          <w:sz w:val="20"/>
          <w:szCs w:val="20"/>
          <w:color w:val="auto"/>
        </w:rPr>
      </w:pPr>
    </w:p>
    <w:p>
      <w:pPr>
        <w:jc w:val="both"/>
        <w:ind w:left="720" w:hanging="360"/>
        <w:spacing w:after="0" w:line="251" w:lineRule="auto"/>
        <w:tabs>
          <w:tab w:leader="none" w:pos="720" w:val="left"/>
        </w:tabs>
        <w:numPr>
          <w:ilvl w:val="0"/>
          <w:numId w:val="1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78" w:lineRule="exact"/>
        <w:rPr>
          <w:sz w:val="20"/>
          <w:szCs w:val="20"/>
          <w:color w:val="auto"/>
        </w:rPr>
      </w:pPr>
    </w:p>
    <w:p>
      <w:pPr>
        <w:ind w:left="720" w:hanging="360"/>
        <w:spacing w:after="0"/>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Development of comprehensive product description and indications for use;</w:t>
      </w:r>
    </w:p>
    <w:p>
      <w:pPr>
        <w:spacing w:after="0" w:line="12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Comprehensive review of predicate devices and development of data supporting the new product’s substantial equivalence to one or more predicate devices; and</w:t>
      </w:r>
    </w:p>
    <w:p>
      <w:pPr>
        <w:spacing w:after="0" w:line="75"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If appropriate and required, certain types of clinical trials (IDE submission and approval may be required for conducting a clinical trial in the U.S.).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Description of the IDE process. </w:t>
      </w:r>
      <w:r>
        <w:rPr>
          <w:rFonts w:ascii="Times New Roman" w:cs="Times New Roman" w:eastAsia="Times New Roman" w:hAnsi="Times New Roman"/>
          <w:sz w:val="20"/>
          <w:szCs w:val="20"/>
          <w:color w:val="auto"/>
        </w:rPr>
        <w:t>The IDE will become effective 30 days after receipt by the FDA, unless the FDA otherwise informs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sponsor prior to the 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w:t>
      </w:r>
    </w:p>
    <w:p>
      <w:pPr>
        <w:sectPr>
          <w:pgSz w:w="12240" w:h="15840" w:orient="portrait"/>
          <w:cols w:equalWidth="0" w:num="1">
            <w:col w:w="10800"/>
          </w:cols>
          <w:pgMar w:left="720" w:top="714" w:right="720" w:bottom="175"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800"/>
          </w:cols>
          <w:pgMar w:left="720" w:top="714" w:right="720" w:bottom="175"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color w:val="auto"/>
        </w:rPr>
        <w:t>510(k) clearance typically involves the following:</w:t>
      </w:r>
    </w:p>
    <w:p>
      <w:pPr>
        <w:spacing w:after="0" w:line="134" w:lineRule="exact"/>
        <w:rPr>
          <w:sz w:val="20"/>
          <w:szCs w:val="20"/>
          <w:color w:val="auto"/>
        </w:rPr>
      </w:pPr>
    </w:p>
    <w:p>
      <w:pPr>
        <w:jc w:val="both"/>
        <w:ind w:left="720" w:hanging="360"/>
        <w:spacing w:after="0" w:line="247" w:lineRule="auto"/>
        <w:tabs>
          <w:tab w:leader="none" w:pos="720" w:val="left"/>
        </w:tabs>
        <w:numPr>
          <w:ilvl w:val="0"/>
          <w:numId w:val="1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93"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1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 510(k) clearance letter from the FDA will authorize commercial marketing of the device for one or more specific indications for use.</w:t>
      </w:r>
    </w:p>
    <w:p>
      <w:pPr>
        <w:spacing w:after="0" w:line="75" w:lineRule="exact"/>
        <w:rPr>
          <w:rFonts w:ascii="PMingLiU" w:cs="PMingLiU" w:eastAsia="PMingLiU" w:hAnsi="PMingLiU"/>
          <w:sz w:val="20"/>
          <w:szCs w:val="20"/>
          <w:color w:val="auto"/>
        </w:rPr>
      </w:pPr>
    </w:p>
    <w:p>
      <w:pPr>
        <w:jc w:val="both"/>
        <w:ind w:left="720" w:hanging="360"/>
        <w:spacing w:after="0" w:line="258" w:lineRule="auto"/>
        <w:tabs>
          <w:tab w:leader="none" w:pos="720" w:val="left"/>
        </w:tabs>
        <w:numPr>
          <w:ilvl w:val="0"/>
          <w:numId w:val="18"/>
        </w:numPr>
        <w:rPr>
          <w:rFonts w:ascii="PMingLiU" w:cs="PMingLiU" w:eastAsia="PMingLiU" w:hAnsi="PMingLiU"/>
          <w:sz w:val="19"/>
          <w:szCs w:val="19"/>
          <w:color w:val="auto"/>
        </w:rPr>
      </w:pPr>
      <w:r>
        <w:rPr>
          <w:rFonts w:ascii="Times New Roman" w:cs="Times New Roman" w:eastAsia="Times New Roman" w:hAnsi="Times New Roman"/>
          <w:sz w:val="19"/>
          <w:szCs w:val="19"/>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86" w:lineRule="exact"/>
        <w:rPr>
          <w:rFonts w:ascii="PMingLiU" w:cs="PMingLiU" w:eastAsia="PMingLiU" w:hAnsi="PMingLiU"/>
          <w:sz w:val="19"/>
          <w:szCs w:val="19"/>
          <w:color w:val="auto"/>
        </w:rPr>
      </w:pPr>
    </w:p>
    <w:p>
      <w:pPr>
        <w:jc w:val="both"/>
        <w:ind w:left="720" w:hanging="360"/>
        <w:spacing w:after="0" w:line="258" w:lineRule="auto"/>
        <w:tabs>
          <w:tab w:leader="none" w:pos="720" w:val="left"/>
        </w:tabs>
        <w:numPr>
          <w:ilvl w:val="0"/>
          <w:numId w:val="18"/>
        </w:numPr>
        <w:rPr>
          <w:rFonts w:ascii="PMingLiU" w:cs="PMingLiU" w:eastAsia="PMingLiU" w:hAnsi="PMingLiU"/>
          <w:sz w:val="19"/>
          <w:szCs w:val="19"/>
          <w:color w:val="auto"/>
        </w:rPr>
      </w:pPr>
      <w:r>
        <w:rPr>
          <w:rFonts w:ascii="Times New Roman" w:cs="Times New Roman" w:eastAsia="Times New Roman" w:hAnsi="Times New Roman"/>
          <w:sz w:val="19"/>
          <w:szCs w:val="19"/>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86" w:lineRule="exact"/>
        <w:rPr>
          <w:rFonts w:ascii="PMingLiU" w:cs="PMingLiU" w:eastAsia="PMingLiU" w:hAnsi="PMingLiU"/>
          <w:sz w:val="19"/>
          <w:szCs w:val="19"/>
          <w:color w:val="auto"/>
        </w:rPr>
      </w:pPr>
    </w:p>
    <w:p>
      <w:pPr>
        <w:jc w:val="both"/>
        <w:ind w:left="720" w:hanging="360"/>
        <w:spacing w:after="0" w:line="251" w:lineRule="auto"/>
        <w:tabs>
          <w:tab w:leader="none" w:pos="720" w:val="left"/>
        </w:tabs>
        <w:numPr>
          <w:ilvl w:val="0"/>
          <w:numId w:val="1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2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ectPr>
          <w:pgSz w:w="12240" w:h="15840" w:orient="portrait"/>
          <w:cols w:equalWidth="0" w:num="1">
            <w:col w:w="10800"/>
          </w:cols>
          <w:pgMar w:left="720" w:top="700" w:right="720" w:bottom="175" w:gutter="0" w:footer="0" w:header="0"/>
        </w:sectPr>
      </w:pP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700" w:right="720" w:bottom="175"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Regulation</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Europe. The primary regulatory body in Europe is the European Union, or E.U., which consists of 27 member states and has a coordinated system for the authorization of medical devices.</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68" w:lineRule="exact"/>
        <w:rPr>
          <w:sz w:val="20"/>
          <w:szCs w:val="20"/>
          <w:color w:val="auto"/>
        </w:rPr>
      </w:pPr>
    </w:p>
    <w:p>
      <w:pPr>
        <w:ind w:firstLine="720"/>
        <w:spacing w:after="0" w:line="277" w:lineRule="auto"/>
        <w:tabs>
          <w:tab w:leader="none" w:pos="91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obtain CE Marking certification, comply with European Commission Regulation (EU) No. 2017/745, commonly known as the Medical Device Regulation (MDR).</w:t>
      </w:r>
    </w:p>
    <w:p>
      <w:pPr>
        <w:spacing w:after="0" w:line="49" w:lineRule="exact"/>
        <w:rPr>
          <w:rFonts w:ascii="Times New Roman" w:cs="Times New Roman" w:eastAsia="Times New Roman" w:hAnsi="Times New Roman"/>
          <w:sz w:val="20"/>
          <w:szCs w:val="20"/>
          <w:color w:val="auto"/>
        </w:rPr>
      </w:pPr>
    </w:p>
    <w:p>
      <w:pPr>
        <w:ind w:firstLine="720"/>
        <w:spacing w:after="0" w:line="277" w:lineRule="auto"/>
        <w:tabs>
          <w:tab w:leader="none" w:pos="95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 a Person Responsible for Regulatory Compliance (PRRC). Determine classification of device - Class I (self-certified); Class I (sterile, measuring or reusable surgical instrument); Class IIa, Class IIb, or Class III.</w:t>
      </w:r>
    </w:p>
    <w:p>
      <w:pPr>
        <w:spacing w:after="0" w:line="49" w:lineRule="exact"/>
        <w:rPr>
          <w:rFonts w:ascii="Times New Roman" w:cs="Times New Roman" w:eastAsia="Times New Roman" w:hAnsi="Times New Roman"/>
          <w:sz w:val="20"/>
          <w:szCs w:val="20"/>
          <w:color w:val="auto"/>
        </w:rPr>
      </w:pPr>
    </w:p>
    <w:p>
      <w:pPr>
        <w:jc w:val="both"/>
        <w:ind w:firstLine="720"/>
        <w:spacing w:after="0" w:line="252" w:lineRule="auto"/>
        <w:tabs>
          <w:tab w:leader="none" w:pos="92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74" w:lineRule="exact"/>
        <w:rPr>
          <w:rFonts w:ascii="Times New Roman" w:cs="Times New Roman" w:eastAsia="Times New Roman" w:hAnsi="Times New Roman"/>
          <w:sz w:val="20"/>
          <w:szCs w:val="20"/>
          <w:color w:val="auto"/>
        </w:rPr>
      </w:pPr>
    </w:p>
    <w:p>
      <w:pPr>
        <w:jc w:val="both"/>
        <w:ind w:firstLine="720"/>
        <w:spacing w:after="0" w:line="249" w:lineRule="auto"/>
        <w:tabs>
          <w:tab w:leader="none" w:pos="91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76" w:lineRule="exact"/>
        <w:rPr>
          <w:rFonts w:ascii="Times New Roman" w:cs="Times New Roman" w:eastAsia="Times New Roman" w:hAnsi="Times New Roman"/>
          <w:sz w:val="20"/>
          <w:szCs w:val="20"/>
          <w:color w:val="auto"/>
        </w:rPr>
      </w:pPr>
    </w:p>
    <w:p>
      <w:pPr>
        <w:jc w:val="both"/>
        <w:ind w:firstLine="720"/>
        <w:spacing w:after="0" w:line="258" w:lineRule="auto"/>
        <w:tabs>
          <w:tab w:leader="none" w:pos="92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68" w:lineRule="exact"/>
        <w:rPr>
          <w:rFonts w:ascii="Times New Roman" w:cs="Times New Roman" w:eastAsia="Times New Roman" w:hAnsi="Times New Roman"/>
          <w:sz w:val="20"/>
          <w:szCs w:val="20"/>
          <w:color w:val="auto"/>
        </w:rPr>
      </w:pPr>
    </w:p>
    <w:p>
      <w:pPr>
        <w:ind w:firstLine="720"/>
        <w:spacing w:after="0" w:line="277" w:lineRule="auto"/>
        <w:tabs>
          <w:tab w:leader="none" w:pos="91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devices except Class I (self-certified), the QMS and Technical Documentation or Design Dossier must be audited by a Notified Body, a third-party accredited by European authorities to audit medical device companies and products.</w:t>
      </w:r>
    </w:p>
    <w:p>
      <w:pPr>
        <w:spacing w:after="0" w:line="49" w:lineRule="exact"/>
        <w:rPr>
          <w:rFonts w:ascii="Times New Roman" w:cs="Times New Roman" w:eastAsia="Times New Roman" w:hAnsi="Times New Roman"/>
          <w:sz w:val="20"/>
          <w:szCs w:val="20"/>
          <w:color w:val="auto"/>
        </w:rPr>
      </w:pPr>
    </w:p>
    <w:p>
      <w:pPr>
        <w:jc w:val="both"/>
        <w:ind w:firstLine="720"/>
        <w:spacing w:after="0" w:line="252" w:lineRule="auto"/>
        <w:tabs>
          <w:tab w:leader="none" w:pos="9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74" w:lineRule="exact"/>
        <w:rPr>
          <w:rFonts w:ascii="Times New Roman" w:cs="Times New Roman" w:eastAsia="Times New Roman" w:hAnsi="Times New Roman"/>
          <w:sz w:val="20"/>
          <w:szCs w:val="20"/>
          <w:color w:val="auto"/>
        </w:rPr>
      </w:pPr>
    </w:p>
    <w:p>
      <w:pPr>
        <w:ind w:firstLine="720"/>
        <w:spacing w:after="0" w:line="277" w:lineRule="auto"/>
        <w:tabs>
          <w:tab w:leader="none" w:pos="92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49" w:lineRule="exact"/>
        <w:rPr>
          <w:rFonts w:ascii="Times New Roman" w:cs="Times New Roman" w:eastAsia="Times New Roman" w:hAnsi="Times New Roman"/>
          <w:sz w:val="20"/>
          <w:szCs w:val="20"/>
          <w:color w:val="auto"/>
        </w:rPr>
      </w:pPr>
    </w:p>
    <w:p>
      <w:pPr>
        <w:ind w:firstLine="720"/>
        <w:spacing w:after="0" w:line="277" w:lineRule="auto"/>
        <w:tabs>
          <w:tab w:leader="none" w:pos="91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Register the device and its Unique Device Identifier (UDI) in the EUDAMED database. UDI must be on label and associated with the regulatory documents.</w:t>
      </w:r>
    </w:p>
    <w:p>
      <w:pPr>
        <w:spacing w:after="0" w:line="49" w:lineRule="exact"/>
        <w:rPr>
          <w:rFonts w:ascii="Times New Roman" w:cs="Times New Roman" w:eastAsia="Times New Roman" w:hAnsi="Times New Roman"/>
          <w:sz w:val="20"/>
          <w:szCs w:val="20"/>
          <w:color w:val="auto"/>
        </w:rPr>
      </w:pPr>
    </w:p>
    <w:p>
      <w:pPr>
        <w:jc w:val="both"/>
        <w:ind w:firstLine="720"/>
        <w:spacing w:after="0" w:line="277" w:lineRule="auto"/>
        <w:tabs>
          <w:tab w:leader="none" w:pos="102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Class I (self-certified), annual NB audits are not required. However, CER, Technical File, and PMS activities must be kept updated. For all other classes, the company will be audited each year by a Notified Body to ensure ongoing compliance with the</w:t>
      </w:r>
    </w:p>
    <w:p>
      <w:pPr>
        <w:sectPr>
          <w:pgSz w:w="12240" w:h="15840" w:orient="portrait"/>
          <w:cols w:equalWidth="0" w:num="1">
            <w:col w:w="10800"/>
          </w:cols>
          <w:pgMar w:left="720" w:top="700" w:right="720" w:bottom="175"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700" w:right="720" w:bottom="175" w:gutter="0" w:footer="0" w:header="0"/>
          <w:type w:val="continuous"/>
        </w:sectPr>
      </w:pPr>
    </w:p>
    <w:bookmarkStart w:id="16" w:name="page17"/>
    <w:bookmarkEnd w:id="16"/>
    <w:p>
      <w:pPr>
        <w:jc w:val="both"/>
        <w:spacing w:after="0" w:line="277" w:lineRule="auto"/>
        <w:rPr>
          <w:sz w:val="20"/>
          <w:szCs w:val="20"/>
          <w:color w:val="auto"/>
        </w:rPr>
      </w:pPr>
      <w:r>
        <w:rPr>
          <w:rFonts w:ascii="Times New Roman" w:cs="Times New Roman" w:eastAsia="Times New Roman" w:hAnsi="Times New Roman"/>
          <w:sz w:val="20"/>
          <w:szCs w:val="20"/>
          <w:color w:val="auto"/>
        </w:rPr>
        <w:t>MDR. Failure to pass the audit will invalidate the CE Marking certificate. The company must perform Clinical Evaluation, PMS, and PMCF.</w:t>
      </w:r>
    </w:p>
    <w:p>
      <w:pPr>
        <w:spacing w:after="0" w:line="16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October 24, 2023, we announced that we received confirmation for the commencement of the process to support our future CE Mark</w:t>
      </w:r>
    </w:p>
    <w:p>
      <w:pPr>
        <w:spacing w:after="0" w:line="4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approval, and to ultimately allow us to market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Israel. Israel’s Medical Devices Law generally requires the registration of all medical products with the Ministry of Health, or MOH, Registrar as a 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63" w:lineRule="exact"/>
        <w:rPr>
          <w:sz w:val="20"/>
          <w:szCs w:val="20"/>
          <w:color w:val="auto"/>
        </w:rPr>
      </w:pPr>
    </w:p>
    <w:p>
      <w:pPr>
        <w:ind w:left="720" w:hanging="360"/>
        <w:spacing w:after="0"/>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Name and address of the manufacturer, and of the importer as applicable;</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Description of the intended use of the medical device and of its medical indications;</w:t>
      </w:r>
    </w:p>
    <w:p>
      <w:pPr>
        <w:spacing w:after="0" w:line="12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Technical details of the medical device and of its components, and in the event that the device or the components are not new, information should be provided on the date or renovation;</w:t>
      </w:r>
    </w:p>
    <w:p>
      <w:pPr>
        <w:spacing w:after="0" w:line="75"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Certificate attesting to the safety of the device, issued by a competent authority of one of the following countries: Australia, Canada, European Community (EC), Member States (MSs), Israel, Japan, or the United States;</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Information on any risk which may be associated with the use of the device (including precautionary measures to be taken);</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Instructions for use of the device in Hebrew; the MOH may allow the instructions to be in English for certain devices;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Details of the standards to which the device complies;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Description of the technical and maintenance services, including periodic checks and inspections; and</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Declaration, as appropriate: of the local manufacturer/importer, and of the foreign manufacturer.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65" w:lineRule="exact"/>
        <w:rPr>
          <w:sz w:val="20"/>
          <w:szCs w:val="20"/>
          <w:color w:val="auto"/>
        </w:rPr>
      </w:pPr>
    </w:p>
    <w:p>
      <w:pPr>
        <w:ind w:left="720" w:hanging="360"/>
        <w:spacing w:after="0"/>
        <w:tabs>
          <w:tab w:leader="none" w:pos="720" w:val="left"/>
        </w:tabs>
        <w:numPr>
          <w:ilvl w:val="0"/>
          <w:numId w:val="2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Reside and maintain a place of business in Israel and serve as the regulatory representative.</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Respond to questions from AMAR concerning the registered products.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Report adverse events to AMAR.</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Renew the registration on time to keep the market approval active.</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800"/>
          </w:cols>
          <w:pgMar w:left="720" w:top="700" w:right="720" w:bottom="175" w:gutter="0" w:footer="0" w:header="0"/>
          <w:type w:val="continuous"/>
        </w:sectPr>
      </w:pPr>
    </w:p>
    <w:bookmarkStart w:id="17" w:name="page18"/>
    <w:bookmarkEnd w:id="17"/>
    <w:p>
      <w:pPr>
        <w:jc w:val="both"/>
        <w:spacing w:after="0" w:line="277" w:lineRule="auto"/>
        <w:rPr>
          <w:sz w:val="20"/>
          <w:szCs w:val="20"/>
          <w:color w:val="auto"/>
        </w:rPr>
      </w:pPr>
      <w:r>
        <w:rPr>
          <w:rFonts w:ascii="Times New Roman" w:cs="Times New Roman" w:eastAsia="Times New Roman" w:hAnsi="Times New Roman"/>
          <w:sz w:val="20"/>
          <w:szCs w:val="20"/>
          <w:color w:val="auto"/>
        </w:rPr>
        <w:t>Comply with post-marketing requirements, including reporting of adverse and unexpected events occurring in Israel or in other countries where the device is in use.</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Getting a device listed on Israel’s four major Sick Funds (health insurance entities) is also necessary in order for Israeli hospitals and health care providers to order such products.</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March 25, 2024, we have 22 employees (including full-time and hourly employees).</w:t>
      </w:r>
    </w:p>
    <w:p>
      <w:pPr>
        <w:spacing w:after="0" w:line="2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Microbot’s Chief Executive Officer, President and Chairman, Harel Gadot, along with 5 other full-time employees, are based in the United States. Additionally, Microbot has 15 full-time employees and 1 part time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2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have historically been able to attract and retain top talent by creating a culture that challenges and engages our employees, offering them opportunities to learn, grow and achieve their career goals.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Benefits and Wellbeing</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believe that we provide competitive compensation for our employees. We offer annual bonuses and stock-based compensation for eligible employees. As a result of our May 2023 cost reduction plan, our executive officers and certain of our employees took salary reductions, although all of them have since had their salaries reinstated. We can give no assurance that such plan will not have an adverse effect on our ability to attract and/or retain employees or remain competitive for talent.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Leadership, Training and Development</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aim to provide our employees with advanced professional and development skills, so that they can perform effectively in their roles and build their capabilities and career prospects for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 Equity and Inclusion</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strive to encourage a diversity of views and to create an equal opportunity workplace. During the past year, we have increased the total number of women in management positions.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1A. </w:t>
      </w:r>
      <w:r>
        <w:rPr>
          <w:rFonts w:ascii="Times New Roman" w:cs="Times New Roman" w:eastAsia="Times New Roman" w:hAnsi="Times New Roman"/>
          <w:sz w:val="20"/>
          <w:szCs w:val="20"/>
          <w:b w:val="1"/>
          <w:bCs w:val="1"/>
          <w:u w:val="single" w:color="auto"/>
          <w:color w:val="auto"/>
        </w:rPr>
        <w:t>Risk Factors</w:t>
      </w:r>
    </w:p>
    <w:p>
      <w:pPr>
        <w:spacing w:after="0" w:line="2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This Annual Report on Form 10-K contains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Annual Report on Form 10-K or in other reports, press releases or other statements issued from time to time. Additional factors that may cause such a difference are set forth elsewhere in this Annual Report on Form 10-K. Forward-looking statements speak only as of the date of this report. We do not undertake any obligation to publicly update any forward-looking statements.</w:t>
      </w:r>
    </w:p>
    <w:p>
      <w:pPr>
        <w:spacing w:after="0" w:line="200" w:lineRule="exact"/>
        <w:rPr>
          <w:sz w:val="20"/>
          <w:szCs w:val="20"/>
          <w:color w:val="auto"/>
        </w:rPr>
      </w:pPr>
    </w:p>
    <w:p>
      <w:pPr>
        <w:ind w:right="3960"/>
        <w:spacing w:after="0" w:line="386" w:lineRule="auto"/>
        <w:rPr>
          <w:sz w:val="20"/>
          <w:szCs w:val="20"/>
          <w:color w:val="auto"/>
        </w:rPr>
      </w:pPr>
      <w:r>
        <w:rPr>
          <w:rFonts w:ascii="Times New Roman" w:cs="Times New Roman" w:eastAsia="Times New Roman" w:hAnsi="Times New Roman"/>
          <w:sz w:val="19"/>
          <w:szCs w:val="19"/>
          <w:b w:val="1"/>
          <w:bCs w:val="1"/>
          <w:color w:val="auto"/>
        </w:rPr>
        <w:t xml:space="preserve">Risks Relating to Microbot’s Financial Position and Need for Additional Capital </w:t>
      </w:r>
      <w:r>
        <w:rPr>
          <w:rFonts w:ascii="Times New Roman" w:cs="Times New Roman" w:eastAsia="Times New Roman" w:hAnsi="Times New Roman"/>
          <w:sz w:val="19"/>
          <w:szCs w:val="19"/>
          <w:b w:val="1"/>
          <w:bCs w:val="1"/>
          <w:i w:val="1"/>
          <w:iCs w:val="1"/>
          <w:color w:val="auto"/>
        </w:rPr>
        <w:t>There is substantial doubt regarding our ability to continue as a going concern.</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As stated elsewhere in this Annual Report on Form 10-K, we have not generated any revenues, have sustained losses and have accumulated a significant deficit since our inception. Also, we estimate that our cash resources are only sufficient to fund our operations for less than one year from the filing date of this Annual Report on Form 10-K. As a result, our continued existence is dependent upon our ability to obtain additional debt or equity financing and to ultimately become a commercially viable organization. As of December 31, 2023, the Company had unrestricted cash, cash equivalents and marketable securities of approximately $6.4 million. This does not include the approximately $2.4 million in net proceeds we received in our warrant reset transaction that closed on January 3, 2024.</w:t>
      </w:r>
    </w:p>
    <w:p>
      <w:pPr>
        <w:sectPr>
          <w:pgSz w:w="12240" w:h="15840" w:orient="portrait"/>
          <w:cols w:equalWidth="0" w:num="1">
            <w:col w:w="10800"/>
          </w:cols>
          <w:pgMar w:left="720" w:top="700" w:right="720" w:bottom="175" w:gutter="0" w:footer="0" w:header="0"/>
        </w:sectPr>
      </w:pP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00"/>
          </w:cols>
          <w:pgMar w:left="720" w:top="700" w:right="720" w:bottom="175" w:gutter="0" w:footer="0" w:header="0"/>
          <w:type w:val="continuous"/>
        </w:sectPr>
      </w:pPr>
    </w:p>
    <w:bookmarkStart w:id="18" w:name="page19"/>
    <w:bookmarkEnd w:id="18"/>
    <w:p>
      <w:pPr>
        <w:jc w:val="both"/>
        <w:spacing w:after="0" w:line="246" w:lineRule="auto"/>
        <w:rPr>
          <w:sz w:val="20"/>
          <w:szCs w:val="20"/>
          <w:color w:val="auto"/>
        </w:rPr>
      </w:pPr>
      <w:r>
        <w:rPr>
          <w:rFonts w:ascii="Times New Roman" w:cs="Times New Roman" w:eastAsia="Times New Roman" w:hAnsi="Times New Roman"/>
          <w:sz w:val="20"/>
          <w:szCs w:val="20"/>
          <w:color w:val="auto"/>
        </w:rPr>
        <w:t>We will need to raise additional capital to fund our operations and continue to support our planned development and commercialization activities. There can be no assurance that the additional necessary debt or equity financing will be available, or will be available on terms acceptable to us, in which case we may be unable to meet our obligations or fully implement our business plan, if at all.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which could adversely affect our ability to raise capital, expand our business and develop our planned products.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Microbot has incurred significant operating losses since its inception and expects to incur significant losses for the foreseeable future as</w:t>
      </w:r>
    </w:p>
    <w:p>
      <w:pPr>
        <w:spacing w:after="0" w:line="4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Microbot continues its preclinical and clinical development programs for its existing product candidates, primarily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w:t>
      </w:r>
    </w:p>
    <w:p>
      <w:pPr>
        <w:spacing w:after="0" w:line="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working towards medical device regulatory compliance; and, if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20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or other future product candidates. Microbot does not</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currently have the required approvals or clearances to market or test in humans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pre-commercialization planning for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800"/>
          </w:cols>
          <w:pgMar w:left="720" w:top="700" w:right="720" w:bottom="175" w:gutter="0" w:footer="0" w:header="0"/>
          <w:type w:val="continuous"/>
        </w:sectPr>
      </w:pPr>
    </w:p>
    <w:bookmarkStart w:id="19" w:name="page20"/>
    <w:bookmarkEnd w:id="19"/>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Microbot expects the research and development expenses of the Company to continue to increase substantially in future periods as it</w:t>
      </w:r>
    </w:p>
    <w:p>
      <w:pPr>
        <w:spacing w:after="0" w:line="3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9"/>
          <w:szCs w:val="19"/>
          <w:color w:val="auto"/>
        </w:rPr>
        <w:t>conducts preclinical studies in large animals and potentially clinical trials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Endovascular Robotic Surgical System, and especially if it initiates additional research programs for future product candidates. This is the case even with the recent suspension</w:t>
      </w:r>
    </w:p>
    <w:p>
      <w:pPr>
        <w:jc w:val="both"/>
        <w:spacing w:after="0" w:line="229" w:lineRule="auto"/>
        <w:rPr>
          <w:sz w:val="20"/>
          <w:szCs w:val="20"/>
          <w:color w:val="auto"/>
        </w:rPr>
      </w:pPr>
      <w:r>
        <w:rPr>
          <w:rFonts w:ascii="Times New Roman" w:cs="Times New Roman" w:eastAsia="Times New Roman" w:hAnsi="Times New Roman"/>
          <w:sz w:val="20"/>
          <w:szCs w:val="20"/>
          <w:color w:val="auto"/>
        </w:rPr>
        <w:t>and termination of the research and development programs relating to the SCS device, One &amp; Done</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intends to continue to opportunistically strengthen its balance sheet by raising additional funds through equity offerings, including possibly through its existing but currently suspended At-the-Market offering, or otherwise in order to meet expected future</w:t>
      </w:r>
    </w:p>
    <w:p>
      <w:pPr>
        <w:jc w:val="both"/>
        <w:spacing w:after="0" w:line="208" w:lineRule="auto"/>
        <w:rPr>
          <w:sz w:val="20"/>
          <w:szCs w:val="20"/>
          <w:color w:val="auto"/>
        </w:rPr>
      </w:pPr>
      <w:r>
        <w:rPr>
          <w:rFonts w:ascii="Times New Roman" w:cs="Times New Roman" w:eastAsia="Times New Roman" w:hAnsi="Times New Roman"/>
          <w:sz w:val="20"/>
          <w:szCs w:val="20"/>
          <w:color w:val="auto"/>
        </w:rPr>
        <w:t>liquidity needs, including the introduction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The Company’s future capital requirements, generally, will depend on many factors, including:</w:t>
      </w:r>
    </w:p>
    <w:p>
      <w:pPr>
        <w:spacing w:after="0" w:line="99" w:lineRule="exact"/>
        <w:rPr>
          <w:sz w:val="20"/>
          <w:szCs w:val="20"/>
          <w:color w:val="auto"/>
        </w:rPr>
      </w:pPr>
    </w:p>
    <w:p>
      <w:pPr>
        <w:ind w:left="720" w:hanging="360"/>
        <w:spacing w:after="0" w:line="263" w:lineRule="auto"/>
        <w:tabs>
          <w:tab w:leader="none" w:pos="720" w:val="left"/>
        </w:tabs>
        <w:numPr>
          <w:ilvl w:val="0"/>
          <w:numId w:val="2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timing and outcomes of the product candidates’ regulatory reviews, subsequent approvals or clearances, or other regulatory actions;</w:t>
      </w:r>
    </w:p>
    <w:p>
      <w:pPr>
        <w:spacing w:after="0" w:line="75"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2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costs, design, duration and any potential delays of the clinical trials that could be conducted at the FDA’s request using Microbot’s product candidates;</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2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costs of acquiring, licensing or investing in new and existing businesses, product candidates and technologies;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costs to maintain, expand and defend the scope of Microbot’s intellectual property portfolio;</w:t>
      </w:r>
    </w:p>
    <w:p>
      <w:pPr>
        <w:spacing w:after="0" w:line="12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2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costs to secure or establish sales, marketing and commercial manufacturing capabilities or arrangements with third parties regarding same;</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2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Company’s need and ability to hire additional management and scientific and medical personnel; and</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costs to operate as a public company in the United States.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the Development and Commercialization of Microbot’s Product Candidates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Unsuccessful animal studies, clinical trials or procedures relating to product candidates under development could have a material adverse effect on Microbot’s prospects.</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Failure to successfully complete the studies or trials in a timely and cost-effective manner could have a material adverse effect on</w:t>
      </w:r>
    </w:p>
    <w:p>
      <w:pPr>
        <w:spacing w:after="0" w:line="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Microbot’s prospects with respect to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Endovascular Robotic Surgical System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w:t>
      </w:r>
    </w:p>
    <w:p>
      <w:pPr>
        <w:sectPr>
          <w:pgSz w:w="12240" w:h="15840" w:orient="portrait"/>
          <w:cols w:equalWidth="0" w:num="1">
            <w:col w:w="10800"/>
          </w:cols>
          <w:pgMar w:left="720" w:top="700" w:right="720" w:bottom="175"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700" w:right="720" w:bottom="175" w:gutter="0" w:footer="0" w:header="0"/>
          <w:type w:val="continuous"/>
        </w:sectPr>
      </w:pPr>
    </w:p>
    <w:bookmarkStart w:id="20" w:name="page21"/>
    <w:bookmarkEnd w:id="20"/>
    <w:p>
      <w:pPr>
        <w:jc w:val="both"/>
        <w:spacing w:after="0" w:line="277" w:lineRule="auto"/>
        <w:rPr>
          <w:sz w:val="20"/>
          <w:szCs w:val="20"/>
          <w:color w:val="auto"/>
        </w:rPr>
      </w:pPr>
      <w:r>
        <w:rPr>
          <w:rFonts w:ascii="Times New Roman" w:cs="Times New Roman" w:eastAsia="Times New Roman" w:hAnsi="Times New Roman"/>
          <w:sz w:val="20"/>
          <w:szCs w:val="20"/>
          <w:color w:val="auto"/>
        </w:rPr>
        <w:t>design, conduct or results inadequate to demonstrate safety and effectiveness of the product candidate. The FDA may also require additional preclinical studies or clinical trials which could further delay approval of our product candidates.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Microbot’s business depends heavily on the success of its sole lead product candidate, the LIBERTY</w:t>
      </w:r>
      <w:r>
        <w:rPr>
          <w:rFonts w:ascii="Times New Roman" w:cs="Times New Roman" w:eastAsia="Times New Roman" w:hAnsi="Times New Roman"/>
          <w:sz w:val="31"/>
          <w:szCs w:val="31"/>
          <w:b w:val="1"/>
          <w:bCs w:val="1"/>
          <w:i w:val="1"/>
          <w:iCs w:val="1"/>
          <w:color w:val="auto"/>
          <w:vertAlign w:val="superscript"/>
        </w:rPr>
        <w:t>®</w:t>
      </w:r>
      <w:r>
        <w:rPr>
          <w:rFonts w:ascii="Times New Roman" w:cs="Times New Roman" w:eastAsia="Times New Roman" w:hAnsi="Times New Roman"/>
          <w:sz w:val="19"/>
          <w:szCs w:val="19"/>
          <w:b w:val="1"/>
          <w:bCs w:val="1"/>
          <w:i w:val="1"/>
          <w:iCs w:val="1"/>
          <w:color w:val="auto"/>
        </w:rPr>
        <w:t xml:space="preserve"> Endovascular Robotic Surgical</w:t>
      </w:r>
    </w:p>
    <w:p>
      <w:pPr>
        <w:jc w:val="both"/>
        <w:spacing w:after="0" w:line="208" w:lineRule="auto"/>
        <w:rPr>
          <w:sz w:val="20"/>
          <w:szCs w:val="20"/>
          <w:color w:val="auto"/>
        </w:rPr>
      </w:pPr>
      <w:r>
        <w:rPr>
          <w:rFonts w:ascii="Times New Roman" w:cs="Times New Roman" w:eastAsia="Times New Roman" w:hAnsi="Times New Roman"/>
          <w:sz w:val="20"/>
          <w:szCs w:val="20"/>
          <w:b w:val="1"/>
          <w:bCs w:val="1"/>
          <w:i w:val="1"/>
          <w:iCs w:val="1"/>
          <w:color w:val="auto"/>
        </w:rPr>
        <w:t>System. If Microbot is unable to commercialize the LIBERTY</w:t>
      </w:r>
      <w:r>
        <w:rPr>
          <w:rFonts w:ascii="Times New Roman" w:cs="Times New Roman" w:eastAsia="Times New Roman" w:hAnsi="Times New Roman"/>
          <w:sz w:val="32"/>
          <w:szCs w:val="32"/>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 or experiences significant delays in doing so, Microbot’s business will be materially harmed.</w:t>
      </w:r>
    </w:p>
    <w:p>
      <w:pPr>
        <w:spacing w:after="0" w:line="9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color w:val="auto"/>
        </w:rPr>
        <w:t>Generally, after all necessary clinical and performance data supporting the safety and effectiveness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w:t>
      </w:r>
    </w:p>
    <w:p>
      <w:pPr>
        <w:spacing w:after="0" w:line="195" w:lineRule="auto"/>
        <w:rPr>
          <w:sz w:val="20"/>
          <w:szCs w:val="20"/>
          <w:color w:val="auto"/>
        </w:rPr>
      </w:pPr>
      <w:r>
        <w:rPr>
          <w:rFonts w:ascii="Times New Roman" w:cs="Times New Roman" w:eastAsia="Times New Roman" w:hAnsi="Times New Roman"/>
          <w:sz w:val="19"/>
          <w:szCs w:val="19"/>
          <w:color w:val="auto"/>
        </w:rPr>
        <w:t>commercialization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Endovascular Robotic Surgical System, or any of our other product candidates from time to time.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0"/>
          <w:szCs w:val="20"/>
          <w:color w:val="auto"/>
        </w:rPr>
        <w:t>The success of commercializing any of our product candidates, include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will depend on a number of factors, including the following:</w:t>
      </w:r>
    </w:p>
    <w:p>
      <w:pPr>
        <w:spacing w:after="0" w:line="99" w:lineRule="exact"/>
        <w:rPr>
          <w:sz w:val="20"/>
          <w:szCs w:val="20"/>
          <w:color w:val="auto"/>
        </w:rPr>
      </w:pPr>
    </w:p>
    <w:p>
      <w:pPr>
        <w:ind w:left="720" w:hanging="360"/>
        <w:spacing w:after="0"/>
        <w:tabs>
          <w:tab w:leader="none" w:pos="72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obtain additional capital;</w:t>
      </w:r>
    </w:p>
    <w:p>
      <w:pPr>
        <w:spacing w:after="0" w:line="12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successful completion of animal studies and human clinical trials and the collection of sufficient data to demonstrate that the device is safe and effective for its intended use;</w:t>
      </w:r>
    </w:p>
    <w:p>
      <w:pPr>
        <w:spacing w:after="0" w:line="75"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receipt of marketing approvals or clearances from the FDA and other applicable regulatory authorities, which we continue to seek;</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establishing commercial manufacturing arrangements with one or more third parties;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obtaining and maintaining patent and trade secret protections;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protecting Microbot’s rights in its intellectual property portfolio;</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establishing sales, marketing and distribution capabilities;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generating commercial sales, if and when approved, whether alone or in collaboration with other entities;</w:t>
      </w:r>
    </w:p>
    <w:p>
      <w:pPr>
        <w:spacing w:after="0" w:line="12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acceptance of our product candidates, if and when commercially launched, by the medical community, patients and third-party payors;</w:t>
      </w:r>
    </w:p>
    <w:p>
      <w:pPr>
        <w:spacing w:after="0" w:line="75"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effectively competing with existing and competitive products on the market and any new competing products that may enter the market; and</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maintaining quality and an acceptable safety profile of our products following clearance or approval.</w:t>
      </w:r>
    </w:p>
    <w:p>
      <w:pPr>
        <w:spacing w:after="0" w:line="22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We recently suspended our research and development programs for all of our product candidates and platforms other than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as a result of, among other things, some of the above factors, and our short and</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20"/>
          <w:szCs w:val="20"/>
          <w:color w:val="auto"/>
        </w:rPr>
        <w:t>medium term success is no longer tied to multiple product candidates but rather just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If Microbot does not achieve one or more of these factors in a timely manner or at all, it could experience significant delays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0"/>
          <w:szCs w:val="20"/>
          <w:color w:val="auto"/>
        </w:rPr>
        <w:t>an inability to successfully commercialize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 which would materially harm its business.</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results of Microbot’s research and development efforts are uncertain and there can be no assurance of the commercial success of Microbot’s product candidates.</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 may not meet its development and commercialization objectives in a timely manner or at all.</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ectPr>
          <w:pgSz w:w="12240" w:h="15840" w:orient="portrait"/>
          <w:cols w:equalWidth="0" w:num="1">
            <w:col w:w="10800"/>
          </w:cols>
          <w:pgMar w:left="720" w:top="700" w:right="720" w:bottom="175"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800"/>
          </w:cols>
          <w:pgMar w:left="720" w:top="700" w:right="720" w:bottom="175"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Microbot’s ability to expand its technology platforms for other uses may be limited.</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 this time, Microbot does not know the extent of the clinical trial that the FDA will require it to submit in support of its future</w:t>
      </w:r>
    </w:p>
    <w:p>
      <w:pPr>
        <w:spacing w:after="0" w:line="35"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0"/>
          <w:szCs w:val="20"/>
          <w:b w:val="1"/>
          <w:bCs w:val="1"/>
          <w:i w:val="1"/>
          <w:iCs w:val="1"/>
          <w:color w:val="auto"/>
        </w:rPr>
        <w:t>marketing applications for the LIBERTY</w:t>
      </w:r>
      <w:r>
        <w:rPr>
          <w:rFonts w:ascii="Times New Roman" w:cs="Times New Roman" w:eastAsia="Times New Roman" w:hAnsi="Times New Roman"/>
          <w:sz w:val="32"/>
          <w:szCs w:val="32"/>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9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Microbot has identified a predicate device for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which it intended to use in its 510(k) application. However,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FDA requires clinical data to be submitted as part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 which we have submitted and are continuing the submission process with the FDA.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22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Thus, the addition of one or more mandatory clinical trials to the development timeline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changes by the FDA could further affect our development plans for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2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Microbot’s technology acquired from CardioSert and part of its One &amp; Done</w:t>
      </w:r>
      <w:r>
        <w:rPr>
          <w:rFonts w:ascii="Times New Roman" w:cs="Times New Roman" w:eastAsia="Times New Roman" w:hAnsi="Times New Roman"/>
          <w:sz w:val="32"/>
          <w:szCs w:val="32"/>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feature is subject to a buy-back clause which was triggered, causing us to lose rights to the technology.</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Pursuant to the agreement with CardioSert we entered into in January 2018 to acquire its technology, we were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As a result of our failure to meet the applicable commercialization deadline, and as a result of our May 2023 core-business focus program and cost reduction plan which resulted in our terminating the January 2018 agreement with CardioSert effective as of August 17, 2023 and ceasing development and maintenance of the technology, CardioSert exercised its right to re-acquire the technology for nominal consideration. Such sale would materially adversely affect our ability to develop and commercialize, or materially delay the development</w:t>
      </w:r>
    </w:p>
    <w:p>
      <w:pPr>
        <w:spacing w:after="0"/>
        <w:rPr>
          <w:sz w:val="20"/>
          <w:szCs w:val="20"/>
          <w:color w:val="auto"/>
        </w:rPr>
      </w:pPr>
      <w:r>
        <w:rPr>
          <w:rFonts w:ascii="Times New Roman" w:cs="Times New Roman" w:eastAsia="Times New Roman" w:hAnsi="Times New Roman"/>
          <w:sz w:val="20"/>
          <w:szCs w:val="20"/>
          <w:color w:val="auto"/>
        </w:rPr>
        <w:t>and commercialization of, our One &amp; Done</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feature, as, if and when we restart that feature with our Nitiloop technology.</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800"/>
          </w:cols>
          <w:pgMar w:left="720" w:top="700" w:right="720" w:bottom="175" w:gutter="0" w:footer="0" w:header="0"/>
          <w:type w:val="continuous"/>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20"/>
          <w:szCs w:val="20"/>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research and development program is dependent on the availability of the component parts that we use to manufacture our</w:t>
      </w:r>
    </w:p>
    <w:p>
      <w:pPr>
        <w:spacing w:after="0" w:line="3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Israel-Hamas war,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the commercial opportunity for the LIBERTY</w:t>
      </w:r>
      <w:r>
        <w:rPr>
          <w:rFonts w:ascii="Times New Roman" w:cs="Times New Roman" w:eastAsia="Times New Roman" w:hAnsi="Times New Roman"/>
          <w:sz w:val="32"/>
          <w:szCs w:val="32"/>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 and any other commercial products that</w:t>
      </w:r>
    </w:p>
    <w:p>
      <w:pPr>
        <w:jc w:val="both"/>
        <w:spacing w:after="0" w:line="208" w:lineRule="auto"/>
        <w:rPr>
          <w:sz w:val="20"/>
          <w:szCs w:val="20"/>
          <w:color w:val="auto"/>
        </w:rPr>
      </w:pPr>
      <w:r>
        <w:rPr>
          <w:rFonts w:ascii="Times New Roman" w:cs="Times New Roman" w:eastAsia="Times New Roman" w:hAnsi="Times New Roman"/>
          <w:sz w:val="20"/>
          <w:szCs w:val="20"/>
          <w:b w:val="1"/>
          <w:bCs w:val="1"/>
          <w:i w:val="1"/>
          <w:iCs w:val="1"/>
          <w:color w:val="auto"/>
        </w:rPr>
        <w:t>may be developed by Microbot is smaller than Microbot anticipates, Microbot’s future revenue from the LIBERTY</w:t>
      </w:r>
      <w:r>
        <w:rPr>
          <w:rFonts w:ascii="Times New Roman" w:cs="Times New Roman" w:eastAsia="Times New Roman" w:hAnsi="Times New Roman"/>
          <w:sz w:val="32"/>
          <w:szCs w:val="32"/>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 and such other products will be adversely affected and Microbot’s business will suffer.</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20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commercial success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22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Customers will be unlikely to buy the LIBERTY</w:t>
      </w:r>
      <w:r>
        <w:rPr>
          <w:rFonts w:ascii="Times New Roman" w:cs="Times New Roman" w:eastAsia="Times New Roman" w:hAnsi="Times New Roman"/>
          <w:sz w:val="32"/>
          <w:szCs w:val="32"/>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9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To date, Microbot has focused primarily on research and development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ectPr>
          <w:pgSz w:w="12240" w:h="15840" w:orient="portrait"/>
          <w:cols w:equalWidth="0" w:num="1">
            <w:col w:w="10800"/>
          </w:cols>
          <w:pgMar w:left="720" w:top="700" w:right="720" w:bottom="175"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00"/>
          </w:cols>
          <w:pgMar w:left="720" w:top="700" w:right="720" w:bottom="175"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 has relied on, and intends to continue to rely on, third-party manufacturers to produce its product candidates.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88" w:lineRule="exact"/>
        <w:rPr>
          <w:sz w:val="20"/>
          <w:szCs w:val="20"/>
          <w:color w:val="auto"/>
        </w:rPr>
      </w:pPr>
    </w:p>
    <w:p>
      <w:pPr>
        <w:ind w:left="720" w:hanging="360"/>
        <w:spacing w:after="0" w:line="263" w:lineRule="auto"/>
        <w:tabs>
          <w:tab w:leader="none" w:pos="720" w:val="left"/>
        </w:tabs>
        <w:numPr>
          <w:ilvl w:val="0"/>
          <w:numId w:val="2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limitations on supply availability resulting from capacity, internal operational problems or scheduling constraints of third parties;</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2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potential regulatory non-compliance or other violations by the third-party manufacturer that could result in quality assurance;</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possible breach of manufacturing agreements by third parties because of various factors beyond Microbot’s control; and</w:t>
      </w:r>
    </w:p>
    <w:p>
      <w:pPr>
        <w:spacing w:after="0" w:line="12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2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possible termination or non-renewal of manufacturing agreements by third parties for various reasons beyond Microbot’s control, at a time that is costly or inconvenient to Microbot.</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Microbot’s product candidates are not considered to be a safe and effective alternative to existing technologies, Microbot will not be commercially successful.</w:t>
      </w:r>
    </w:p>
    <w:p>
      <w:pPr>
        <w:spacing w:after="0" w:line="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color w:val="auto"/>
        </w:rPr>
        <w:t>data regarding efficacy, safety and clinical outcomes associated with the use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Microbot may be subject to penalties and may be precluded from marketing its product candidates if Microbot fails to comply with extensive governmental regulations.</w:t>
      </w:r>
    </w:p>
    <w:p>
      <w:pPr>
        <w:spacing w:after="0" w:line="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800"/>
          </w:cols>
          <w:pgMar w:left="720" w:top="700" w:right="720" w:bottom="175" w:gutter="0" w:footer="0" w:header="0"/>
          <w:type w:val="continuous"/>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As Microbot’s product offerings are used across diverse healthcare settings, they will be affected to varying degrees by the different payment systems.</w:t>
      </w:r>
    </w:p>
    <w:p>
      <w:pPr>
        <w:spacing w:after="0" w:line="18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Clinical outcome studies for the LIBERTY</w:t>
      </w:r>
      <w:r>
        <w:rPr>
          <w:rFonts w:ascii="Times New Roman" w:cs="Times New Roman" w:eastAsia="Times New Roman" w:hAnsi="Times New Roman"/>
          <w:sz w:val="32"/>
          <w:szCs w:val="32"/>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 may not provide sufficient data to make such product candidate the standard of care.</w:t>
      </w:r>
    </w:p>
    <w:p>
      <w:pPr>
        <w:spacing w:after="0" w:line="9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Microbot’s business plan with respect to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relies on the broad adoption by surgeons of the product for its planned applications.</w:t>
      </w:r>
    </w:p>
    <w:p>
      <w:pPr>
        <w:spacing w:after="0" w:line="21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Clinical studies may not show an advantage in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Endovascular Robotic Surgical System based procedures in a timely manner, or at all, and outcome studies have not been designed at this time, and may be too large and too costly for Microbot to conduct.</w:t>
      </w:r>
    </w:p>
    <w:p>
      <w:pPr>
        <w:jc w:val="both"/>
        <w:spacing w:after="0" w:line="208" w:lineRule="auto"/>
        <w:rPr>
          <w:sz w:val="20"/>
          <w:szCs w:val="20"/>
          <w:color w:val="auto"/>
        </w:rPr>
      </w:pPr>
      <w:r>
        <w:rPr>
          <w:rFonts w:ascii="Times New Roman" w:cs="Times New Roman" w:eastAsia="Times New Roman" w:hAnsi="Times New Roman"/>
          <w:sz w:val="20"/>
          <w:szCs w:val="20"/>
          <w:color w:val="auto"/>
        </w:rPr>
        <w:t>Both situations could prevent broad adoption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and materially impact Microbot’s business.</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Microbot products may in the future be subject to mandatory product recalls that could harm its reputation, business and financial results.</w:t>
      </w:r>
    </w:p>
    <w:p>
      <w:pPr>
        <w:spacing w:after="0" w:line="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w:t>
      </w:r>
    </w:p>
    <w:p>
      <w:pPr>
        <w:sectPr>
          <w:pgSz w:w="12240" w:h="15840" w:orient="portrait"/>
          <w:cols w:equalWidth="0" w:num="1">
            <w:col w:w="10800"/>
          </w:cols>
          <w:pgMar w:left="720" w:top="700" w:right="720" w:bottom="175" w:gutter="0" w:footer="0" w:header="0"/>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800"/>
          </w:cols>
          <w:pgMar w:left="720" w:top="700" w:right="720" w:bottom="175" w:gutter="0" w:footer="0" w:header="0"/>
          <w:type w:val="continuous"/>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20"/>
          <w:szCs w:val="20"/>
          <w:color w:val="auto"/>
        </w:rPr>
        <w:t>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83" w:lineRule="exact"/>
        <w:rPr>
          <w:sz w:val="20"/>
          <w:szCs w:val="20"/>
          <w:color w:val="auto"/>
        </w:rPr>
      </w:pPr>
    </w:p>
    <w:p>
      <w:pPr>
        <w:ind w:left="720" w:hanging="360"/>
        <w:spacing w:after="0"/>
        <w:tabs>
          <w:tab w:leader="none" w:pos="72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untitled letters, warning letters, fines, injunctions, consent decrees and civil penalties;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detention or seizure of Microbot products;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operating restrictions or partial suspension or total shutdown of production;</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refusing or delaying requests for 510(k) clearance or premarket approval of new products or modified products;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withdrawing 510(k) clearances or other types of regulatory authorizations -that have already been granted;</w:t>
      </w:r>
    </w:p>
    <w:p>
      <w:pPr>
        <w:spacing w:after="0" w:line="121" w:lineRule="exact"/>
        <w:rPr>
          <w:rFonts w:ascii="PMingLiU" w:cs="PMingLiU" w:eastAsia="PMingLiU" w:hAnsi="PMingLiU"/>
          <w:sz w:val="20"/>
          <w:szCs w:val="20"/>
          <w:color w:val="auto"/>
        </w:rPr>
      </w:pPr>
    </w:p>
    <w:p>
      <w:pPr>
        <w:ind w:left="780" w:hanging="420"/>
        <w:spacing w:after="0"/>
        <w:tabs>
          <w:tab w:leader="none" w:pos="78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refusing to grant export approval for Microbot products; or</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criminal prosecution.</w:t>
      </w:r>
    </w:p>
    <w:p>
      <w:pPr>
        <w:spacing w:after="0" w:line="22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May 2023 cost reduction program, we reduced all executive officers’ salaries by between 30%-50%. Although the salaries of all executives have since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Microbot does not carry, and does not intend to carry, any key person life insurance policies on any of its existing executive officers.</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00"/>
          </w:cols>
          <w:pgMar w:left="720" w:top="700" w:right="720" w:bottom="175"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Risks Relating to International Business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order for Microbot to market its product candidates in countries other than the United States, it must comply with the safety and quality regulations in such countries.</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22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Although we engaged with a leading notified body to secure a CE Mark for sales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in Europe, it is not yet certain as to when we will secure the CE Mark, and we cannot be certain that we will be successful in</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complying with the requirements of the CE Certificate of Conformity and receiving a CE Mark for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or other product candidates or in continuing to meet the requirements of the Medical Devices Directive in the European Economic Area (EEA).</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 operations in international markets involve inherent risks that Microbot may not be able to control.</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83" w:lineRule="exact"/>
        <w:rPr>
          <w:sz w:val="20"/>
          <w:szCs w:val="20"/>
          <w:color w:val="auto"/>
        </w:rPr>
      </w:pPr>
    </w:p>
    <w:p>
      <w:pPr>
        <w:ind w:left="720" w:hanging="360"/>
        <w:spacing w:after="0"/>
        <w:tabs>
          <w:tab w:leader="none" w:pos="72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adverse macroeconomic conditions affecting geographies where Microbot intends to do business;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closing of international borders, including as a result of biohazards or pandemics;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foreign currency exchange rates;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political or social unrest or economic instability in a specific country or region;</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higher costs of doing business in certain foreign countries;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infringement claims on foreign patents, copyrights or trademark rights;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difficulties in staffing and managing operations across disparate geographic areas;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difficulties associated with enforcing agreements and intellectual property rights through foreign legal systems;</w:t>
      </w:r>
    </w:p>
    <w:p>
      <w:pPr>
        <w:spacing w:after="0" w:line="12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trade protection measures and other regulatory requirements, which affect Microbot’s ability to import or export its product candidates from or to various countries;</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adverse tax consequences;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unexpected changes in legal and regulatory requirements;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military conflict, terrorist activities, natural disasters and medical epidemics; and</w:t>
      </w:r>
    </w:p>
    <w:p>
      <w:pPr>
        <w:sectPr>
          <w:pgSz w:w="12240" w:h="15840" w:orient="portrait"/>
          <w:cols w:equalWidth="0" w:num="1">
            <w:col w:w="10800"/>
          </w:cols>
          <w:pgMar w:left="720" w:top="696" w:right="720" w:bottom="175" w:gutter="0" w:footer="0" w:header="0"/>
        </w:sectPr>
      </w:pP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800"/>
          </w:cols>
          <w:pgMar w:left="720" w:top="696" w:right="720" w:bottom="175" w:gutter="0" w:footer="0" w:header="0"/>
          <w:type w:val="continuous"/>
        </w:sectPr>
      </w:pPr>
    </w:p>
    <w:bookmarkStart w:id="27" w:name="page28"/>
    <w:bookmarkEnd w:id="27"/>
    <w:p>
      <w:pPr>
        <w:ind w:left="720" w:hanging="360"/>
        <w:spacing w:after="0"/>
        <w:tabs>
          <w:tab w:leader="none" w:pos="72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Microbot’s ability to recruit and retain channel partners in foreign jurisdictions.</w:t>
      </w:r>
    </w:p>
    <w:p>
      <w:pPr>
        <w:spacing w:after="0" w:line="22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Microbot’s financial results may be affected by fluctuations in exchange rates and Microbot’s current currency hedging strategy may not be sufficient to counter such fluctuations.</w:t>
      </w:r>
    </w:p>
    <w:p>
      <w:pPr>
        <w:spacing w:after="0" w:line="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Microbot’s Intellectual Property</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and infringement claims could cause Microbot to incur significant expenses or prevent Microbot from selling certain of its product candidates.</w:t>
      </w:r>
    </w:p>
    <w:p>
      <w:pPr>
        <w:spacing w:after="0" w:line="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w:t>
      </w:r>
    </w:p>
    <w:p>
      <w:pPr>
        <w:jc w:val="both"/>
        <w:spacing w:after="0" w:line="241" w:lineRule="auto"/>
        <w:rPr>
          <w:sz w:val="20"/>
          <w:szCs w:val="20"/>
          <w:color w:val="auto"/>
        </w:rPr>
      </w:pPr>
      <w:r>
        <w:rPr>
          <w:rFonts w:ascii="Times New Roman" w:cs="Times New Roman" w:eastAsia="Times New Roman" w:hAnsi="Times New Roman"/>
          <w:sz w:val="19"/>
          <w:szCs w:val="19"/>
          <w:color w:val="auto"/>
        </w:rPr>
        <w:t>patents, including the remaining TRDF licensed patents that relate to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ectPr>
          <w:pgSz w:w="12240" w:h="15840" w:orient="portrait"/>
          <w:cols w:equalWidth="0" w:num="1">
            <w:col w:w="10800"/>
          </w:cols>
          <w:pgMar w:left="720" w:top="714" w:right="720" w:bottom="175"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714" w:right="720" w:bottom="175" w:gutter="0" w:footer="0" w:header="0"/>
          <w:type w:val="continuous"/>
        </w:sectPr>
      </w:pPr>
    </w:p>
    <w:bookmarkStart w:id="28" w:name="page29"/>
    <w:bookmarkEnd w:id="28"/>
    <w:p>
      <w:pPr>
        <w:jc w:val="both"/>
        <w:spacing w:after="0" w:line="249" w:lineRule="auto"/>
        <w:rPr>
          <w:sz w:val="20"/>
          <w:szCs w:val="20"/>
          <w:color w:val="auto"/>
        </w:rPr>
      </w:pPr>
      <w:r>
        <w:rPr>
          <w:rFonts w:ascii="Times New Roman" w:cs="Times New Roman" w:eastAsia="Times New Roman" w:hAnsi="Times New Roman"/>
          <w:sz w:val="20"/>
          <w:szCs w:val="20"/>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Operations in Israel</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filing date of this Annual Report on Form 10-K.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considered various ongoing risks relating to the military operation and related matters, including:</w:t>
      </w:r>
    </w:p>
    <w:p>
      <w:pPr>
        <w:spacing w:after="0" w:line="134" w:lineRule="exact"/>
        <w:rPr>
          <w:sz w:val="20"/>
          <w:szCs w:val="20"/>
          <w:color w:val="auto"/>
        </w:rPr>
      </w:pPr>
    </w:p>
    <w:p>
      <w:pPr>
        <w:ind w:left="720" w:hanging="360"/>
        <w:spacing w:after="0" w:line="263" w:lineRule="auto"/>
        <w:tabs>
          <w:tab w:leader="none" w:pos="720" w:val="left"/>
        </w:tabs>
        <w:numPr>
          <w:ilvl w:val="0"/>
          <w:numId w:val="2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That some of the Company’s Israeli subcontractors, vendors, suppliers and other companies in which the Company relies, are currently only partially active, as instructed by the relevant authorities; and</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2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 slowdown in the number of international flights in and out of Israel.</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Annual Report on Form 10-K,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 has facilities located in Israel, and therefore, political conditions in Israel may affect Microbot’s operations and results.</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700" w:right="720" w:bottom="175"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i w:val="1"/>
          <w:iCs w:val="1"/>
          <w:color w:val="auto"/>
        </w:rPr>
        <w:t>Political relations could limit Microbot’s ability to sell or buy internationally.</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Israel’s economy may become unstable.</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rate fluctuations between the U.S. dollar and the NIS currencies may negatively affect Microbot’s operating costs.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Microbot’s research and development efforts from inception until now have been financed in part through such Israeli Innovation Authority royalty bearing grants in an aggregate amount of approximately $1.8 million through December 31, 2023. During 2023, total grants approved from the Israeli Innovation Authority was in the amount of approximately NIS 1.6 million, to further finance the</w:t>
      </w:r>
    </w:p>
    <w:p>
      <w:pPr>
        <w:spacing w:after="0"/>
        <w:rPr>
          <w:sz w:val="20"/>
          <w:szCs w:val="20"/>
          <w:color w:val="auto"/>
        </w:rPr>
      </w:pPr>
      <w:r>
        <w:rPr>
          <w:rFonts w:ascii="Times New Roman" w:cs="Times New Roman" w:eastAsia="Times New Roman" w:hAnsi="Times New Roman"/>
          <w:sz w:val="20"/>
          <w:szCs w:val="20"/>
          <w:color w:val="auto"/>
        </w:rPr>
        <w:t>development of the Company’s manufacturing process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Furthermore the Company received approval for a grant from the Ministry of Economy of the State of Israel in the amount of</w:t>
      </w:r>
    </w:p>
    <w:p>
      <w:pPr>
        <w:spacing w:after="0" w:line="35"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0"/>
          <w:szCs w:val="20"/>
          <w:color w:val="auto"/>
        </w:rPr>
        <w:t>approximately NIS 300,000, to further finance the marketing activities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in the U.S. market.</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as a result of our 2018 agreement with CardioSert and our 2022 agreement with Nitiloop, we took over the liability to repay CardioSert’s and Nitiloop’s IIA grants in the aggregate amount of approximately $530,000 and $925,000, respectively, although we expect that we will cease to have any obligations under the CardioSert grants once that technology is returned.</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w:t>
      </w:r>
    </w:p>
    <w:p>
      <w:pPr>
        <w:sectPr>
          <w:pgSz w:w="12240" w:h="15840" w:orient="portrait"/>
          <w:cols w:equalWidth="0" w:num="1">
            <w:col w:w="10800"/>
          </w:cols>
          <w:pgMar w:left="720" w:top="700" w:right="720" w:bottom="175" w:gutter="0" w:footer="0" w:header="0"/>
        </w:sectPr>
      </w:pP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800"/>
          </w:cols>
          <w:pgMar w:left="720" w:top="700" w:right="720" w:bottom="175" w:gutter="0" w:footer="0" w:header="0"/>
          <w:type w:val="continuous"/>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20"/>
          <w:szCs w:val="20"/>
          <w:color w:val="auto"/>
        </w:rPr>
        <w:t>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Some of Microbot’s employees are obligated to perform military reserve duty in Israel.</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It may be difficult to enforce a non-Israeli judgment against Microbot or its officers and directors.</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Microbot’s Securities, Governance and Other Matters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expect to pay cash dividends on our common stock.</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800"/>
          </w:cols>
          <w:pgMar w:left="720" w:top="700" w:right="720" w:bottom="175" w:gutter="0" w:footer="0" w:header="0"/>
          <w:type w:val="continuous"/>
        </w:sectPr>
      </w:pPr>
    </w:p>
    <w:bookmarkStart w:id="31" w:name="page32"/>
    <w:bookmarkEnd w:id="31"/>
    <w:p>
      <w:pPr>
        <w:jc w:val="both"/>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the Company’s investors, restrict its operations or require it to relinquish rights to its technologies or product candidates.</w:t>
      </w:r>
    </w:p>
    <w:p>
      <w:pPr>
        <w:spacing w:after="0" w:line="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w:t>
      </w:r>
    </w:p>
    <w:p>
      <w:pPr>
        <w:jc w:val="both"/>
        <w:spacing w:after="0" w:line="208" w:lineRule="auto"/>
        <w:rPr>
          <w:sz w:val="20"/>
          <w:szCs w:val="20"/>
          <w:color w:val="auto"/>
        </w:rPr>
      </w:pPr>
      <w:r>
        <w:rPr>
          <w:rFonts w:ascii="Times New Roman" w:cs="Times New Roman" w:eastAsia="Times New Roman" w:hAnsi="Times New Roman"/>
          <w:sz w:val="20"/>
          <w:szCs w:val="20"/>
          <w:color w:val="auto"/>
        </w:rPr>
        <w:t>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and any other products that it may from time to time seek to develop or commercialize in the future.</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effective, are more convenient or are less expensive than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have in the past and may again in the future pursue other acquisitions of businesses and technologies. Acquisitions entail numerous risks, including:</w:t>
      </w:r>
    </w:p>
    <w:p>
      <w:pPr>
        <w:spacing w:after="0" w:line="63" w:lineRule="exact"/>
        <w:rPr>
          <w:sz w:val="20"/>
          <w:szCs w:val="20"/>
          <w:color w:val="auto"/>
        </w:rPr>
      </w:pPr>
    </w:p>
    <w:p>
      <w:pPr>
        <w:ind w:left="720" w:hanging="360"/>
        <w:spacing w:after="0"/>
        <w:tabs>
          <w:tab w:leader="none" w:pos="720" w:val="left"/>
        </w:tabs>
        <w:numPr>
          <w:ilvl w:val="0"/>
          <w:numId w:val="2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difficulties in the integration of acquired operations, services and products;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failure to achieve expected synergies;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2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diversion of management’s attention from other business concerns;</w:t>
      </w:r>
    </w:p>
    <w:p>
      <w:pPr>
        <w:sectPr>
          <w:pgSz w:w="12240" w:h="15840" w:orient="portrait"/>
          <w:cols w:equalWidth="0" w:num="1">
            <w:col w:w="10800"/>
          </w:cols>
          <w:pgMar w:left="720" w:top="700" w:right="720" w:bottom="175" w:gutter="0" w:footer="0" w:header="0"/>
        </w:sectPr>
      </w:pP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700" w:right="720" w:bottom="175" w:gutter="0" w:footer="0" w:header="0"/>
          <w:type w:val="continuous"/>
        </w:sectPr>
      </w:pPr>
    </w:p>
    <w:bookmarkStart w:id="32" w:name="page33"/>
    <w:bookmarkEnd w:id="32"/>
    <w:p>
      <w:pPr>
        <w:ind w:left="720" w:hanging="360"/>
        <w:spacing w:after="0"/>
        <w:tabs>
          <w:tab w:leader="none" w:pos="72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assumption of unknown material liabilities of acquired companies;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amortization of acquired intangible assets, which could reduce future reported earnings;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Lack of funding to properly and adequately develop and commercialize the technologies acquired;</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potential loss of clients or key employees of acquired companies; and</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dilution to existing stockholders.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for our common stock may be volatile.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market price for our common stock may be volatile and subject to wide fluctuations in response to factors including the following:</w:t>
      </w:r>
    </w:p>
    <w:p>
      <w:pPr>
        <w:spacing w:after="0" w:line="146" w:lineRule="exact"/>
        <w:rPr>
          <w:sz w:val="20"/>
          <w:szCs w:val="20"/>
          <w:color w:val="auto"/>
        </w:rPr>
      </w:pPr>
    </w:p>
    <w:p>
      <w:pPr>
        <w:ind w:left="720" w:hanging="360"/>
        <w:spacing w:after="0"/>
        <w:tabs>
          <w:tab w:leader="none" w:pos="72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actual or anticipated fluctuations in our quarterly or annual operating results;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changes in financial or operational estimates or projections;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conditions in markets generally;</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changes in the economic performance or market valuations of companies similar to ours;</w:t>
      </w:r>
    </w:p>
    <w:p>
      <w:pPr>
        <w:spacing w:after="0" w:line="12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announcements by us or our competitors of new products, acquisitions, strategic partnerships, joint ventures or capital commitments;</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intellectual property position; and</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general economic or political conditions in the United States, Israel or elsewhere.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issuance of shares upon exercise of outstanding warrants and options could cause immediate and substantial dilution to existing stockholders.</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1B. </w:t>
      </w:r>
      <w:r>
        <w:rPr>
          <w:rFonts w:ascii="Times New Roman" w:cs="Times New Roman" w:eastAsia="Times New Roman" w:hAnsi="Times New Roman"/>
          <w:sz w:val="20"/>
          <w:szCs w:val="20"/>
          <w:b w:val="1"/>
          <w:bCs w:val="1"/>
          <w:u w:val="single" w:color="auto"/>
          <w:color w:val="auto"/>
        </w:rPr>
        <w:t>Unresolved Staff Comments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1C. </w:t>
      </w:r>
      <w:r>
        <w:rPr>
          <w:rFonts w:ascii="Times New Roman" w:cs="Times New Roman" w:eastAsia="Times New Roman" w:hAnsi="Times New Roman"/>
          <w:sz w:val="20"/>
          <w:szCs w:val="20"/>
          <w:b w:val="1"/>
          <w:bCs w:val="1"/>
          <w:u w:val="single" w:color="auto"/>
          <w:color w:val="auto"/>
        </w:rPr>
        <w:t>Cybersecurity</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Since our formation, we have been primarily focused on research and development activities and pursuing FDA approval of our planned products. We have 22 employees and currently use third-party vendors and service providers for certain product development and regulatory approval activities.</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use a third-party sub-contractor to manage all Information Technology (IT) issues, including protection against, detection, and response to cyberattacks.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measures that are taken to ensure proper protection include:</w:t>
      </w:r>
    </w:p>
    <w:p>
      <w:pPr>
        <w:sectPr>
          <w:pgSz w:w="12240" w:h="15840" w:orient="portrait"/>
          <w:cols w:equalWidth="0" w:num="1">
            <w:col w:w="10800"/>
          </w:cols>
          <w:pgMar w:left="720" w:top="714" w:right="720" w:bottom="175"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00"/>
          </w:cols>
          <w:pgMar w:left="720" w:top="714" w:right="720" w:bottom="175" w:gutter="0" w:footer="0" w:header="0"/>
          <w:type w:val="continuous"/>
        </w:sectPr>
      </w:pPr>
    </w:p>
    <w:bookmarkStart w:id="33" w:name="page34"/>
    <w:bookmarkEnd w:id="33"/>
    <w:p>
      <w:pPr>
        <w:jc w:val="both"/>
        <w:ind w:left="720" w:hanging="360"/>
        <w:spacing w:after="0" w:line="247" w:lineRule="auto"/>
        <w:tabs>
          <w:tab w:leader="none" w:pos="720" w:val="left"/>
        </w:tabs>
        <w:numPr>
          <w:ilvl w:val="0"/>
          <w:numId w:val="3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All computers are protected using a cloud-powered endpoint security solution that helps enterprises prevent, detect, investigate, and respond to advanced threats on their networks. It offers endpoint protection, endpoint detection and response, mobile threat defense, and integrated vulnerability management. It also provides, among other things, malware and spyware detection and remediation, rootkit detection and remediation and network vulnerability detection.</w:t>
      </w:r>
    </w:p>
    <w:p>
      <w:pPr>
        <w:spacing w:after="0" w:line="93" w:lineRule="exact"/>
        <w:rPr>
          <w:rFonts w:ascii="PMingLiU" w:cs="PMingLiU" w:eastAsia="PMingLiU" w:hAnsi="PMingLiU"/>
          <w:sz w:val="20"/>
          <w:szCs w:val="20"/>
          <w:color w:val="auto"/>
        </w:rPr>
      </w:pPr>
    </w:p>
    <w:p>
      <w:pPr>
        <w:ind w:left="720" w:hanging="360"/>
        <w:spacing w:after="0"/>
        <w:tabs>
          <w:tab w:leader="none" w:pos="720" w:val="left"/>
        </w:tabs>
        <w:numPr>
          <w:ilvl w:val="0"/>
          <w:numId w:val="3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All Company computer hard drives are automatically encrypted.</w:t>
      </w:r>
    </w:p>
    <w:p>
      <w:pPr>
        <w:spacing w:after="0" w:line="121" w:lineRule="exact"/>
        <w:rPr>
          <w:rFonts w:ascii="PMingLiU" w:cs="PMingLiU" w:eastAsia="PMingLiU" w:hAnsi="PMingLiU"/>
          <w:sz w:val="20"/>
          <w:szCs w:val="20"/>
          <w:color w:val="auto"/>
        </w:rPr>
      </w:pPr>
    </w:p>
    <w:p>
      <w:pPr>
        <w:ind w:left="720" w:hanging="360"/>
        <w:spacing w:after="0" w:line="263" w:lineRule="auto"/>
        <w:tabs>
          <w:tab w:leader="none" w:pos="720" w:val="left"/>
        </w:tabs>
        <w:numPr>
          <w:ilvl w:val="0"/>
          <w:numId w:val="3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All Company e-mails are protected by a cloud-based email filtering service designed to protect the Company against advanced threats related to email and collaboration tools.</w:t>
      </w:r>
    </w:p>
    <w:p>
      <w:pPr>
        <w:spacing w:after="0" w:line="75" w:lineRule="exact"/>
        <w:rPr>
          <w:rFonts w:ascii="PMingLiU" w:cs="PMingLiU" w:eastAsia="PMingLiU" w:hAnsi="PMingLiU"/>
          <w:sz w:val="20"/>
          <w:szCs w:val="20"/>
          <w:color w:val="auto"/>
        </w:rPr>
      </w:pPr>
    </w:p>
    <w:p>
      <w:pPr>
        <w:ind w:left="720" w:hanging="360"/>
        <w:spacing w:after="0"/>
        <w:tabs>
          <w:tab w:leader="none" w:pos="720" w:val="left"/>
        </w:tabs>
        <w:numPr>
          <w:ilvl w:val="0"/>
          <w:numId w:val="3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Periodically, all users on the Company’s computer network are required to perform multi-factor authentication.</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3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Company uses a cloud-based identity and access management service that enables access to external resources.</w:t>
      </w:r>
    </w:p>
    <w:p>
      <w:pPr>
        <w:spacing w:after="0" w:line="121" w:lineRule="exact"/>
        <w:rPr>
          <w:rFonts w:ascii="PMingLiU" w:cs="PMingLiU" w:eastAsia="PMingLiU" w:hAnsi="PMingLiU"/>
          <w:sz w:val="20"/>
          <w:szCs w:val="20"/>
          <w:color w:val="auto"/>
        </w:rPr>
      </w:pPr>
    </w:p>
    <w:p>
      <w:pPr>
        <w:ind w:left="720" w:hanging="360"/>
        <w:spacing w:after="0"/>
        <w:tabs>
          <w:tab w:leader="none" w:pos="720" w:val="left"/>
        </w:tabs>
        <w:numPr>
          <w:ilvl w:val="0"/>
          <w:numId w:val="3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Backup is performed using a secure, automatic cloud-based backup and restore service.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Additionally, we believe that our third-party vendors and service providers have their own respective cybersecurity protocols which our management believes to be adequate for protecting any of the Company’s data that might be in their possession from time to time; however, having such protocols is not necessarily a condition for us using or not using the services of any such vendors or providers.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Chief Technology Officer and General Manager is responsible for assessing and managing cybersecurity risks, through his oversight of our IT service provider that manages our IT, but he does not have specific cybersecurity expertise. The Company has an Information Technology Policy that, among other things, governs and provides for cybersecurity policies and processes, including to define safety measures to protect the Company’s confidentiality, integrity and availability of data and other intellectual property, as well as to define the manner in which information is stored, saved and routed in the Company’s network. Additionally, the Board and management believe cybersecurity represents an important component of the Company’s overall approach to risk management and oversight, especially as the Company moves towards commercialization of its first product.</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Cybersecurity threats have not materially affected, and are not reasonably likely to affect, the Company, including its business strategy, results of operations or financial condition while we are strategically focused on pursuing FDA approval and have pre-commercial operations. The Company is not aware of any material security breach to date. Accordingly, the Company has not incurred any expenses over the last two years relating to information security breaches. The occurrence of cyber-incidents, or a deficiency in our cybersecurity or in those of any of our third-party service providers could negatively impact our business by causing a disruption to our operations, a compromise or corruption of our confidential information and systems, or damage to our business relationships or reputation, all of which could negatively impact our business and results of operations. There can be no assurance that the Company’s third-party vendors’ and service providers’ cybersecurity risk management processes, including their policies, controls or procedures, will be fully implemented, complied with or effective in protecting the Company’s systems and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2. </w:t>
      </w:r>
      <w:r>
        <w:rPr>
          <w:rFonts w:ascii="Times New Roman" w:cs="Times New Roman" w:eastAsia="Times New Roman" w:hAnsi="Times New Roman"/>
          <w:sz w:val="20"/>
          <w:szCs w:val="20"/>
          <w:b w:val="1"/>
          <w:bCs w:val="1"/>
          <w:u w:val="single" w:color="auto"/>
          <w:color w:val="auto"/>
        </w:rPr>
        <w:t>Description of Property.</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b w:val="1"/>
          <w:bCs w:val="1"/>
          <w:u w:val="single" w:color="auto"/>
          <w:color w:val="auto"/>
        </w:rPr>
        <w:t>Legal Proceedings.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see “PART I-Item 1. Description of Business-Recent Developments-Settlement of Lawsuit.”</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b w:val="1"/>
          <w:bCs w:val="1"/>
          <w:u w:val="single" w:color="auto"/>
          <w:color w:val="auto"/>
        </w:rPr>
        <w:t>Mine Safety Disclosures</w:t>
      </w:r>
      <w:r>
        <w:rPr>
          <w:rFonts w:ascii="Times New Roman" w:cs="Times New Roman" w:eastAsia="Times New Roman" w:hAnsi="Times New Roman"/>
          <w:sz w:val="20"/>
          <w:szCs w:val="20"/>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u w:val="single" w:color="auto"/>
          <w:color w:val="auto"/>
        </w:rPr>
        <w:t>Market for Registrant’s Common Equity, Related Stockholder Matters and Issuer Purchases of Equity Securities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on the NASDAQ Capital Market under the symbol “MBOT” since November 29, 2016.</w:t>
      </w:r>
    </w:p>
    <w:p>
      <w:pPr>
        <w:sectPr>
          <w:pgSz w:w="12240" w:h="15840" w:orient="portrait"/>
          <w:cols w:equalWidth="0" w:num="1">
            <w:col w:w="10800"/>
          </w:cols>
          <w:pgMar w:left="720" w:top="714" w:right="720" w:bottom="175" w:gutter="0" w:footer="0" w:header="0"/>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714" w:right="720" w:bottom="175" w:gutter="0" w:footer="0" w:header="0"/>
          <w:type w:val="continuous"/>
        </w:sectPr>
      </w:pPr>
    </w:p>
    <w:bookmarkStart w:id="34" w:name="page35"/>
    <w:bookmarkEnd w:id="34"/>
    <w:p>
      <w:pPr>
        <w:jc w:val="both"/>
        <w:spacing w:after="0" w:line="277" w:lineRule="auto"/>
        <w:rPr>
          <w:sz w:val="20"/>
          <w:szCs w:val="20"/>
          <w:color w:val="auto"/>
        </w:rPr>
      </w:pPr>
      <w:r>
        <w:rPr>
          <w:rFonts w:ascii="Times New Roman" w:cs="Times New Roman" w:eastAsia="Times New Roman" w:hAnsi="Times New Roman"/>
          <w:sz w:val="20"/>
          <w:szCs w:val="20"/>
          <w:color w:val="auto"/>
        </w:rPr>
        <w:t>As of March 25, 2024, there were approximately 97 holders of record of our common stock, and the closing price of our common stock as reported on the NASDAQ Capital Market was $1.17.</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 Table</w:t>
      </w: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 provides information about shares of our common stock that may be issued upon the exercise of options under all of our existing compensation plans as of December 31,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Number of securities to be issued</w:t>
            </w:r>
          </w:p>
        </w:tc>
        <w:tc>
          <w:tcPr>
            <w:tcW w:w="286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Weighted- average exercise</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Number of securities</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upon exercise of outstanding</w:t>
            </w:r>
          </w:p>
        </w:tc>
        <w:tc>
          <w:tcPr>
            <w:tcW w:w="286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price of outstanding options,</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remaining available for</w:t>
            </w:r>
          </w:p>
        </w:tc>
        <w:tc>
          <w:tcPr>
            <w:tcW w:w="0" w:type="dxa"/>
            <w:vAlign w:val="bottom"/>
          </w:tcPr>
          <w:p>
            <w:pPr>
              <w:spacing w:after="0"/>
              <w:rPr>
                <w:sz w:val="1"/>
                <w:szCs w:val="1"/>
                <w:color w:val="auto"/>
              </w:rPr>
            </w:pPr>
          </w:p>
        </w:tc>
      </w:tr>
      <w:tr>
        <w:trPr>
          <w:trHeight w:val="263"/>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Plan Category</w:t>
            </w: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options, warrants and rights</w:t>
            </w:r>
          </w:p>
        </w:tc>
        <w:tc>
          <w:tcPr>
            <w:tcW w:w="520" w:type="dxa"/>
            <w:vAlign w:val="bottom"/>
          </w:tcPr>
          <w:p>
            <w:pPr>
              <w:spacing w:after="0"/>
              <w:rPr>
                <w:sz w:val="22"/>
                <w:szCs w:val="22"/>
                <w:color w:val="auto"/>
              </w:rPr>
            </w:pPr>
          </w:p>
        </w:tc>
        <w:tc>
          <w:tcPr>
            <w:tcW w:w="2340" w:type="dxa"/>
            <w:vAlign w:val="bottom"/>
            <w:gridSpan w:val="2"/>
          </w:tcPr>
          <w:p>
            <w:pPr>
              <w:jc w:val="center"/>
              <w:ind w:right="600"/>
              <w:spacing w:after="0"/>
              <w:rPr>
                <w:sz w:val="20"/>
                <w:szCs w:val="20"/>
                <w:color w:val="auto"/>
              </w:rPr>
            </w:pPr>
            <w:r>
              <w:rPr>
                <w:rFonts w:ascii="Times New Roman" w:cs="Times New Roman" w:eastAsia="Times New Roman" w:hAnsi="Times New Roman"/>
                <w:sz w:val="20"/>
                <w:szCs w:val="20"/>
                <w:b w:val="1"/>
                <w:bCs w:val="1"/>
                <w:color w:val="auto"/>
                <w:w w:val="99"/>
              </w:rPr>
              <w:t>warrants and rights</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future issuance</w:t>
            </w:r>
          </w:p>
        </w:tc>
        <w:tc>
          <w:tcPr>
            <w:tcW w:w="0" w:type="dxa"/>
            <w:vAlign w:val="bottom"/>
          </w:tcPr>
          <w:p>
            <w:pPr>
              <w:spacing w:after="0"/>
              <w:rPr>
                <w:sz w:val="1"/>
                <w:szCs w:val="1"/>
                <w:color w:val="auto"/>
              </w:rPr>
            </w:pPr>
          </w:p>
        </w:tc>
      </w:tr>
      <w:tr>
        <w:trPr>
          <w:trHeight w:val="210"/>
        </w:trPr>
        <w:tc>
          <w:tcPr>
            <w:tcW w:w="2440" w:type="dxa"/>
            <w:vAlign w:val="bottom"/>
            <w:gridSpan w:val="2"/>
            <w:vMerge w:val="continue"/>
          </w:tcPr>
          <w:p>
            <w:pPr>
              <w:spacing w:after="0"/>
              <w:rPr>
                <w:sz w:val="18"/>
                <w:szCs w:val="18"/>
                <w:color w:val="auto"/>
              </w:rPr>
            </w:pPr>
          </w:p>
        </w:tc>
        <w:tc>
          <w:tcPr>
            <w:tcW w:w="3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approved by security holders:</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2017 Equity Incentive</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Plan</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492,133</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131,585</w:t>
            </w:r>
          </w:p>
        </w:tc>
        <w:tc>
          <w:tcPr>
            <w:tcW w:w="0" w:type="dxa"/>
            <w:vAlign w:val="bottom"/>
          </w:tcPr>
          <w:p>
            <w:pPr>
              <w:spacing w:after="0"/>
              <w:rPr>
                <w:sz w:val="1"/>
                <w:szCs w:val="1"/>
                <w:color w:val="auto"/>
              </w:rPr>
            </w:pPr>
          </w:p>
        </w:tc>
      </w:tr>
      <w:tr>
        <w:trPr>
          <w:trHeight w:val="230"/>
        </w:trPr>
        <w:tc>
          <w:tcPr>
            <w:tcW w:w="2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2020 Omnibus</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Performance Award Plan</w:t>
            </w:r>
          </w:p>
        </w:tc>
        <w:tc>
          <w:tcPr>
            <w:tcW w:w="3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1,463,806</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4.14</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556,846</w:t>
            </w: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 approved by security</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holders:</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Microbot Israel Employee</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Stock Option Plan(1)</w:t>
            </w:r>
          </w:p>
        </w:tc>
        <w:tc>
          <w:tcPr>
            <w:tcW w:w="3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61,577</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0.01</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9"/>
        </w:trPr>
        <w:tc>
          <w:tcPr>
            <w:tcW w:w="2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Stock Options (2)</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77, 846</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10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0" w:type="dxa"/>
            <w:vAlign w:val="bottom"/>
            <w:tcBorders>
              <w:top w:val="single" w:sz="8" w:color="auto"/>
            </w:tcBorders>
          </w:tcPr>
          <w:p>
            <w:pPr>
              <w:spacing w:after="0"/>
              <w:rPr>
                <w:sz w:val="20"/>
                <w:szCs w:val="20"/>
                <w:color w:val="auto"/>
              </w:rPr>
            </w:pPr>
          </w:p>
        </w:tc>
        <w:tc>
          <w:tcPr>
            <w:tcW w:w="3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2,095,362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688,431</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w:t>
            </w:r>
          </w:p>
        </w:tc>
        <w:tc>
          <w:tcPr>
            <w:tcW w:w="2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4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360" w:hanging="360"/>
        <w:spacing w:after="0" w:line="245" w:lineRule="auto"/>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jc w:val="both"/>
        <w:ind w:left="360" w:hanging="360"/>
        <w:spacing w:after="0" w:line="242" w:lineRule="auto"/>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6. </w:t>
      </w:r>
      <w:r>
        <w:rPr>
          <w:rFonts w:ascii="Times New Roman" w:cs="Times New Roman" w:eastAsia="Times New Roman" w:hAnsi="Times New Roman"/>
          <w:sz w:val="20"/>
          <w:szCs w:val="20"/>
          <w:b w:val="1"/>
          <w:bCs w:val="1"/>
          <w:u w:val="single" w:color="auto"/>
          <w:color w:val="auto"/>
        </w:rPr>
        <w:t>[Reserved]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7. </w:t>
      </w:r>
      <w:r>
        <w:rPr>
          <w:rFonts w:ascii="Times New Roman" w:cs="Times New Roman" w:eastAsia="Times New Roman" w:hAnsi="Times New Roman"/>
          <w:sz w:val="20"/>
          <w:szCs w:val="20"/>
          <w:b w:val="1"/>
          <w:bCs w:val="1"/>
          <w:u w:val="single" w:color="auto"/>
          <w:color w:val="auto"/>
        </w:rPr>
        <w:t>Management’s Discussion and Analysis of Financial Condition and 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of this Annual Report on Form 10-K entitled “Risk Factors” as well as elsewhere in this Annual Report.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ectPr>
          <w:pgSz w:w="12240" w:h="15840" w:orient="portrait"/>
          <w:cols w:equalWidth="0" w:num="1">
            <w:col w:w="10800"/>
          </w:cols>
          <w:pgMar w:left="720" w:top="700" w:right="720" w:bottom="175" w:gutter="0" w:footer="0" w:header="0"/>
        </w:sect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700" w:right="720" w:bottom="175" w:gutter="0" w:footer="0" w:header="0"/>
          <w:type w:val="continuous"/>
        </w:sectPr>
      </w:pPr>
    </w:p>
    <w:bookmarkStart w:id="35" w:name="page36"/>
    <w:bookmarkEnd w:id="35"/>
    <w:p>
      <w:pPr>
        <w:jc w:val="both"/>
        <w:spacing w:after="0" w:line="249" w:lineRule="auto"/>
        <w:rPr>
          <w:sz w:val="20"/>
          <w:szCs w:val="20"/>
          <w:color w:val="auto"/>
        </w:rPr>
      </w:pPr>
      <w:r>
        <w:rPr>
          <w:rFonts w:ascii="Times New Roman" w:cs="Times New Roman" w:eastAsia="Times New Roman" w:hAnsi="Times New Roman"/>
          <w:sz w:val="20"/>
          <w:szCs w:val="20"/>
          <w:color w:val="auto"/>
        </w:rPr>
        <w:t>In light of these risks and uncertainties, and especially given the nature of our existing and proposed business, there can be no assurance that the forward-looking statements contained in this section and elsewhere in this Annual Report on Form 10-K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General and administrative expenses consist primarily of the costs associated with management salaries and benefits, professional fees for accounting, auditing, consulting, legal services, and insurance expenses, net of insurance loss recoveries.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1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9"/>
          <w:szCs w:val="19"/>
          <w:i w:val="1"/>
          <w:iCs w:val="1"/>
          <w:color w:val="auto"/>
        </w:rPr>
        <w:t>Contingencies</w:t>
      </w:r>
      <w:r>
        <w:rPr>
          <w:rFonts w:ascii="Times New Roman" w:cs="Times New Roman" w:eastAsia="Times New Roman" w:hAnsi="Times New Roman"/>
          <w:sz w:val="19"/>
          <w:szCs w:val="19"/>
          <w:color w:val="auto"/>
        </w:rPr>
        <w:t>. A provision is recorded when it is both probable that a liability has been incurred and the amount of the loss can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reasonably estimated. The Company monitors the stage of progress of its litigation matters to determine if any adjustments are required.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measures the fair value of certain of its financial instruments on a recurring basis.</w:t>
      </w:r>
    </w:p>
    <w:p>
      <w:pPr>
        <w:spacing w:after="0" w:line="2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ectPr>
          <w:pgSz w:w="12240" w:h="15840" w:orient="portrait"/>
          <w:cols w:equalWidth="0" w:num="1">
            <w:col w:w="10800"/>
          </w:cols>
          <w:pgMar w:left="720" w:top="700" w:right="720" w:bottom="175"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800"/>
          </w:cols>
          <w:pgMar w:left="720" w:top="700" w:right="720" w:bottom="175"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color w:val="auto"/>
        </w:rPr>
        <w:t>Level 1 - Quoted prices (unadjusted) in active markets for identical assets and liabilities.</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Level 3 - Unobservable inputs that are supported by little or no market activity and that are significant to the fair value of the assets or liabilities.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2023 and 2022</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 sets forth the key components of Microbot’s results of operations for the years ended December 31, 2023 and 2022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gridSpan w:val="5"/>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9"/>
              </w:rPr>
              <w:t>For the Years Ended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center"/>
              <w:ind w:left="54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40"/>
        </w:trPr>
        <w:tc>
          <w:tcPr>
            <w:tcW w:w="6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Research and development expenses, net</w:t>
            </w:r>
          </w:p>
        </w:tc>
        <w:tc>
          <w:tcPr>
            <w:tcW w:w="300" w:type="dxa"/>
            <w:vAlign w:val="bottom"/>
          </w:tcPr>
          <w:p>
            <w:pPr>
              <w:spacing w:after="0"/>
              <w:rPr>
                <w:sz w:val="20"/>
                <w:szCs w:val="20"/>
                <w:color w:val="auto"/>
              </w:rPr>
            </w:pPr>
          </w:p>
        </w:tc>
        <w:tc>
          <w:tcPr>
            <w:tcW w:w="112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220" w:type="dxa"/>
            <w:vAlign w:val="bottom"/>
            <w:vMerge w:val="continue"/>
          </w:tcPr>
          <w:p>
            <w:pPr>
              <w:spacing w:after="0"/>
              <w:rPr>
                <w:sz w:val="18"/>
                <w:szCs w:val="18"/>
                <w:color w:val="auto"/>
              </w:rPr>
            </w:pPr>
          </w:p>
        </w:tc>
        <w:tc>
          <w:tcPr>
            <w:tcW w:w="300" w:type="dxa"/>
            <w:vAlign w:val="bottom"/>
            <w:tcBorders>
              <w:top w:val="single" w:sz="8" w:color="auto"/>
            </w:tcBorders>
          </w:tcPr>
          <w:p>
            <w:pPr>
              <w:jc w:val="right"/>
              <w:ind w:right="10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(5,724)</w:t>
            </w:r>
          </w:p>
        </w:tc>
        <w:tc>
          <w:tcPr>
            <w:tcW w:w="280" w:type="dxa"/>
            <w:vAlign w:val="bottom"/>
          </w:tcPr>
          <w:p>
            <w:pPr>
              <w:spacing w:after="0"/>
              <w:rPr>
                <w:sz w:val="18"/>
                <w:szCs w:val="18"/>
                <w:color w:val="auto"/>
              </w:rPr>
            </w:pPr>
          </w:p>
        </w:tc>
        <w:tc>
          <w:tcPr>
            <w:tcW w:w="480" w:type="dxa"/>
            <w:vAlign w:val="bottom"/>
            <w:tcBorders>
              <w:top w:val="single" w:sz="8" w:color="auto"/>
            </w:tcBorders>
          </w:tcPr>
          <w:p>
            <w:pPr>
              <w:jc w:val="right"/>
              <w:ind w:right="28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(7,736)</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 net</w:t>
            </w: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(4,131)</w:t>
            </w:r>
          </w:p>
        </w:tc>
        <w:tc>
          <w:tcPr>
            <w:tcW w:w="4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(5,545)</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1,414</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Financing income, net</w:t>
            </w:r>
          </w:p>
        </w:tc>
        <w:tc>
          <w:tcPr>
            <w:tcW w:w="3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228</w:t>
            </w:r>
          </w:p>
        </w:tc>
        <w:tc>
          <w:tcPr>
            <w:tcW w:w="4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118</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Loss on disposal of property and equipment</w:t>
            </w: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w:t>
            </w:r>
          </w:p>
        </w:tc>
        <w:tc>
          <w:tcPr>
            <w:tcW w:w="4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66"/>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Loss on legal settlement, net</w:t>
            </w:r>
          </w:p>
        </w:tc>
        <w:tc>
          <w:tcPr>
            <w:tcW w:w="30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(1,111)</w:t>
            </w:r>
          </w:p>
        </w:tc>
        <w:tc>
          <w:tcPr>
            <w:tcW w:w="48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Research and Development Expenses, net</w:t>
      </w:r>
      <w:r>
        <w:rPr>
          <w:rFonts w:ascii="Times New Roman" w:cs="Times New Roman" w:eastAsia="Times New Roman" w:hAnsi="Times New Roman"/>
          <w:sz w:val="20"/>
          <w:szCs w:val="20"/>
          <w:color w:val="auto"/>
        </w:rPr>
        <w:t>. The decrease in research and development expenses of approximately $2.0 million in 2023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compared to 2022 was primarily due to the Company’s cost reduction plan, which commenced in the second quarter of 2023. The cost reduction plan involved cutting expenses by, among other things, implementing employee terminations, reducing management salaries, eliminating bonus accruals and pausing independent directors’ payments. The Company also reduced costs by decreasing expenses related to subcontractors, advisory board members and patents. Additionally, in comparison to the same period in 2022, the Company incurred expenses in 2022 due to the development of the SCS technology, whereas in 2023, lower expenses were recorded for that project as it was suspended in October 2022 and later terminated. In 2023, government grants were deducted from research and development expenses as the applicable costs are incurred.</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General and Administrative Expenses, net</w:t>
      </w:r>
      <w:r>
        <w:rPr>
          <w:rFonts w:ascii="Times New Roman" w:cs="Times New Roman" w:eastAsia="Times New Roman" w:hAnsi="Times New Roman"/>
          <w:sz w:val="20"/>
          <w:szCs w:val="20"/>
          <w:color w:val="auto"/>
        </w:rPr>
        <w:t>. The decrease in general and administrative expenses of approximately $1.4 million in 2023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compared to 2022 was primarily due to a decrease in the Company’s directors and officers insurance premiums in 2023, combined with execution of the cost reduction plan as described above. Additionally, for the year ended 2023, the Company recorded lower share-based compensation expenses compared to the comparable period in 2022, due to older options becoming fully vested. In 2023, insurance loss recoveries reduced the Company’s general and administrative expenses.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Financing Income, net</w:t>
      </w:r>
      <w:r>
        <w:rPr>
          <w:rFonts w:ascii="Times New Roman" w:cs="Times New Roman" w:eastAsia="Times New Roman" w:hAnsi="Times New Roman"/>
          <w:sz w:val="20"/>
          <w:szCs w:val="20"/>
          <w:color w:val="auto"/>
        </w:rPr>
        <w:t>. Financing income for the year ended December 31, 2023 included income from interest, net, totaling $283,000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was partially offset by exchange rate losses of $55,000, compared to 2022, which consisted of income from interest, net, totaling $54,000, combined with exchange rate gains of $64,000.</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Loss on legal settlement, net. </w:t>
      </w:r>
      <w:r>
        <w:rPr>
          <w:rFonts w:ascii="Times New Roman" w:cs="Times New Roman" w:eastAsia="Times New Roman" w:hAnsi="Times New Roman"/>
          <w:sz w:val="20"/>
          <w:szCs w:val="20"/>
          <w:color w:val="auto"/>
        </w:rPr>
        <w:t>Loss on legal settlement, net for the year ended December 31, 2023 is related to the January 2024 issuance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restricted shares of our common stock to settle the Lawsuit pursuant to the Settlement Agreement. See “Part I-Recent Developments-Settlement of Lawsuit.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To date, Microbot has not generated revenues from operations. Microbot has incurred losses since inception and negative cash flows from operating activities for all periods presented. As of December 31, 2023, Microbot had a net working capital of approximately $4.1 million, consisting primarily of cash and cash equivalents and marketable securities. This compares to net working capital of approximately $6.7 million as of December 31, 2022. Microbot anticipates that it will continue to incur net losses for the foreseeable future as it continues research and development efforts of its primary product candidate and continues to incur costs associated with being a public company.</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Microbot has funded its operations through the issuance of capital stock, grants from the Israeli Innovation Authority, and convertible debt. Since inception (November 2010) through December 31, 2023, Microbot has raised cash proceeds of approximately $66.0 million and incurred a total cumulative loss of approximately $79.5 million.</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700" w:right="720" w:bottom="175" w:gutter="0" w:footer="0" w:header="0"/>
          <w:type w:val="continuous"/>
        </w:sectPr>
      </w:pPr>
    </w:p>
    <w:bookmarkStart w:id="37" w:name="page38"/>
    <w:bookmarkEnd w:id="37"/>
    <w:p>
      <w:pPr>
        <w:jc w:val="both"/>
        <w:spacing w:after="0" w:line="262" w:lineRule="auto"/>
        <w:rPr>
          <w:sz w:val="20"/>
          <w:szCs w:val="20"/>
          <w:color w:val="auto"/>
        </w:rPr>
      </w:pPr>
      <w:r>
        <w:rPr>
          <w:rFonts w:ascii="Times New Roman" w:cs="Times New Roman" w:eastAsia="Times New Roman" w:hAnsi="Times New Roman"/>
          <w:sz w:val="19"/>
          <w:szCs w:val="19"/>
          <w:color w:val="auto"/>
        </w:rPr>
        <w:t>Microbot Israel obtained from the Israeli Innovation Authority (“IIA”) grants for participation in research and development for the years 2013 through December 31, 2023 in the total amount of approximately $1.8 million. This amount includes amounts received in 2023 of approximately $304,000, which are a portion of an additional grant from the IIA in the amount of approximately NIS 1.6 million (approximately $447,000) approved by the IIA on June 1, 2023, to further finance the development of the manufacturing process of the</w:t>
      </w:r>
    </w:p>
    <w:p>
      <w:pPr>
        <w:jc w:val="both"/>
        <w:spacing w:after="0" w:line="227" w:lineRule="auto"/>
        <w:rPr>
          <w:sz w:val="20"/>
          <w:szCs w:val="20"/>
          <w:color w:val="auto"/>
        </w:rPr>
      </w:pPr>
      <w:r>
        <w:rPr>
          <w:rFonts w:ascii="Times New Roman" w:cs="Times New Roman" w:eastAsia="Times New Roman" w:hAnsi="Times New Roman"/>
          <w:sz w:val="20"/>
          <w:szCs w:val="20"/>
          <w:color w:val="auto"/>
        </w:rPr>
        <w:t>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On January 4, 2018, Microbot Israel entered into an agreement with CardioSert to acquire certain of its patent-protected technology, which we expect to return shortly. CardioSert received grants from the IIA in the aggregate amount of approximately $530,000 and Microbot Israel took over the liability to repay such grants, although we expect that we will cease to have any obligations under the CardioSert grants once that technology is returned.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On March 2, 2023, the Company announced that it received approval for a grant from the Ministry of Economy in the amount of approximately NIS 300,000, which based on an exchange rate on such date of NIS 1.00 = $0.2923, would be approximately $88,000,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further finance the marketing activities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in the U.S. market.</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In relation to the Ministry of Economy grant, the Company is obligated to pay royalties amounting to 3% of future sales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up to the grant amount plus interest.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second fiscal quarter of 2023, Microbot commenced a core-business focus program and a cost reduction plan while it sought</w:t>
      </w:r>
    </w:p>
    <w:p>
      <w:pPr>
        <w:spacing w:after="0" w:line="4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to raise sufficient additional capital to continue development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In May and June 2023, Microbot raised aggregate gross proceeds of approximately $7.6 million, before fees and expenses of approximately $1.1 million, from investors, to continue to fund its operations and research and development activities and will need additional funds to</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continue the FDA approval process for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We also raised approximately $2.7 million in gross proceeds from financing activities in January 2024.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annual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summary of the net cash flow activity for each of the periods presented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gridSpan w:val="6"/>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0" w:type="dxa"/>
            <w:vAlign w:val="bottom"/>
          </w:tcPr>
          <w:p>
            <w:pPr>
              <w:spacing w:after="0"/>
              <w:rPr>
                <w:sz w:val="1"/>
                <w:szCs w:val="1"/>
                <w:color w:val="auto"/>
              </w:rPr>
            </w:pPr>
          </w:p>
        </w:tc>
      </w:tr>
      <w:tr>
        <w:trPr>
          <w:trHeight w:val="263"/>
        </w:trPr>
        <w:tc>
          <w:tcPr>
            <w:tcW w:w="7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80" w:type="dxa"/>
            <w:vAlign w:val="bottom"/>
            <w:gridSpan w:val="6"/>
          </w:tcPr>
          <w:p>
            <w:pPr>
              <w:jc w:val="right"/>
              <w:ind w:right="9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40"/>
        </w:trPr>
        <w:tc>
          <w:tcPr>
            <w:tcW w:w="7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cash flows from operating activities</w:t>
            </w: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vMerge w:val="continue"/>
          </w:tcPr>
          <w:p>
            <w:pPr>
              <w:spacing w:after="0"/>
              <w:rPr>
                <w:sz w:val="18"/>
                <w:szCs w:val="18"/>
                <w:color w:val="auto"/>
              </w:rPr>
            </w:pPr>
          </w:p>
        </w:tc>
        <w:tc>
          <w:tcPr>
            <w:tcW w:w="260" w:type="dxa"/>
            <w:vAlign w:val="bottom"/>
          </w:tcPr>
          <w:p>
            <w:pPr>
              <w:jc w:val="right"/>
              <w:ind w:right="6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(8,533)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12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(11,549)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Net cash flows from investing activities</w:t>
            </w: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1,973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(3,836)</w:t>
            </w:r>
          </w:p>
        </w:tc>
        <w:tc>
          <w:tcPr>
            <w:tcW w:w="0" w:type="dxa"/>
            <w:vAlign w:val="bottom"/>
          </w:tcPr>
          <w:p>
            <w:pPr>
              <w:spacing w:after="0"/>
              <w:rPr>
                <w:sz w:val="1"/>
                <w:szCs w:val="1"/>
                <w:color w:val="auto"/>
              </w:rPr>
            </w:pPr>
          </w:p>
        </w:tc>
      </w:tr>
      <w:tr>
        <w:trPr>
          <w:trHeight w:val="249"/>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Net cash flows from financing activities</w:t>
            </w:r>
          </w:p>
        </w:tc>
        <w:tc>
          <w:tcPr>
            <w:tcW w:w="26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6,558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4,324</w:t>
            </w:r>
          </w:p>
        </w:tc>
        <w:tc>
          <w:tcPr>
            <w:tcW w:w="0" w:type="dxa"/>
            <w:vAlign w:val="bottom"/>
          </w:tcPr>
          <w:p>
            <w:pPr>
              <w:spacing w:after="0"/>
              <w:rPr>
                <w:sz w:val="1"/>
                <w:szCs w:val="1"/>
                <w:color w:val="auto"/>
              </w:rPr>
            </w:pPr>
          </w:p>
        </w:tc>
      </w:tr>
      <w:tr>
        <w:trPr>
          <w:trHeight w:val="30"/>
        </w:trPr>
        <w:tc>
          <w:tcPr>
            <w:tcW w:w="7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decrease in cash, cash equivalents and restricted cash</w:t>
            </w:r>
          </w:p>
        </w:tc>
        <w:tc>
          <w:tcPr>
            <w:tcW w:w="26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7720" w:type="dxa"/>
            <w:vAlign w:val="bottom"/>
            <w:vMerge w:val="continue"/>
          </w:tcPr>
          <w:p>
            <w:pPr>
              <w:spacing w:after="0"/>
              <w:rPr>
                <w:sz w:val="23"/>
                <w:szCs w:val="23"/>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(11,061)</w:t>
            </w:r>
          </w:p>
        </w:tc>
        <w:tc>
          <w:tcPr>
            <w:tcW w:w="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7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700" w:right="720" w:bottom="175"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The decrease in 2023 of cash flows used in operating activities compared to 2022 was primarily from a decrease in research and</w:t>
      </w:r>
    </w:p>
    <w:p>
      <w:pPr>
        <w:spacing w:after="0" w:line="35"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0"/>
          <w:szCs w:val="20"/>
          <w:color w:val="auto"/>
        </w:rPr>
        <w:t>development expenses relating to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in 2023 as a result of the Company’s May 2023 cost reduction plan and core-business focus program.</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Net cash flows from investing activities increased in 2023 compared to 2022 by approximately $5.8 million, primarily from the net purchases of marketable securities in 2022.</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Net cash flows from financing activities increased in 2023 by approximately $2.2 million due to increased issuances of common stock and warrants in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7A. </w:t>
      </w:r>
      <w:r>
        <w:rPr>
          <w:rFonts w:ascii="Times New Roman" w:cs="Times New Roman" w:eastAsia="Times New Roman" w:hAnsi="Times New Roman"/>
          <w:sz w:val="20"/>
          <w:szCs w:val="20"/>
          <w:b w:val="1"/>
          <w:bCs w:val="1"/>
          <w:u w:val="single" w:color="auto"/>
          <w:color w:val="auto"/>
        </w:rPr>
        <w:t>Quantitative and Qualitative Disclosures About Market Risk.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 Risk</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Microbot’s cash and cash equivalents as of December 31, 2023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Exchange Risks</w:t>
      </w:r>
    </w:p>
    <w:p>
      <w:pPr>
        <w:spacing w:after="0" w:line="11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Effects of Inflation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8. </w:t>
      </w:r>
      <w:r>
        <w:rPr>
          <w:rFonts w:ascii="Times New Roman" w:cs="Times New Roman" w:eastAsia="Times New Roman" w:hAnsi="Times New Roman"/>
          <w:sz w:val="20"/>
          <w:szCs w:val="20"/>
          <w:b w:val="1"/>
          <w:bCs w:val="1"/>
          <w:u w:val="single" w:color="auto"/>
          <w:color w:val="auto"/>
        </w:rPr>
        <w:t>Financial Statements and Supplementary Data.</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consolidated financial statements and supplementary data required by this item are included in this Annual Report on Form 10-K immediately following Part IV and are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 </w:t>
      </w:r>
      <w:r>
        <w:rPr>
          <w:rFonts w:ascii="Times New Roman" w:cs="Times New Roman" w:eastAsia="Times New Roman" w:hAnsi="Times New Roman"/>
          <w:sz w:val="20"/>
          <w:szCs w:val="20"/>
          <w:b w:val="1"/>
          <w:bCs w:val="1"/>
          <w:u w:val="single" w:color="auto"/>
          <w:color w:val="auto"/>
        </w:rPr>
        <w:t>Changes in and Disagreements with Accountants on Accounting and Financial Disclosure.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9A. </w:t>
      </w:r>
      <w:r>
        <w:rPr>
          <w:rFonts w:ascii="Times New Roman" w:cs="Times New Roman" w:eastAsia="Times New Roman" w:hAnsi="Times New Roman"/>
          <w:sz w:val="20"/>
          <w:szCs w:val="20"/>
          <w:b w:val="1"/>
          <w:bCs w:val="1"/>
          <w:u w:val="single" w:color="auto"/>
          <w:color w:val="auto"/>
        </w:rPr>
        <w:t>Controls and Procedures.</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auto"/>
        </w:rPr>
        <w:t>Disclosure Controls and Procedures</w:t>
      </w:r>
      <w:r>
        <w:rPr>
          <w:rFonts w:ascii="Times New Roman" w:cs="Times New Roman" w:eastAsia="Times New Roman" w:hAnsi="Times New Roman"/>
          <w:sz w:val="20"/>
          <w:szCs w:val="20"/>
          <w:color w:val="auto"/>
        </w:rPr>
        <w:t>. 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December 31, 2023. Based on that review and evaluation, the Chief Executive Officer and Chief Financial Officer, along with the management of the Company, have determined that as of December 31, 2023,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ectPr>
          <w:pgSz w:w="12240" w:h="15840" w:orient="portrait"/>
          <w:cols w:equalWidth="0" w:num="1">
            <w:col w:w="10800"/>
          </w:cols>
          <w:pgMar w:left="720" w:top="700" w:right="720" w:bottom="175"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00"/>
          </w:cols>
          <w:pgMar w:left="720" w:top="700" w:right="720" w:bottom="175" w:gutter="0" w:footer="0" w:header="0"/>
          <w:type w:val="continuous"/>
        </w:sectPr>
      </w:pPr>
    </w:p>
    <w:bookmarkStart w:id="39" w:name="page40"/>
    <w:bookmarkEnd w:id="39"/>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Management’s Annual Report on Internal Control Over Financial Reporting.</w:t>
      </w:r>
      <w:r>
        <w:rPr>
          <w:rFonts w:ascii="Times New Roman" w:cs="Times New Roman" w:eastAsia="Times New Roman" w:hAnsi="Times New Roman"/>
          <w:sz w:val="20"/>
          <w:szCs w:val="20"/>
          <w:color w:val="auto"/>
        </w:rPr>
        <w:t xml:space="preserve"> 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December 31, 2023, and have concluded that, as of December 31, 2023, our internal control over financial reporting was effective.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Changes in Internal Control Over Financial Reporting.</w:t>
      </w:r>
      <w:r>
        <w:rPr>
          <w:rFonts w:ascii="Times New Roman" w:cs="Times New Roman" w:eastAsia="Times New Roman" w:hAnsi="Times New Roman"/>
          <w:sz w:val="20"/>
          <w:szCs w:val="20"/>
          <w:color w:val="auto"/>
        </w:rPr>
        <w:t xml:space="preserve"> 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9B. </w:t>
      </w:r>
      <w:r>
        <w:rPr>
          <w:rFonts w:ascii="Times New Roman" w:cs="Times New Roman" w:eastAsia="Times New Roman" w:hAnsi="Times New Roman"/>
          <w:sz w:val="20"/>
          <w:szCs w:val="20"/>
          <w:b w:val="1"/>
          <w:bCs w:val="1"/>
          <w:u w:val="single" w:color="auto"/>
          <w:color w:val="auto"/>
        </w:rPr>
        <w:t>Other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9C. </w:t>
      </w:r>
      <w:r>
        <w:rPr>
          <w:rFonts w:ascii="Times New Roman" w:cs="Times New Roman" w:eastAsia="Times New Roman" w:hAnsi="Times New Roman"/>
          <w:sz w:val="20"/>
          <w:szCs w:val="20"/>
          <w:b w:val="1"/>
          <w:bCs w:val="1"/>
          <w:u w:val="single" w:color="auto"/>
          <w:color w:val="auto"/>
        </w:rPr>
        <w:t>Disclosure Regarding Foreign Jurisdictions that Prevent Inspections.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10. </w:t>
      </w:r>
      <w:r>
        <w:rPr>
          <w:rFonts w:ascii="Times New Roman" w:cs="Times New Roman" w:eastAsia="Times New Roman" w:hAnsi="Times New Roman"/>
          <w:sz w:val="20"/>
          <w:szCs w:val="20"/>
          <w:b w:val="1"/>
          <w:bCs w:val="1"/>
          <w:u w:val="single" w:color="auto"/>
          <w:color w:val="auto"/>
        </w:rPr>
        <w:t>Directors, Executive Officers, and Corporate Governance.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Board of Directors</w:t>
      </w:r>
    </w:p>
    <w:p>
      <w:pPr>
        <w:spacing w:after="0" w:line="2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currently have seven directors serving on our Board. The following table lists the names, ages and positions of the individuals who serve as directors of the Company, as of March 25,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6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60" w:type="dxa"/>
            <w:vAlign w:val="bottom"/>
          </w:tcPr>
          <w:p>
            <w:pPr>
              <w:spacing w:after="0"/>
              <w:rPr>
                <w:sz w:val="22"/>
                <w:szCs w:val="22"/>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Age</w:t>
            </w:r>
          </w:p>
        </w:tc>
        <w:tc>
          <w:tcPr>
            <w:tcW w:w="80" w:type="dxa"/>
            <w:vAlign w:val="bottom"/>
          </w:tcPr>
          <w:p>
            <w:pPr>
              <w:spacing w:after="0"/>
              <w:rPr>
                <w:sz w:val="22"/>
                <w:szCs w:val="22"/>
                <w:color w:val="auto"/>
              </w:rPr>
            </w:pPr>
          </w:p>
        </w:tc>
        <w:tc>
          <w:tcPr>
            <w:tcW w:w="7640" w:type="dxa"/>
            <w:vAlign w:val="bottom"/>
            <w:tcBorders>
              <w:bottom w:val="single" w:sz="8" w:color="auto"/>
            </w:tcBorders>
          </w:tcPr>
          <w:p>
            <w:pPr>
              <w:ind w:left="348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10"/>
        </w:trPr>
        <w:tc>
          <w:tcPr>
            <w:tcW w:w="26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Harel Gadot</w:t>
            </w:r>
          </w:p>
        </w:tc>
        <w:tc>
          <w:tcPr>
            <w:tcW w:w="60" w:type="dxa"/>
            <w:vAlign w:val="bottom"/>
          </w:tcPr>
          <w:p>
            <w:pPr>
              <w:spacing w:after="0"/>
              <w:rPr>
                <w:sz w:val="18"/>
                <w:szCs w:val="18"/>
                <w:color w:val="auto"/>
              </w:rPr>
            </w:pPr>
          </w:p>
        </w:tc>
        <w:tc>
          <w:tcPr>
            <w:tcW w:w="42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52</w:t>
            </w:r>
          </w:p>
        </w:tc>
        <w:tc>
          <w:tcPr>
            <w:tcW w:w="80" w:type="dxa"/>
            <w:vAlign w:val="bottom"/>
          </w:tcPr>
          <w:p>
            <w:pPr>
              <w:spacing w:after="0"/>
              <w:rPr>
                <w:sz w:val="18"/>
                <w:szCs w:val="18"/>
                <w:color w:val="auto"/>
              </w:rPr>
            </w:pPr>
          </w:p>
        </w:tc>
        <w:tc>
          <w:tcPr>
            <w:tcW w:w="76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President, Chief Executive Officer and Chairman of the Board of Directors</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Yoseph Bornstein(1)(3)</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65</w:t>
            </w:r>
          </w:p>
        </w:tc>
        <w:tc>
          <w:tcPr>
            <w:tcW w:w="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Scott Burell(1)(2)</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59</w:t>
            </w:r>
          </w:p>
        </w:tc>
        <w:tc>
          <w:tcPr>
            <w:tcW w:w="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Martin Madden(1)(3)</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63</w:t>
            </w:r>
          </w:p>
        </w:tc>
        <w:tc>
          <w:tcPr>
            <w:tcW w:w="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Prattipati Laxminarain(2)</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66</w:t>
            </w:r>
          </w:p>
        </w:tc>
        <w:tc>
          <w:tcPr>
            <w:tcW w:w="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Aileen Stockburger(3)</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61</w:t>
            </w:r>
          </w:p>
        </w:tc>
        <w:tc>
          <w:tcPr>
            <w:tcW w:w="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Tal Wenderow(2)</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49</w:t>
            </w:r>
          </w:p>
        </w:tc>
        <w:tc>
          <w:tcPr>
            <w:tcW w:w="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66"/>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__________</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40" w:type="dxa"/>
            <w:vAlign w:val="bottom"/>
          </w:tcPr>
          <w:p>
            <w:pPr>
              <w:spacing w:after="0"/>
              <w:rPr>
                <w:sz w:val="23"/>
                <w:szCs w:val="23"/>
                <w:color w:val="auto"/>
              </w:rPr>
            </w:pPr>
          </w:p>
        </w:tc>
      </w:tr>
    </w:tbl>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Audit Committee.</w:t>
      </w:r>
    </w:p>
    <w:p>
      <w:pPr>
        <w:spacing w:after="0" w:line="14"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Corporate Governance Committee.</w:t>
      </w: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Compensation Committee.</w:t>
      </w:r>
    </w:p>
    <w:p>
      <w:pPr>
        <w:spacing w:after="0" w:line="21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We have a classified Board, with each of our directors serving a staggered three-year term. The following table shows the current composition of the three classes of our Board: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I Directors (term scheduled to expire in 2025):</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Harel Gadot</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Martin Madden</w:t>
      </w:r>
    </w:p>
    <w:p>
      <w:pPr>
        <w:ind w:left="360"/>
        <w:spacing w:after="0"/>
        <w:rPr>
          <w:sz w:val="20"/>
          <w:szCs w:val="20"/>
          <w:color w:val="auto"/>
        </w:rPr>
      </w:pPr>
      <w:r>
        <w:rPr>
          <w:rFonts w:ascii="Times New Roman" w:cs="Times New Roman" w:eastAsia="Times New Roman" w:hAnsi="Times New Roman"/>
          <w:sz w:val="20"/>
          <w:szCs w:val="20"/>
          <w:color w:val="auto"/>
        </w:rPr>
        <w:t>Tal Wenderow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II Directors (term scheduled to expire in 2026):</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Scott Burell</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Aileen Stockburger</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00"/>
          </w:cols>
          <w:pgMar w:left="720" w:top="700" w:right="720" w:bottom="175"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Class III Directors (term scheduled to expire in 2024):</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Yoseph Bornstein</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Prattipati Laxminarain</w:t>
      </w:r>
    </w:p>
    <w:p>
      <w:pPr>
        <w:spacing w:after="0" w:line="2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Harel Gadot</w:t>
      </w:r>
      <w:r>
        <w:rPr>
          <w:rFonts w:ascii="Times New Roman" w:cs="Times New Roman" w:eastAsia="Times New Roman" w:hAnsi="Times New Roman"/>
          <w:sz w:val="20"/>
          <w:szCs w:val="20"/>
          <w:color w:val="auto"/>
        </w:rPr>
        <w:t>, became President, Chief Executive Officer and Chairman of the Company’s Board following the consummation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Merger. Mr. Gadot is a 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Yoseph Bornstein</w:t>
      </w:r>
      <w:r>
        <w:rPr>
          <w:rFonts w:ascii="Times New Roman" w:cs="Times New Roman" w:eastAsia="Times New Roman" w:hAnsi="Times New Roman"/>
          <w:sz w:val="20"/>
          <w:szCs w:val="20"/>
          <w:color w:val="auto"/>
        </w:rPr>
        <w:t>, became a director of the Company following the Merger. Mr. Bornstein is a co-founder of Microbot Israel and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been a member of the 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until January 2024 was a director of XACT Robotics, an Israel-based private company that recently ceased operations and is in insolvency proceedings in Israel.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Scott R. Burell</w:t>
      </w:r>
      <w:r>
        <w:rPr>
          <w:rFonts w:ascii="Times New Roman" w:cs="Times New Roman" w:eastAsia="Times New Roman" w:hAnsi="Times New Roman"/>
          <w:sz w:val="20"/>
          <w:szCs w:val="20"/>
          <w:color w:val="auto"/>
        </w:rPr>
        <w:t>, became a director of the Company in November 2016. Since August 2018, Mr. Burell has been the Chief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 and Secretary of 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Martin Madden</w:t>
      </w:r>
      <w:r>
        <w:rPr>
          <w:rFonts w:ascii="Times New Roman" w:cs="Times New Roman" w:eastAsia="Times New Roman" w:hAnsi="Times New Roman"/>
          <w:sz w:val="20"/>
          <w:szCs w:val="20"/>
          <w:color w:val="auto"/>
        </w:rPr>
        <w:t>, has been a director of the Company since February 6, 2017. Mr. Madden has held various positions at Johnson &amp;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Johnson and its affiliates 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w:t>
      </w:r>
    </w:p>
    <w:p>
      <w:pPr>
        <w:sectPr>
          <w:pgSz w:w="12240" w:h="15840" w:orient="portrait"/>
          <w:cols w:equalWidth="0" w:num="1">
            <w:col w:w="10800"/>
          </w:cols>
          <w:pgMar w:left="720" w:top="700" w:right="720" w:bottom="175" w:gutter="0" w:footer="0" w:header="0"/>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700" w:right="720" w:bottom="175" w:gutter="0" w:footer="0" w:header="0"/>
          <w:type w:val="continuous"/>
        </w:sectPr>
      </w:pPr>
    </w:p>
    <w:bookmarkStart w:id="41" w:name="page42"/>
    <w:bookmarkEnd w:id="41"/>
    <w:p>
      <w:pPr>
        <w:jc w:val="both"/>
        <w:spacing w:after="0" w:line="262" w:lineRule="auto"/>
        <w:rPr>
          <w:sz w:val="20"/>
          <w:szCs w:val="20"/>
          <w:color w:val="auto"/>
        </w:rPr>
      </w:pPr>
      <w:r>
        <w:rPr>
          <w:rFonts w:ascii="Times New Roman" w:cs="Times New Roman" w:eastAsia="Times New Roman" w:hAnsi="Times New Roman"/>
          <w:sz w:val="19"/>
          <w:szCs w:val="19"/>
          <w:color w:val="auto"/>
        </w:rPr>
        <w:t>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w:t>
      </w:r>
    </w:p>
    <w:p>
      <w:pPr>
        <w:spacing w:after="0" w:line="2" w:lineRule="exact"/>
        <w:rPr>
          <w:sz w:val="20"/>
          <w:szCs w:val="20"/>
          <w:color w:val="auto"/>
        </w:rPr>
      </w:pPr>
    </w:p>
    <w:p>
      <w:pPr>
        <w:jc w:val="both"/>
        <w:spacing w:after="0" w:line="241" w:lineRule="auto"/>
        <w:tabs>
          <w:tab w:leader="none" w:pos="21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Prattipati Laxminarain</w:t>
      </w:r>
      <w:r>
        <w:rPr>
          <w:rFonts w:ascii="Times New Roman" w:cs="Times New Roman" w:eastAsia="Times New Roman" w:hAnsi="Times New Roman"/>
          <w:sz w:val="20"/>
          <w:szCs w:val="20"/>
          <w:color w:val="auto"/>
        </w:rPr>
        <w:t>, has been a director of the Company since December 6, 2017. From April 2006 through October 2017, Mr.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Laxminarain served as 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Aileen Stockburger </w:t>
      </w:r>
      <w:r>
        <w:rPr>
          <w:rFonts w:ascii="Times New Roman" w:cs="Times New Roman" w:eastAsia="Times New Roman" w:hAnsi="Times New Roman"/>
          <w:sz w:val="20"/>
          <w:szCs w:val="20"/>
          <w:color w:val="auto"/>
        </w:rPr>
        <w:t>was appointed by the Board on March 26, 2020 to fill a vacancy on the Board and to serve as a Class II director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with a 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2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Tal Wenderow </w:t>
      </w:r>
      <w:r>
        <w:rPr>
          <w:rFonts w:ascii="Times New Roman" w:cs="Times New Roman" w:eastAsia="Times New Roman" w:hAnsi="Times New Roman"/>
          <w:sz w:val="20"/>
          <w:szCs w:val="20"/>
          <w:color w:val="auto"/>
        </w:rPr>
        <w:t>was appointed by the Board on July 29, 2020 to fill a vacancy on the Board and to serve as a Class I director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with a term 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Officers</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Following are the name, age and other information for our executive officers, as of March 25, 2024.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60" w:type="dxa"/>
            <w:vAlign w:val="bottom"/>
          </w:tcPr>
          <w:p>
            <w:pPr>
              <w:spacing w:after="0"/>
              <w:rPr>
                <w:sz w:val="22"/>
                <w:szCs w:val="2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Age</w:t>
            </w:r>
          </w:p>
        </w:tc>
        <w:tc>
          <w:tcPr>
            <w:tcW w:w="60" w:type="dxa"/>
            <w:vAlign w:val="bottom"/>
          </w:tcPr>
          <w:p>
            <w:pPr>
              <w:spacing w:after="0"/>
              <w:rPr>
                <w:sz w:val="22"/>
                <w:szCs w:val="22"/>
                <w:color w:val="auto"/>
              </w:rPr>
            </w:pPr>
          </w:p>
        </w:tc>
        <w:tc>
          <w:tcPr>
            <w:tcW w:w="818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10"/>
        </w:trPr>
        <w:tc>
          <w:tcPr>
            <w:tcW w:w="20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Harel Gadot</w:t>
            </w:r>
          </w:p>
        </w:tc>
        <w:tc>
          <w:tcPr>
            <w:tcW w:w="60" w:type="dxa"/>
            <w:vAlign w:val="bottom"/>
          </w:tcPr>
          <w:p>
            <w:pPr>
              <w:spacing w:after="0"/>
              <w:rPr>
                <w:sz w:val="18"/>
                <w:szCs w:val="18"/>
                <w:color w:val="auto"/>
              </w:rPr>
            </w:pPr>
          </w:p>
        </w:tc>
        <w:tc>
          <w:tcPr>
            <w:tcW w:w="4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52</w:t>
            </w:r>
          </w:p>
        </w:tc>
        <w:tc>
          <w:tcPr>
            <w:tcW w:w="60" w:type="dxa"/>
            <w:vAlign w:val="bottom"/>
          </w:tcPr>
          <w:p>
            <w:pPr>
              <w:spacing w:after="0"/>
              <w:rPr>
                <w:sz w:val="18"/>
                <w:szCs w:val="18"/>
                <w:color w:val="auto"/>
              </w:rPr>
            </w:pPr>
          </w:p>
        </w:tc>
        <w:tc>
          <w:tcPr>
            <w:tcW w:w="81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President, Chief Executive Officer and Chairman of the Board of Directors</w:t>
            </w: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Rachel Vaknin</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45</w:t>
            </w:r>
          </w:p>
        </w:tc>
        <w:tc>
          <w:tcPr>
            <w:tcW w:w="6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Simon Sharon</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64</w:t>
            </w:r>
          </w:p>
        </w:tc>
        <w:tc>
          <w:tcPr>
            <w:tcW w:w="6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Chief Technology Officer and General Manager, Microbot Israel</w:t>
            </w:r>
          </w:p>
        </w:tc>
      </w:tr>
      <w:tr>
        <w:trPr>
          <w:trHeight w:val="266"/>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Juan Diaz-Cartelle</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48</w:t>
            </w:r>
          </w:p>
        </w:tc>
        <w:tc>
          <w:tcPr>
            <w:tcW w:w="60" w:type="dxa"/>
            <w:vAlign w:val="bottom"/>
          </w:tcPr>
          <w:p>
            <w:pPr>
              <w:spacing w:after="0"/>
              <w:rPr>
                <w:sz w:val="23"/>
                <w:szCs w:val="23"/>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Chief Medical Officer</w:t>
            </w:r>
          </w:p>
        </w:tc>
      </w:tr>
    </w:tbl>
    <w:p>
      <w:pPr>
        <w:spacing w:after="0" w:line="200" w:lineRule="exact"/>
        <w:rPr>
          <w:sz w:val="20"/>
          <w:szCs w:val="20"/>
          <w:color w:val="auto"/>
        </w:rPr>
      </w:pPr>
    </w:p>
    <w:p>
      <w:pPr>
        <w:sectPr>
          <w:pgSz w:w="12240" w:h="15840" w:orient="portrait"/>
          <w:cols w:equalWidth="0" w:num="1">
            <w:col w:w="10800"/>
          </w:cols>
          <w:pgMar w:left="720" w:top="700" w:right="720" w:bottom="175"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800"/>
          </w:cols>
          <w:pgMar w:left="720" w:top="700" w:right="720" w:bottom="175" w:gutter="0" w:footer="0" w:header="0"/>
          <w:type w:val="continuous"/>
        </w:sectPr>
      </w:pPr>
    </w:p>
    <w:bookmarkStart w:id="42" w:name="page43"/>
    <w:bookmarkEnd w:id="42"/>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Rachel Vaknin, </w:t>
      </w:r>
      <w:r>
        <w:rPr>
          <w:rFonts w:ascii="Times New Roman" w:cs="Times New Roman" w:eastAsia="Times New Roman" w:hAnsi="Times New Roman"/>
          <w:sz w:val="20"/>
          <w:szCs w:val="20"/>
          <w:color w:val="auto"/>
        </w:rPr>
        <w:t>has served as the Company’s Chief Financial Officer since April 2022 and before that was its VP Finance since January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2022. From 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Simon Sharon</w:t>
      </w:r>
      <w:r>
        <w:rPr>
          <w:rFonts w:ascii="Times New Roman" w:cs="Times New Roman" w:eastAsia="Times New Roman" w:hAnsi="Times New Roman"/>
          <w:sz w:val="20"/>
          <w:szCs w:val="20"/>
          <w:color w:val="auto"/>
        </w:rPr>
        <w:t>, has served as the Company’s Chief Technology Officer since April 2018 and as the General Manager of Microbot Israel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since April 2021. 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Dr. Juan Diaz-Cartelle</w:t>
      </w:r>
      <w:r>
        <w:rPr>
          <w:rFonts w:ascii="Times New Roman" w:cs="Times New Roman" w:eastAsia="Times New Roman" w:hAnsi="Times New Roman"/>
          <w:sz w:val="20"/>
          <w:szCs w:val="20"/>
          <w:color w:val="auto"/>
        </w:rPr>
        <w:t>, has served as the Company’s Chief Medical Officer since December 1, 2023. As CMO, Dr. Diaz-Cartelle will</w:t>
      </w:r>
    </w:p>
    <w:p>
      <w:pPr>
        <w:spacing w:after="0" w:line="205" w:lineRule="auto"/>
        <w:rPr>
          <w:sz w:val="20"/>
          <w:szCs w:val="20"/>
          <w:color w:val="auto"/>
        </w:rPr>
      </w:pPr>
      <w:r>
        <w:rPr>
          <w:rFonts w:ascii="Times New Roman" w:cs="Times New Roman" w:eastAsia="Times New Roman" w:hAnsi="Times New Roman"/>
          <w:sz w:val="20"/>
          <w:szCs w:val="20"/>
          <w:color w:val="auto"/>
        </w:rPr>
        <w:t>lead the development and execution of the clinical strategy of the Company, including its planned clinical trials for the LIBERTY</w:t>
      </w:r>
      <w:r>
        <w:rPr>
          <w:rFonts w:ascii="Times New Roman" w:cs="Times New Roman" w:eastAsia="Times New Roman" w:hAnsi="Times New Roman"/>
          <w:sz w:val="32"/>
          <w:szCs w:val="32"/>
          <w:color w:val="auto"/>
          <w:vertAlign w:val="superscript"/>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Endovascular Robotic Surgical System in the U.S., the medical affairs activity, and will be an integral part of the team leading its</w:t>
      </w:r>
    </w:p>
    <w:p>
      <w:pPr>
        <w:spacing w:after="0"/>
        <w:rPr>
          <w:sz w:val="20"/>
          <w:szCs w:val="20"/>
          <w:color w:val="auto"/>
        </w:rPr>
      </w:pPr>
      <w:r>
        <w:rPr>
          <w:rFonts w:ascii="Times New Roman" w:cs="Times New Roman" w:eastAsia="Times New Roman" w:hAnsi="Times New Roman"/>
          <w:sz w:val="20"/>
          <w:szCs w:val="20"/>
          <w:color w:val="auto"/>
        </w:rPr>
        <w:t>regulatory process with the FDA and commercial efforts. Most recently, from May 2022 to November 2023, Dr. Diaz-Cartelle served</w:t>
      </w:r>
    </w:p>
    <w:p>
      <w:pPr>
        <w:spacing w:after="0"/>
        <w:rPr>
          <w:sz w:val="20"/>
          <w:szCs w:val="20"/>
          <w:color w:val="auto"/>
        </w:rPr>
      </w:pPr>
      <w:r>
        <w:rPr>
          <w:rFonts w:ascii="Times New Roman" w:cs="Times New Roman" w:eastAsia="Times New Roman" w:hAnsi="Times New Roman"/>
          <w:sz w:val="20"/>
          <w:szCs w:val="20"/>
          <w:color w:val="auto"/>
        </w:rPr>
        <w:t>as the Executive Medical Director at Haemonetics Corporation (NYSE: HAE), where he advised that company on new investments in</w:t>
      </w:r>
    </w:p>
    <w:p>
      <w:pPr>
        <w:spacing w:after="0"/>
        <w:rPr>
          <w:sz w:val="20"/>
          <w:szCs w:val="20"/>
          <w:color w:val="auto"/>
        </w:rPr>
      </w:pPr>
      <w:r>
        <w:rPr>
          <w:rFonts w:ascii="Times New Roman" w:cs="Times New Roman" w:eastAsia="Times New Roman" w:hAnsi="Times New Roman"/>
          <w:sz w:val="19"/>
          <w:szCs w:val="19"/>
          <w:color w:val="auto"/>
        </w:rPr>
        <w:t>the cardiovascular space, among other responsibilities. Prior to that, from June 2008 to May 2022, Dr. Diaz-Cartelle served as the Senior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Medical Director for the Peripheral Interventional Division (Endovascular and Interventional Oncology) at Boston Scientific</w:t>
      </w:r>
    </w:p>
    <w:p>
      <w:pPr>
        <w:spacing w:after="0"/>
        <w:rPr>
          <w:sz w:val="20"/>
          <w:szCs w:val="20"/>
          <w:color w:val="auto"/>
        </w:rPr>
      </w:pPr>
      <w:r>
        <w:rPr>
          <w:rFonts w:ascii="Times New Roman" w:cs="Times New Roman" w:eastAsia="Times New Roman" w:hAnsi="Times New Roman"/>
          <w:sz w:val="19"/>
          <w:szCs w:val="19"/>
          <w:color w:val="auto"/>
        </w:rPr>
        <w:t>Corporation (NYSE: BSX), where he played a pivotal part in the development of global clinical strategy and study oversight, supporting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commercial activities and future pipeline development. Dr. Diaz-Cartelle obtained his medical degree at the University of Navarra</w:t>
      </w:r>
    </w:p>
    <w:p>
      <w:pPr>
        <w:spacing w:after="0"/>
        <w:rPr>
          <w:sz w:val="20"/>
          <w:szCs w:val="20"/>
          <w:color w:val="auto"/>
        </w:rPr>
      </w:pPr>
      <w:r>
        <w:rPr>
          <w:rFonts w:ascii="Times New Roman" w:cs="Times New Roman" w:eastAsia="Times New Roman" w:hAnsi="Times New Roman"/>
          <w:sz w:val="19"/>
          <w:szCs w:val="19"/>
          <w:color w:val="auto"/>
        </w:rPr>
        <w:t>(Spain) and completed his specialty as Angiologist and Vascular Surgeon at Hospital General Universitario Gregorio Maranon in Madrid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(Spain).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Committees of the Board of Directors</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Audit Committee</w:t>
      </w:r>
    </w:p>
    <w:p>
      <w:pPr>
        <w:spacing w:after="0" w:line="2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Committee</w:t>
      </w:r>
    </w:p>
    <w:p>
      <w:pPr>
        <w:spacing w:after="0" w:line="2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Compensation Committee is composed of Messrs. Madden (Chairman), Bornstein and Stockburger. Each of the members of the Compensation Committee is independent. The Compensation Committee acts pursuant to a written charter which is available through</w:t>
      </w:r>
    </w:p>
    <w:p>
      <w:pPr>
        <w:sectPr>
          <w:pgSz w:w="12240" w:h="15840" w:orient="portrait"/>
          <w:cols w:equalWidth="0" w:num="1">
            <w:col w:w="10800"/>
          </w:cols>
          <w:pgMar w:left="720" w:top="700" w:right="720" w:bottom="175"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700" w:right="720" w:bottom="175" w:gutter="0" w:footer="0" w:header="0"/>
          <w:type w:val="continuous"/>
        </w:sectPr>
      </w:pPr>
    </w:p>
    <w:bookmarkStart w:id="43" w:name="page44"/>
    <w:bookmarkEnd w:id="43"/>
    <w:p>
      <w:pPr>
        <w:jc w:val="both"/>
        <w:spacing w:after="0" w:line="277" w:lineRule="auto"/>
        <w:rPr>
          <w:sz w:val="20"/>
          <w:szCs w:val="20"/>
          <w:color w:val="auto"/>
        </w:rPr>
      </w:pPr>
      <w:r>
        <w:rPr>
          <w:rFonts w:ascii="Times New Roman" w:cs="Times New Roman" w:eastAsia="Times New Roman" w:hAnsi="Times New Roman"/>
          <w:sz w:val="20"/>
          <w:szCs w:val="20"/>
          <w:color w:val="auto"/>
        </w:rPr>
        <w:t>our website at www.microbotmedical.com. The Compensation Committee held two meetings during the fiscal year ended December 31, 2023 and acted by unanimous written consent three times.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Corporate Governance Committee</w:t>
      </w:r>
    </w:p>
    <w:p>
      <w:pPr>
        <w:spacing w:after="0" w:line="2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9"/>
          <w:szCs w:val="19"/>
          <w:u w:val="single" w:color="auto"/>
          <w:color w:val="auto"/>
        </w:rPr>
        <w:t>www.microbotmedical.com</w:t>
      </w:r>
      <w:r>
        <w:rPr>
          <w:rFonts w:ascii="Times New Roman" w:cs="Times New Roman" w:eastAsia="Times New Roman" w:hAnsi="Times New Roman"/>
          <w:sz w:val="19"/>
          <w:szCs w:val="19"/>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Oversight and Qualifications</w:t>
      </w:r>
    </w:p>
    <w:p>
      <w:pPr>
        <w:spacing w:after="0" w:line="2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Code of Business Conduct and Ethics and Compensation Recovery</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Section 16(a) Reports</w:t>
      </w:r>
    </w:p>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w:t>
      </w:r>
    </w:p>
    <w:p>
      <w:pPr>
        <w:sectPr>
          <w:pgSz w:w="12240" w:h="15840" w:orient="portrait"/>
          <w:cols w:equalWidth="0" w:num="1">
            <w:col w:w="10800"/>
          </w:cols>
          <w:pgMar w:left="720" w:top="700" w:right="720" w:bottom="175"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800"/>
          </w:cols>
          <w:pgMar w:left="720" w:top="700" w:right="720" w:bottom="175" w:gutter="0" w:footer="0" w:header="0"/>
          <w:type w:val="continuous"/>
        </w:sectPr>
      </w:pPr>
    </w:p>
    <w:bookmarkStart w:id="44" w:name="page45"/>
    <w:bookmarkEnd w:id="44"/>
    <w:p>
      <w:pPr>
        <w:spacing w:after="0" w:line="277" w:lineRule="auto"/>
        <w:rPr>
          <w:sz w:val="20"/>
          <w:szCs w:val="20"/>
          <w:color w:val="auto"/>
        </w:rPr>
      </w:pPr>
      <w:r>
        <w:rPr>
          <w:rFonts w:ascii="Times New Roman" w:cs="Times New Roman" w:eastAsia="Times New Roman" w:hAnsi="Times New Roman"/>
          <w:sz w:val="20"/>
          <w:szCs w:val="20"/>
          <w:color w:val="auto"/>
        </w:rPr>
        <w:t>Form 5 was required, we believe that, during the fiscal year ended December 31, 2023, all Section 16(a) filing requirements applicable to our officers, directors and greater than 10% beneficial owners have been met.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11. </w:t>
      </w:r>
      <w:r>
        <w:rPr>
          <w:rFonts w:ascii="Times New Roman" w:cs="Times New Roman" w:eastAsia="Times New Roman" w:hAnsi="Times New Roman"/>
          <w:sz w:val="20"/>
          <w:szCs w:val="20"/>
          <w:b w:val="1"/>
          <w:bCs w:val="1"/>
          <w:u w:val="single" w:color="auto"/>
          <w:color w:val="auto"/>
        </w:rPr>
        <w:t>Executive Compensation.</w:t>
      </w:r>
    </w:p>
    <w:p>
      <w:pPr>
        <w:spacing w:after="0" w:line="24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following table sets forth information regarding each element of compensation that was paid or awarded to the named executive officers of the Company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Name and</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Salary</w:t>
            </w: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7"/>
              </w:rPr>
              <w:t>Bonus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Awards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Awards ($)</w:t>
            </w:r>
          </w:p>
        </w:tc>
        <w:tc>
          <w:tcPr>
            <w:tcW w:w="21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Non-Equity Incentive</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All Other</w:t>
            </w:r>
          </w:p>
        </w:tc>
        <w:tc>
          <w:tcPr>
            <w:tcW w:w="860" w:type="dxa"/>
            <w:vAlign w:val="bottom"/>
          </w:tcPr>
          <w:p>
            <w:pPr>
              <w:spacing w:after="0"/>
              <w:rPr>
                <w:sz w:val="19"/>
                <w:szCs w:val="19"/>
                <w:color w:val="auto"/>
              </w:rPr>
            </w:pPr>
          </w:p>
        </w:tc>
      </w:tr>
      <w:tr>
        <w:trPr>
          <w:trHeight w:val="263"/>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Position</w:t>
            </w:r>
          </w:p>
        </w:tc>
        <w:tc>
          <w:tcPr>
            <w:tcW w:w="60" w:type="dxa"/>
            <w:vAlign w:val="bottom"/>
          </w:tcPr>
          <w:p>
            <w:pPr>
              <w:spacing w:after="0"/>
              <w:rPr>
                <w:sz w:val="22"/>
                <w:szCs w:val="22"/>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w w:val="94"/>
              </w:rPr>
              <w:t>Year</w:t>
            </w:r>
          </w:p>
        </w:tc>
        <w:tc>
          <w:tcPr>
            <w:tcW w:w="100" w:type="dxa"/>
            <w:vAlign w:val="bottom"/>
          </w:tcPr>
          <w:p>
            <w:pPr>
              <w:spacing w:after="0"/>
              <w:rPr>
                <w:sz w:val="22"/>
                <w:szCs w:val="22"/>
                <w:color w:val="auto"/>
              </w:rPr>
            </w:pPr>
          </w:p>
        </w:tc>
        <w:tc>
          <w:tcPr>
            <w:tcW w:w="7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2"/>
                <w:szCs w:val="22"/>
                <w:color w:val="auto"/>
              </w:rPr>
            </w:pPr>
          </w:p>
        </w:tc>
        <w:tc>
          <w:tcPr>
            <w:tcW w:w="7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(1)</w:t>
            </w:r>
          </w:p>
        </w:tc>
        <w:tc>
          <w:tcPr>
            <w:tcW w:w="100" w:type="dxa"/>
            <w:vAlign w:val="bottom"/>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Plan Compensation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Compensation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w:t>
            </w:r>
          </w:p>
        </w:tc>
        <w:tc>
          <w:tcPr>
            <w:tcW w:w="2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w:t>
            </w:r>
          </w:p>
        </w:tc>
      </w:tr>
      <w:tr>
        <w:trPr>
          <w:trHeight w:val="440"/>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Harel Gadot</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4"/>
              </w:rPr>
              <w:t>2023</w:t>
            </w:r>
          </w:p>
        </w:tc>
        <w:tc>
          <w:tcPr>
            <w:tcW w:w="10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372,521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386,000(2)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470,302</w:t>
            </w:r>
          </w:p>
        </w:tc>
        <w:tc>
          <w:tcPr>
            <w:tcW w:w="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55,300(3)</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1,284,123</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CEO, President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6"/>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&amp; Chairman</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2022</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514,049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300,000(5)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971,217</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52,900(4) 1,838,166</w:t>
            </w:r>
          </w:p>
        </w:tc>
      </w:tr>
      <w:tr>
        <w:trPr>
          <w:trHeight w:val="424"/>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Simon Sharon</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4"/>
              </w:rPr>
              <w:t>2023</w:t>
            </w:r>
          </w:p>
        </w:tc>
        <w:tc>
          <w:tcPr>
            <w:tcW w:w="10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195,901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87,022(2)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88,418</w:t>
            </w:r>
          </w:p>
        </w:tc>
        <w:tc>
          <w:tcPr>
            <w:tcW w:w="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98,589(6)</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469,930</w:t>
            </w:r>
          </w:p>
        </w:tc>
      </w:tr>
      <w:tr>
        <w:trPr>
          <w:trHeight w:val="266"/>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CTO and GM</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2022</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255,621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89,721(5)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65,114</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115,874(6)</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526,330</w:t>
            </w:r>
          </w:p>
        </w:tc>
      </w:tr>
      <w:tr>
        <w:trPr>
          <w:trHeight w:val="424"/>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Eyal Morag</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4"/>
              </w:rPr>
              <w:t>2023</w:t>
            </w:r>
          </w:p>
        </w:tc>
        <w:tc>
          <w:tcPr>
            <w:tcW w:w="10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146,403</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82,878(2)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101,356</w:t>
            </w:r>
          </w:p>
        </w:tc>
        <w:tc>
          <w:tcPr>
            <w:tcW w:w="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181,235(8)</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511,872</w:t>
            </w:r>
          </w:p>
        </w:tc>
      </w:tr>
      <w:tr>
        <w:trPr>
          <w:trHeight w:val="266"/>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CMO (7)</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2022</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284,024</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89,164(5)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90,836</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137,245(8)</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601,269</w:t>
            </w:r>
          </w:p>
        </w:tc>
      </w:tr>
      <w:tr>
        <w:trPr>
          <w:trHeight w:val="424"/>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Rachel Vaknin</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4"/>
              </w:rPr>
              <w:t>2023</w:t>
            </w:r>
          </w:p>
        </w:tc>
        <w:tc>
          <w:tcPr>
            <w:tcW w:w="10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139,601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27,626(2)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76,533</w:t>
            </w:r>
          </w:p>
        </w:tc>
        <w:tc>
          <w:tcPr>
            <w:tcW w:w="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45,743(9)</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289,503</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CFO</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4"/>
              </w:rPr>
              <w:t>2022</w:t>
            </w:r>
          </w:p>
        </w:tc>
        <w:tc>
          <w:tcPr>
            <w:tcW w:w="10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142,012</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45,263</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47,372(9)</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234,647</w:t>
            </w:r>
          </w:p>
        </w:tc>
      </w:tr>
      <w:tr>
        <w:trPr>
          <w:trHeight w:val="266"/>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__________</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bl>
    <w:p>
      <w:pPr>
        <w:jc w:val="both"/>
        <w:ind w:left="360" w:hanging="360"/>
        <w:spacing w:after="0" w:line="243" w:lineRule="auto"/>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this Annual Report on Form 10-K.</w:t>
      </w:r>
    </w:p>
    <w:p>
      <w:pPr>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bonus for the 2022 fiscal year, which amount was actually paid in 2023.</w:t>
      </w:r>
    </w:p>
    <w:p>
      <w:pPr>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Compensation includes contributions to the named executive officer’s 401(k) Plan, and a yearly automobile allowance.</w:t>
      </w:r>
    </w:p>
    <w:p>
      <w:pPr>
        <w:ind w:left="360" w:hanging="360"/>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bonus for the 2021 fiscal year, which amount was actually paid in 2022.</w:t>
      </w:r>
    </w:p>
    <w:p>
      <w:pPr>
        <w:ind w:left="360" w:hanging="360"/>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Compensation includes contributions or payments to the named executive officer’s convalescence pay, pension fund, work disability insurance, severance fund, education fund, and social security, and yearly automobile allowance.</w:t>
      </w:r>
    </w:p>
    <w:p>
      <w:pPr>
        <w:ind w:left="360" w:hanging="360"/>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August 29, 2023, Dr. Morag resigned from his position with the Company, effective November 29, 2023.</w:t>
      </w:r>
    </w:p>
    <w:p>
      <w:pPr>
        <w:jc w:val="both"/>
        <w:ind w:left="360" w:hanging="360"/>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Compensation includes contributions or payments to the named executive officer’s convalescence pay, pension fund, work disability insurance, severance fund, education fund, and social security. It also includes a yearly automobile allowance and, for the 2023 fiscal year, payments for accrued vacation days upon termination of employment.</w:t>
      </w:r>
    </w:p>
    <w:p>
      <w:pPr>
        <w:ind w:left="360" w:hanging="360"/>
        <w:spacing w:after="0" w:line="248"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Compensation includes contributions or payments to the named executive officer’s convalescence pay, pension fund, work disability insurance, severance fund, education fund, and social security.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Year-End</w:t>
      </w:r>
    </w:p>
    <w:p>
      <w:pPr>
        <w:spacing w:after="0" w:line="24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following table presents the outstanding equity awards held by each of the named executive officers as of the end of the fiscal year ended December 31, 2023.</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00"/>
          </w:cols>
          <w:pgMar w:left="720" w:top="700" w:right="720" w:bottom="175"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63"/>
        </w:trPr>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20"/>
                <w:szCs w:val="20"/>
                <w:b w:val="1"/>
                <w:bCs w:val="1"/>
                <w:color w:val="auto"/>
              </w:rPr>
              <w:t>Option Awards</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Stock Awards</w:t>
            </w:r>
          </w:p>
        </w:tc>
        <w:tc>
          <w:tcPr>
            <w:tcW w:w="1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07"/>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center"/>
              <w:ind w:right="100"/>
              <w:spacing w:after="0" w:line="207" w:lineRule="exact"/>
              <w:rPr>
                <w:sz w:val="20"/>
                <w:szCs w:val="20"/>
                <w:color w:val="auto"/>
              </w:rPr>
            </w:pPr>
            <w:r>
              <w:rPr>
                <w:rFonts w:ascii="Times New Roman" w:cs="Times New Roman" w:eastAsia="Times New Roman" w:hAnsi="Times New Roman"/>
                <w:sz w:val="20"/>
                <w:szCs w:val="20"/>
                <w:b w:val="1"/>
                <w:bCs w:val="1"/>
                <w:color w:val="auto"/>
              </w:rPr>
              <w:t>Equity</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Incentive Plan</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5"/>
              </w:rPr>
              <w:t>of</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Awards:</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Equity Incentive</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Market</w:t>
            </w:r>
          </w:p>
        </w:tc>
        <w:tc>
          <w:tcPr>
            <w:tcW w:w="8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6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Plan Awards:</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8"/>
              </w:rPr>
              <w:t>or Units of</w:t>
            </w: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value of</w:t>
            </w:r>
          </w:p>
        </w:tc>
        <w:tc>
          <w:tcPr>
            <w:tcW w:w="8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of Unearned</w:t>
            </w:r>
          </w:p>
        </w:tc>
        <w:tc>
          <w:tcPr>
            <w:tcW w:w="16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Market</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Securities</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Securities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8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Shares, Units or</w:t>
            </w:r>
          </w:p>
        </w:tc>
        <w:tc>
          <w:tcPr>
            <w:tcW w:w="16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or Payout Value of</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Underlying</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Underlying</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That</w:t>
            </w: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of Units of</w:t>
            </w:r>
          </w:p>
        </w:tc>
        <w:tc>
          <w:tcPr>
            <w:tcW w:w="8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Other Rights</w:t>
            </w:r>
          </w:p>
        </w:tc>
        <w:tc>
          <w:tcPr>
            <w:tcW w:w="16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Unearned Shares,</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Unexercised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Unexercised</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Have</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7"/>
              </w:rPr>
              <w:t>Stock That</w:t>
            </w:r>
          </w:p>
        </w:tc>
        <w:tc>
          <w:tcPr>
            <w:tcW w:w="8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That</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Units or Other</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Exercise</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Expiration</w:t>
            </w: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Not</w:t>
            </w: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Have</w:t>
            </w:r>
          </w:p>
        </w:tc>
        <w:tc>
          <w:tcPr>
            <w:tcW w:w="8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Have Not</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Rights That</w:t>
            </w:r>
          </w:p>
        </w:tc>
      </w:tr>
      <w:tr>
        <w:trPr>
          <w:trHeight w:val="263"/>
        </w:trPr>
        <w:tc>
          <w:tcPr>
            <w:tcW w:w="7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6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Exercisable</w:t>
            </w:r>
          </w:p>
        </w:tc>
        <w:tc>
          <w:tcPr>
            <w:tcW w:w="10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Unexercisable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Vested</w:t>
            </w:r>
          </w:p>
        </w:tc>
        <w:tc>
          <w:tcPr>
            <w:tcW w:w="1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7"/>
              </w:rPr>
              <w:t>Not Vested</w:t>
            </w:r>
          </w:p>
        </w:tc>
        <w:tc>
          <w:tcPr>
            <w:tcW w:w="80" w:type="dxa"/>
            <w:vAlign w:val="bottom"/>
          </w:tcPr>
          <w:p>
            <w:pPr>
              <w:spacing w:after="0"/>
              <w:rPr>
                <w:sz w:val="22"/>
                <w:szCs w:val="22"/>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Vested</w:t>
            </w:r>
          </w:p>
        </w:tc>
        <w:tc>
          <w:tcPr>
            <w:tcW w:w="16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Have Not Vested</w:t>
            </w:r>
          </w:p>
        </w:tc>
      </w:tr>
      <w:tr>
        <w:trPr>
          <w:trHeight w:val="436"/>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Harel</w:t>
            </w:r>
          </w:p>
        </w:tc>
        <w:tc>
          <w:tcPr>
            <w:tcW w:w="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Gadot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77,846</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4.20</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1/01/2025</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120,847</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15.75</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9/14/2027</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166,666</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9.64</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2/25/2030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190,000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8.48</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02/01/2031</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62,500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37,500</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6.48</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01/26/2032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64,000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96,000</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3.73</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12/21/2032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80,000</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2.43</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08/01/2033</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42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Simon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Sharon</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10,000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9.00</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08/13/2028</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14,170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5.95</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08/12/2029</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15,625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9,375</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6.48</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01/26/2032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11,375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23,625</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3.48</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12/21/2032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17,500</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2.43</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08/01/2033</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42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Rachel</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Vaknin</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12,500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7,500</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6.48</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01/26/2032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4,750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5,250</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4.80</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07/18/2032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5,200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7,800</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3.73</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12/21/2032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17,500</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2.43</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08/01/2033</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42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Eyal</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Morag</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25,000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6.16</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02/29/2024</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15,625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6.48</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02/29/2024</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Employment Agreements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Harel Gadot Employment Agreement</w:t>
      </w:r>
    </w:p>
    <w:p>
      <w:pPr>
        <w:spacing w:after="0" w:line="2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2023 was $530,450;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as of January 26, 2022, Mr. Gadot shall also be entitled to receive a target annual cash bonus of up to a maximum amount of 75% of base salary. For the 2023 fiscal year, Mr. Gadot received (a) a cash bonus of $298,377, payable (i) 50% ($149,188.50) in the event we raise at least $3.0 million in new money by June 30, 2024 and (ii) 50% ($149,188.50) in the event we raise at least $6 million in new money by September 30, 2024 (cumulative, so if $3.0 million is not raised by June 30, 2024 but the full $6.0 million is raised by September 30, 2024, the full amount is payable) and (b) a bonus in the form of 79,567 stock options.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w:t>
      </w:r>
    </w:p>
    <w:p>
      <w:pPr>
        <w:sectPr>
          <w:pgSz w:w="12240" w:h="15840" w:orient="portrait"/>
          <w:cols w:equalWidth="0" w:num="1">
            <w:col w:w="10800"/>
          </w:cols>
          <w:pgMar w:left="720" w:top="696" w:right="720" w:bottom="175"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800"/>
          </w:cols>
          <w:pgMar w:left="720" w:top="696" w:right="720" w:bottom="175" w:gutter="0" w:footer="0" w:header="0"/>
          <w:type w:val="continuous"/>
        </w:sectPr>
      </w:pPr>
    </w:p>
    <w:bookmarkStart w:id="46" w:name="page47"/>
    <w:bookmarkEnd w:id="46"/>
    <w:p>
      <w:pPr>
        <w:jc w:val="both"/>
        <w:spacing w:after="0" w:line="277" w:lineRule="auto"/>
        <w:rPr>
          <w:sz w:val="20"/>
          <w:szCs w:val="20"/>
          <w:color w:val="auto"/>
        </w:rPr>
      </w:pPr>
      <w:r>
        <w:rPr>
          <w:rFonts w:ascii="Times New Roman" w:cs="Times New Roman" w:eastAsia="Times New Roman" w:hAnsi="Times New Roman"/>
          <w:sz w:val="20"/>
          <w:szCs w:val="20"/>
          <w:color w:val="auto"/>
        </w:rPr>
        <w:t>80,000 options, and in February 2024, the Company granted Mr. Gadot an aggregate of 240,000 options (exclusive of the bonus options described above).</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the event Mr. Gadot’s employment is terminated by the Company for cause, Mr. Gadot would be entitled to receive any compensation then due and payable incurred up to the date of termination.</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20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Rachel Vaknin Employment Agreement</w:t>
      </w:r>
    </w:p>
    <w:p>
      <w:pPr>
        <w:spacing w:after="0" w:line="2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Ms. Vaknin shall also be entitled to receive a target annual cash bonus, based on certain milestones, of up to a maximum amount of 35% (increased from 25% in February 2024) of her annual salary. For the 2023 fiscal year, Ms. Vaknin received a cash bonus of 150,000 NIS (approximately $41,000), payable 50% immediately and 50% payable in the event we raise at least $3.0 million in new money by September 30, 2024.</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 and in February 2024, the Company granted Ms. Vaknin an aggregate of 52,500 options.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Either the Company or Ms. Vaknin may terminate the Vaknin Agreement at its discretion at any time by providing the other party with two months prior written notice of termination (the “Advance Notice Period”).</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may terminate the Vaknin Agreement “For Cause” (as defined in the Vaknin Agreement) at any time by written notice without the Advance Notice Period.</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00"/>
          </w:cols>
          <w:pgMar w:left="720" w:top="700" w:right="720" w:bottom="175"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i w:val="1"/>
          <w:iCs w:val="1"/>
          <w:color w:val="auto"/>
        </w:rPr>
        <w:t>Simon Sharon Employment Agreement</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salary is reviewed on an annual basis by the Compensation Committee of the Company to determine potential increases taking into account such performance metrics and criteria as established by the Company.</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the terms of the Sharon Agreement, Mr. Sharon was to have received in 2023 a combined base salary and overtime payment of NIS 74,160 per month. For 2023, as a result of the Company’s May 2023 cost reduction plan and the Sharon Addendum, Mr. Sharon’s gross monthly salary was decreased to a gross amount of NIS 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Mr. Sharon is also entitled to receive an annual cash bonus of up to 35% of the annual combined salary and overtime payment, based on certain performance factors established and assessed by the Compensation Committee of the Board of Directors of the Company. For the 2023 fiscal year, Mr. Sharon received a cash bonus of 311,472 NIS (approximately $85,000), payable 50% immediately and 50% payable in the event we raise at least $3.0 million in new money by September 30, 2024.</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 and in February 2024, the Company granted Mr. Sharon an aggregate of 52,500 options.</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Either the Company or Mr. Sharon may terminate the Sharon Agreement without cause (as defined in the Sharon Agreement) by providing the other party with ninety days prior written notice.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may terminate the Sharon Agreement for cause at any time by written notice without any advance notice.</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Juan Diaz-Cartelle Employment Agreement</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entered into an employment agreement (the “Diaz-Cartelle Agreement”), effective as of December 1, 2023, with Dr. Diaz-Cartelle, to serve as Chief Medical Officer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Dr. Diaz-Cartelle shall also be entitled to receive a target annual cash bonus, based on corporate performance factors established and assessed by the Compensation Committee, of up to a maximum amount of 30% of his annual base salary.</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800"/>
          </w:cols>
          <w:pgMar w:left="720" w:top="700" w:right="720" w:bottom="147" w:gutter="0" w:footer="0" w:header="0"/>
        </w:sectPr>
      </w:pPr>
    </w:p>
    <w:bookmarkStart w:id="48" w:name="page49"/>
    <w:bookmarkEnd w:id="48"/>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 (ii) 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 Agreements</w:t>
      </w:r>
    </w:p>
    <w:p>
      <w:pPr>
        <w:spacing w:after="0" w:line="2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Limits on Liability and Indemnification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provide directors and officers insurance for our current directors and officers.</w:t>
      </w:r>
    </w:p>
    <w:p>
      <w:pPr>
        <w:spacing w:after="0" w:line="2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Company adopted in January 2021 an amended compensation package for the non-management members of its Board, pursuant to which each such Board member would receive for his or her services $35,000 per year. Furthermore, each member of the Audit Committee of the Board receives an additional $10,000 per year ($20,000 if Chairman), each member of the Compensation Committee of the Board receives an additional $7,500 per year ($15,000 if Chairman) and each member of the Corporate Governance and Nominating Committee of the Board receives an additional $5,000 per year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w:t>
      </w:r>
    </w:p>
    <w:p>
      <w:pPr>
        <w:sectPr>
          <w:pgSz w:w="12240" w:h="15840" w:orient="portrait"/>
          <w:cols w:equalWidth="0" w:num="1">
            <w:col w:w="10800"/>
          </w:cols>
          <w:pgMar w:left="720" w:top="700" w:right="720" w:bottom="175" w:gutter="0" w:footer="0" w:header="0"/>
        </w:sectPr>
      </w:pP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800"/>
          </w:cols>
          <w:pgMar w:left="720" w:top="700" w:right="720" w:bottom="175" w:gutter="0" w:footer="0" w:header="0"/>
          <w:type w:val="continuous"/>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20"/>
          <w:szCs w:val="20"/>
          <w:color w:val="auto"/>
        </w:rPr>
        <w:t>stock equal to $95,000, computed on a similar basis. As a result of the Company’s May 2023 cost reduction plan, the independent members of the Board agreed to a suspension of their quarterly director fees, with reinstatement of such fees effective as of January 1, 2024.</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 summarizes cash and equity-based compensation information for our outside directors, for the year ended December 31,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Fees earned</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Nonqualified Deferred</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or paid in</w:t>
            </w:r>
          </w:p>
        </w:tc>
        <w:tc>
          <w:tcPr>
            <w:tcW w:w="100" w:type="dxa"/>
            <w:vAlign w:val="bottom"/>
          </w:tcPr>
          <w:p>
            <w:pPr>
              <w:spacing w:after="0"/>
              <w:rPr>
                <w:sz w:val="19"/>
                <w:szCs w:val="19"/>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Awards</w:t>
            </w:r>
          </w:p>
        </w:tc>
        <w:tc>
          <w:tcPr>
            <w:tcW w:w="10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Non-Equity Incentive</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All Other</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63"/>
        </w:trPr>
        <w:tc>
          <w:tcPr>
            <w:tcW w:w="124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cash</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Awards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w:t>
            </w:r>
          </w:p>
        </w:tc>
        <w:tc>
          <w:tcPr>
            <w:tcW w:w="100" w:type="dxa"/>
            <w:vAlign w:val="bottom"/>
          </w:tcPr>
          <w:p>
            <w:pPr>
              <w:spacing w:after="0"/>
              <w:rPr>
                <w:sz w:val="22"/>
                <w:szCs w:val="22"/>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Plan Compensation</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Earnings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441"/>
        </w:trPr>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Yoseph</w:t>
            </w: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Bornstein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60,998</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000" w:type="dxa"/>
            <w:vAlign w:val="bottom"/>
          </w:tcPr>
          <w:p>
            <w:pPr>
              <w:ind w:left="19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$74,123</w:t>
            </w: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Scott Burell</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60,998</w:t>
            </w:r>
          </w:p>
        </w:tc>
        <w:tc>
          <w:tcPr>
            <w:tcW w:w="2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gridSpan w:val="2"/>
          </w:tcPr>
          <w:p>
            <w:pPr>
              <w:ind w:left="194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$75,998</w:t>
            </w: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Martin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Madden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60,998</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000" w:type="dxa"/>
            <w:vAlign w:val="bottom"/>
          </w:tcPr>
          <w:p>
            <w:pPr>
              <w:ind w:left="19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$75,998</w:t>
            </w: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Prattipati</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Laxminarain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60,998</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100" w:type="dxa"/>
            <w:vAlign w:val="bottom"/>
            <w:gridSpan w:val="2"/>
          </w:tcPr>
          <w:p>
            <w:pPr>
              <w:ind w:left="194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$72,248</w:t>
            </w: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Aileen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Stockburger</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64,386</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000" w:type="dxa"/>
            <w:vAlign w:val="bottom"/>
          </w:tcPr>
          <w:p>
            <w:pPr>
              <w:ind w:left="19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$75,011</w:t>
            </w:r>
          </w:p>
        </w:tc>
      </w:tr>
      <w:tr>
        <w:trPr>
          <w:trHeight w:val="230"/>
        </w:trPr>
        <w:tc>
          <w:tcPr>
            <w:tcW w:w="1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Tal Wenderow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63,701</w:t>
            </w:r>
          </w:p>
        </w:tc>
        <w:tc>
          <w:tcPr>
            <w:tcW w:w="2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gridSpan w:val="2"/>
          </w:tcPr>
          <w:p>
            <w:pPr>
              <w:ind w:left="1940"/>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$73,701</w:t>
            </w:r>
          </w:p>
        </w:tc>
      </w:tr>
      <w:tr>
        <w:trPr>
          <w:trHeight w:val="266"/>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__________</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r>
    </w:tbl>
    <w:p>
      <w:pPr>
        <w:jc w:val="both"/>
        <w:ind w:left="360" w:hanging="360"/>
        <w:spacing w:after="0" w:line="248" w:lineRule="auto"/>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this Annual Report on Form 10-K for the fiscal year ended December 31,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Gadot received compensation for his services to the Company as set forth under the summary compensation table above.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12. </w:t>
      </w:r>
      <w:r>
        <w:rPr>
          <w:rFonts w:ascii="Times New Roman" w:cs="Times New Roman" w:eastAsia="Times New Roman" w:hAnsi="Times New Roman"/>
          <w:sz w:val="20"/>
          <w:szCs w:val="20"/>
          <w:b w:val="1"/>
          <w:bCs w:val="1"/>
          <w:u w:val="single" w:color="auto"/>
          <w:color w:val="auto"/>
        </w:rPr>
        <w:t>Security Ownership of Certain Beneficial Owners and Management and Related Stockholder Matters.</w:t>
      </w:r>
    </w:p>
    <w:p>
      <w:pPr>
        <w:spacing w:after="0" w:line="2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following table shows the number of shares of our common stock beneficially owned, as of March 25, 2024,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March 25, 2024. We calculated percentage ownership in accordance with the rules of the SEC. The percentage of common stock beneficially owned is based on 14,398,964 shares outstanding as of March 25, 2024. In addition, shares issuable pursuant to options or other convertible securities that may be acquired within 60 days of March 25, 2024 are deemed to be issued and outstanding and have been treated as outstanding in calculating and determining the beneficial ownership and percentage ownership of those persons possessing those securities, but not for any other persons.</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800"/>
          </w:cols>
          <w:pgMar w:left="720" w:top="700" w:right="720" w:bottom="175" w:gutter="0" w:footer="0" w:header="0"/>
          <w:type w:val="continuous"/>
        </w:sectPr>
      </w:pPr>
    </w:p>
    <w:bookmarkStart w:id="50" w:name="page51"/>
    <w:bookmarkEnd w:id="50"/>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Beneficial Owner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360045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045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283.5pt,1.9pt" o:allowincell="f" strokecolor="#000000" strokeweight="1.5pt"/>
            </w:pict>
          </mc:Fallback>
        </mc:AlternateConten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Harel Gadot</w:t>
      </w:r>
      <w:r>
        <w:rPr>
          <w:rFonts w:ascii="Times New Roman" w:cs="Times New Roman" w:eastAsia="Times New Roman" w:hAnsi="Times New Roman"/>
          <w:sz w:val="32"/>
          <w:szCs w:val="32"/>
          <w:color w:val="auto"/>
          <w:vertAlign w:val="superscript"/>
        </w:rPr>
        <w:t>(1)</w:t>
      </w:r>
    </w:p>
    <w:p>
      <w:pPr>
        <w:spacing w:after="0" w:line="187" w:lineRule="auto"/>
        <w:rPr>
          <w:sz w:val="20"/>
          <w:szCs w:val="20"/>
          <w:color w:val="auto"/>
        </w:rPr>
      </w:pPr>
      <w:r>
        <w:rPr>
          <w:rFonts w:ascii="Times New Roman" w:cs="Times New Roman" w:eastAsia="Times New Roman" w:hAnsi="Times New Roman"/>
          <w:sz w:val="20"/>
          <w:szCs w:val="20"/>
          <w:color w:val="auto"/>
        </w:rPr>
        <w:t>Yoseph Bornstein</w:t>
      </w:r>
      <w:r>
        <w:rPr>
          <w:rFonts w:ascii="Times New Roman" w:cs="Times New Roman" w:eastAsia="Times New Roman" w:hAnsi="Times New Roman"/>
          <w:sz w:val="32"/>
          <w:szCs w:val="32"/>
          <w:color w:val="auto"/>
          <w:vertAlign w:val="superscript"/>
        </w:rPr>
        <w:t>(2)</w:t>
      </w:r>
    </w:p>
    <w:p>
      <w:pPr>
        <w:spacing w:after="0" w:line="188" w:lineRule="auto"/>
        <w:rPr>
          <w:sz w:val="20"/>
          <w:szCs w:val="20"/>
          <w:color w:val="auto"/>
        </w:rPr>
      </w:pPr>
      <w:r>
        <w:rPr>
          <w:rFonts w:ascii="Times New Roman" w:cs="Times New Roman" w:eastAsia="Times New Roman" w:hAnsi="Times New Roman"/>
          <w:sz w:val="20"/>
          <w:szCs w:val="20"/>
          <w:color w:val="auto"/>
        </w:rPr>
        <w:t>Scott Burell</w:t>
      </w:r>
      <w:r>
        <w:rPr>
          <w:rFonts w:ascii="Times New Roman" w:cs="Times New Roman" w:eastAsia="Times New Roman" w:hAnsi="Times New Roman"/>
          <w:sz w:val="32"/>
          <w:szCs w:val="32"/>
          <w:color w:val="auto"/>
          <w:vertAlign w:val="superscript"/>
        </w:rPr>
        <w:t>(3)</w:t>
      </w:r>
    </w:p>
    <w:p>
      <w:pPr>
        <w:spacing w:after="0" w:line="187" w:lineRule="auto"/>
        <w:rPr>
          <w:sz w:val="20"/>
          <w:szCs w:val="20"/>
          <w:color w:val="auto"/>
        </w:rPr>
      </w:pPr>
      <w:r>
        <w:rPr>
          <w:rFonts w:ascii="Times New Roman" w:cs="Times New Roman" w:eastAsia="Times New Roman" w:hAnsi="Times New Roman"/>
          <w:sz w:val="20"/>
          <w:szCs w:val="20"/>
          <w:color w:val="auto"/>
        </w:rPr>
        <w:t>Martin Madden</w:t>
      </w:r>
      <w:r>
        <w:rPr>
          <w:rFonts w:ascii="Times New Roman" w:cs="Times New Roman" w:eastAsia="Times New Roman" w:hAnsi="Times New Roman"/>
          <w:sz w:val="32"/>
          <w:szCs w:val="32"/>
          <w:color w:val="auto"/>
          <w:vertAlign w:val="superscript"/>
        </w:rPr>
        <w:t>(3)</w:t>
      </w:r>
    </w:p>
    <w:p>
      <w:pPr>
        <w:spacing w:after="0" w:line="188" w:lineRule="auto"/>
        <w:rPr>
          <w:sz w:val="20"/>
          <w:szCs w:val="20"/>
          <w:color w:val="auto"/>
        </w:rPr>
      </w:pPr>
      <w:r>
        <w:rPr>
          <w:rFonts w:ascii="Times New Roman" w:cs="Times New Roman" w:eastAsia="Times New Roman" w:hAnsi="Times New Roman"/>
          <w:sz w:val="20"/>
          <w:szCs w:val="20"/>
          <w:color w:val="auto"/>
        </w:rPr>
        <w:t>Prattipati Laxminarain</w:t>
      </w:r>
      <w:r>
        <w:rPr>
          <w:rFonts w:ascii="Times New Roman" w:cs="Times New Roman" w:eastAsia="Times New Roman" w:hAnsi="Times New Roman"/>
          <w:sz w:val="32"/>
          <w:szCs w:val="32"/>
          <w:color w:val="auto"/>
          <w:vertAlign w:val="superscript"/>
        </w:rPr>
        <w:t>(3)</w:t>
      </w:r>
    </w:p>
    <w:p>
      <w:pPr>
        <w:spacing w:after="0" w:line="184" w:lineRule="auto"/>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8"/>
          <w:szCs w:val="28"/>
          <w:color w:val="auto"/>
          <w:vertAlign w:val="superscript"/>
        </w:rPr>
        <w:t>(3)</w:t>
      </w:r>
    </w:p>
    <w:p>
      <w:pPr>
        <w:spacing w:after="0" w:line="187" w:lineRule="auto"/>
        <w:rPr>
          <w:sz w:val="20"/>
          <w:szCs w:val="20"/>
          <w:color w:val="auto"/>
        </w:rPr>
      </w:pPr>
      <w:r>
        <w:rPr>
          <w:rFonts w:ascii="Times New Roman" w:cs="Times New Roman" w:eastAsia="Times New Roman" w:hAnsi="Times New Roman"/>
          <w:sz w:val="20"/>
          <w:szCs w:val="20"/>
          <w:color w:val="auto"/>
        </w:rPr>
        <w:t>Simon Sharon</w:t>
      </w:r>
      <w:r>
        <w:rPr>
          <w:rFonts w:ascii="Times New Roman" w:cs="Times New Roman" w:eastAsia="Times New Roman" w:hAnsi="Times New Roman"/>
          <w:sz w:val="32"/>
          <w:szCs w:val="32"/>
          <w:color w:val="auto"/>
          <w:vertAlign w:val="superscript"/>
        </w:rPr>
        <w:t>(3)</w:t>
      </w:r>
    </w:p>
    <w:p>
      <w:pPr>
        <w:spacing w:after="0" w:line="188" w:lineRule="auto"/>
        <w:rPr>
          <w:sz w:val="20"/>
          <w:szCs w:val="20"/>
          <w:color w:val="auto"/>
        </w:rPr>
      </w:pPr>
      <w:r>
        <w:rPr>
          <w:rFonts w:ascii="Times New Roman" w:cs="Times New Roman" w:eastAsia="Times New Roman" w:hAnsi="Times New Roman"/>
          <w:sz w:val="20"/>
          <w:szCs w:val="20"/>
          <w:color w:val="auto"/>
        </w:rPr>
        <w:t>Tal Wenderow</w:t>
      </w:r>
      <w:r>
        <w:rPr>
          <w:rFonts w:ascii="Times New Roman" w:cs="Times New Roman" w:eastAsia="Times New Roman" w:hAnsi="Times New Roman"/>
          <w:sz w:val="32"/>
          <w:szCs w:val="32"/>
          <w:color w:val="auto"/>
          <w:vertAlign w:val="superscript"/>
        </w:rPr>
        <w:t>(3)</w:t>
      </w:r>
    </w:p>
    <w:p>
      <w:pPr>
        <w:spacing w:after="0" w:line="214" w:lineRule="auto"/>
        <w:rPr>
          <w:sz w:val="20"/>
          <w:szCs w:val="20"/>
          <w:color w:val="auto"/>
        </w:rPr>
      </w:pPr>
      <w:r>
        <w:rPr>
          <w:rFonts w:ascii="Times New Roman" w:cs="Times New Roman" w:eastAsia="Times New Roman" w:hAnsi="Times New Roman"/>
          <w:sz w:val="20"/>
          <w:szCs w:val="20"/>
          <w:color w:val="auto"/>
        </w:rPr>
        <w:t>Rachel Vaknin</w:t>
      </w:r>
      <w:r>
        <w:rPr>
          <w:rFonts w:ascii="Times New Roman" w:cs="Times New Roman" w:eastAsia="Times New Roman" w:hAnsi="Times New Roman"/>
          <w:sz w:val="32"/>
          <w:szCs w:val="32"/>
          <w:color w:val="auto"/>
          <w:vertAlign w:val="superscript"/>
        </w:rPr>
        <w:t>(3)</w:t>
      </w:r>
    </w:p>
    <w:p>
      <w:pPr>
        <w:spacing w:after="0" w:line="187" w:lineRule="auto"/>
        <w:rPr>
          <w:sz w:val="20"/>
          <w:szCs w:val="20"/>
          <w:color w:val="auto"/>
        </w:rPr>
      </w:pPr>
      <w:r>
        <w:rPr>
          <w:rFonts w:ascii="Times New Roman" w:cs="Times New Roman" w:eastAsia="Times New Roman" w:hAnsi="Times New Roman"/>
          <w:sz w:val="20"/>
          <w:szCs w:val="20"/>
          <w:color w:val="auto"/>
        </w:rPr>
        <w:t>Juan Diaz-Cartelle</w:t>
      </w:r>
      <w:r>
        <w:rPr>
          <w:rFonts w:ascii="Times New Roman" w:cs="Times New Roman" w:eastAsia="Times New Roman" w:hAnsi="Times New Roman"/>
          <w:sz w:val="32"/>
          <w:szCs w:val="32"/>
          <w:color w:val="auto"/>
          <w:vertAlign w:val="superscript"/>
        </w:rPr>
        <w:t>(3)</w:t>
      </w:r>
    </w:p>
    <w:p>
      <w:pPr>
        <w:spacing w:after="0" w:line="185" w:lineRule="auto"/>
        <w:rPr>
          <w:sz w:val="20"/>
          <w:szCs w:val="20"/>
          <w:color w:val="auto"/>
        </w:rPr>
      </w:pPr>
      <w:r>
        <w:rPr>
          <w:rFonts w:ascii="Times New Roman" w:cs="Times New Roman" w:eastAsia="Times New Roman" w:hAnsi="Times New Roman"/>
          <w:sz w:val="18"/>
          <w:szCs w:val="18"/>
          <w:color w:val="auto"/>
        </w:rPr>
        <w:t>Eyal Morag</w:t>
      </w:r>
      <w:r>
        <w:rPr>
          <w:rFonts w:ascii="Times New Roman" w:cs="Times New Roman" w:eastAsia="Times New Roman" w:hAnsi="Times New Roman"/>
          <w:sz w:val="28"/>
          <w:szCs w:val="28"/>
          <w:color w:val="auto"/>
          <w:vertAlign w:val="superscript"/>
        </w:rPr>
        <w:t>(3)</w:t>
      </w:r>
    </w:p>
    <w:p>
      <w:pPr>
        <w:spacing w:after="0" w:line="189" w:lineRule="auto"/>
        <w:rPr>
          <w:sz w:val="20"/>
          <w:szCs w:val="20"/>
          <w:color w:val="auto"/>
        </w:rPr>
      </w:pPr>
      <w:r>
        <w:rPr>
          <w:rFonts w:ascii="Times New Roman" w:cs="Times New Roman" w:eastAsia="Times New Roman" w:hAnsi="Times New Roman"/>
          <w:sz w:val="19"/>
          <w:szCs w:val="19"/>
          <w:color w:val="auto"/>
        </w:rPr>
        <w:t>All current directors and executive officers as a group (10 persons)</w:t>
      </w:r>
      <w:r>
        <w:rPr>
          <w:rFonts w:ascii="Times New Roman" w:cs="Times New Roman" w:eastAsia="Times New Roman" w:hAnsi="Times New Roman"/>
          <w:sz w:val="31"/>
          <w:szCs w:val="31"/>
          <w:color w:val="auto"/>
          <w:vertAlign w:val="superscript"/>
        </w:rPr>
        <w:t>(4)</w:t>
      </w:r>
    </w:p>
    <w:p>
      <w:pPr>
        <w:spacing w:after="0"/>
        <w:rPr>
          <w:sz w:val="20"/>
          <w:szCs w:val="20"/>
          <w:color w:val="auto"/>
        </w:rPr>
      </w:pPr>
      <w:r>
        <w:rPr>
          <w:rFonts w:ascii="Times New Roman" w:cs="Times New Roman" w:eastAsia="Times New Roman" w:hAnsi="Times New Roman"/>
          <w:sz w:val="20"/>
          <w:szCs w:val="20"/>
          <w:color w:val="auto"/>
        </w:rPr>
        <w:t>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Less than 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Number of Shares</w:t>
            </w:r>
          </w:p>
        </w:tc>
        <w:tc>
          <w:tcPr>
            <w:tcW w:w="180" w:type="dxa"/>
            <w:vAlign w:val="bottom"/>
          </w:tcPr>
          <w:p>
            <w:pPr>
              <w:spacing w:after="0"/>
              <w:rPr>
                <w:sz w:val="19"/>
                <w:szCs w:val="19"/>
                <w:color w:val="auto"/>
              </w:rPr>
            </w:pPr>
          </w:p>
        </w:tc>
        <w:tc>
          <w:tcPr>
            <w:tcW w:w="28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Percentage of Common Stock</w:t>
            </w:r>
          </w:p>
        </w:tc>
      </w:tr>
      <w:tr>
        <w:trPr>
          <w:trHeight w:val="263"/>
        </w:trPr>
        <w:tc>
          <w:tcPr>
            <w:tcW w:w="1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Beneficially Owned</w:t>
            </w:r>
          </w:p>
        </w:tc>
        <w:tc>
          <w:tcPr>
            <w:tcW w:w="180" w:type="dxa"/>
            <w:vAlign w:val="bottom"/>
          </w:tcPr>
          <w:p>
            <w:pPr>
              <w:spacing w:after="0"/>
              <w:rPr>
                <w:sz w:val="22"/>
                <w:szCs w:val="22"/>
                <w:color w:val="auto"/>
              </w:rPr>
            </w:pPr>
          </w:p>
        </w:tc>
        <w:tc>
          <w:tcPr>
            <w:tcW w:w="27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Beneficially Owned</w:t>
            </w:r>
          </w:p>
        </w:tc>
        <w:tc>
          <w:tcPr>
            <w:tcW w:w="160" w:type="dxa"/>
            <w:vAlign w:val="bottom"/>
          </w:tcPr>
          <w:p>
            <w:pPr>
              <w:spacing w:after="0"/>
              <w:rPr>
                <w:sz w:val="22"/>
                <w:szCs w:val="22"/>
                <w:color w:val="auto"/>
              </w:rPr>
            </w:pPr>
          </w:p>
        </w:tc>
      </w:tr>
      <w:tr>
        <w:trPr>
          <w:trHeight w:val="304"/>
        </w:trPr>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1,031,273</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6.74%</w:t>
            </w:r>
          </w:p>
        </w:tc>
      </w:tr>
      <w:tr>
        <w:trPr>
          <w:trHeight w:val="287"/>
        </w:trPr>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292,854</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2.03%</w:t>
            </w:r>
          </w:p>
        </w:tc>
      </w:tr>
      <w:tr>
        <w:trPr>
          <w:trHeight w:val="287"/>
        </w:trPr>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50,826</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7"/>
        </w:trPr>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50,826</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7"/>
        </w:trPr>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50,826</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7"/>
        </w:trPr>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45,730</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7"/>
        </w:trPr>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83,357</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7"/>
        </w:trPr>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44,139</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7"/>
        </w:trPr>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51,112</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7"/>
        </w:trPr>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7"/>
        </w:trPr>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7"/>
        </w:trPr>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1,700,943</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10.82%</w:t>
            </w:r>
          </w:p>
        </w:tc>
      </w:tr>
    </w:tbl>
    <w:p>
      <w:pPr>
        <w:spacing w:after="0" w:line="474" w:lineRule="exact"/>
        <w:rPr>
          <w:sz w:val="20"/>
          <w:szCs w:val="20"/>
          <w:color w:val="auto"/>
        </w:rPr>
      </w:pPr>
    </w:p>
    <w:p>
      <w:pPr>
        <w:sectPr>
          <w:pgSz w:w="12240" w:h="15840" w:orient="portrait"/>
          <w:cols w:equalWidth="0" w:num="2">
            <w:col w:w="5540" w:space="300"/>
            <w:col w:w="4960"/>
          </w:cols>
          <w:pgMar w:left="720" w:top="696" w:right="720" w:bottom="175" w:gutter="0" w:footer="0" w:header="0"/>
        </w:sectPr>
      </w:pPr>
    </w:p>
    <w:p>
      <w:pPr>
        <w:jc w:val="both"/>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(i) 136,847 shares of our common stock owned by MEDX Ventures Group LLC, (ii) 77,846 shares of our common stock issuable upon the exercise of options granted to MEDX Ventures Group LLC, and (iii) 816,580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jc w:val="both"/>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(i) 242,028 shares of our common stock owned by LSA - Life Science Accelerator Ltd. and (ii) 50,826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options to acquire shares of our common stock.</w:t>
      </w: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shares of our common stock issuable upon the exercise of options as set forth in footnotes (1), (2) and (3).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13. </w:t>
      </w:r>
      <w:r>
        <w:rPr>
          <w:rFonts w:ascii="Times New Roman" w:cs="Times New Roman" w:eastAsia="Times New Roman" w:hAnsi="Times New Roman"/>
          <w:sz w:val="20"/>
          <w:szCs w:val="20"/>
          <w:b w:val="1"/>
          <w:bCs w:val="1"/>
          <w:u w:val="single" w:color="auto"/>
          <w:color w:val="auto"/>
        </w:rPr>
        <w:t>Certain Relationships and Related Transactions, and Director Independence.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9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There have been no related party transactions or any other transactions or relationships required to be disclosed pursuant to Item 404 of Regulation 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Independence</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independent members of our Board are Messrs. Bornstein, Burell, Madden, Laxminarain and Wenderow, and Ms. Stockburger.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14. </w:t>
      </w:r>
      <w:r>
        <w:rPr>
          <w:rFonts w:ascii="Times New Roman" w:cs="Times New Roman" w:eastAsia="Times New Roman" w:hAnsi="Times New Roman"/>
          <w:sz w:val="20"/>
          <w:szCs w:val="20"/>
          <w:b w:val="1"/>
          <w:bCs w:val="1"/>
          <w:u w:val="single" w:color="auto"/>
          <w:color w:val="auto"/>
        </w:rPr>
        <w:t>Principal Accountant Fees and Services.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 and Tax Fees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Board, upon the recommendation of the Audit Committee, has selected the independent accounting firm of Brightman Almagor Zohar &amp; Co., a Firm in the Deloitte Global Network, to audit the accounts of the Company for the year ending December 31, 2023.</w:t>
      </w:r>
    </w:p>
    <w:p>
      <w:pPr>
        <w:sectPr>
          <w:pgSz w:w="12240" w:h="15840" w:orient="portrait"/>
          <w:cols w:equalWidth="0" w:num="1">
            <w:col w:w="10800"/>
          </w:cols>
          <w:pgMar w:left="720" w:top="696" w:right="720" w:bottom="175" w:gutter="0" w:footer="0" w:header="0"/>
          <w:type w:val="continuous"/>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696" w:right="720" w:bottom="175" w:gutter="0" w:footer="0" w:header="0"/>
          <w:type w:val="continuous"/>
        </w:sectPr>
      </w:pPr>
    </w:p>
    <w:bookmarkStart w:id="51" w:name="page52"/>
    <w:bookmarkEnd w:id="51"/>
    <w:p>
      <w:pPr>
        <w:jc w:val="both"/>
        <w:spacing w:after="0" w:line="278" w:lineRule="auto"/>
        <w:rPr>
          <w:sz w:val="20"/>
          <w:szCs w:val="20"/>
          <w:color w:val="auto"/>
        </w:rPr>
      </w:pPr>
      <w:r>
        <w:rPr>
          <w:rFonts w:ascii="Times New Roman" w:cs="Times New Roman" w:eastAsia="Times New Roman" w:hAnsi="Times New Roman"/>
          <w:sz w:val="19"/>
          <w:szCs w:val="19"/>
          <w:color w:val="auto"/>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2023.</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Audit Committee received the following information concerning the fees of the independent accountants for the years ended December 31, 2023 and 2022, has considered whether the provision of these services is compatible with independence of the independent accountants, and concluded that it is:</w:t>
      </w:r>
    </w:p>
    <w:p>
      <w:pPr>
        <w:spacing w:after="0" w:line="184"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20"/>
          <w:szCs w:val="20"/>
          <w:b w:val="1"/>
          <w:bCs w:val="1"/>
          <w:color w:val="auto"/>
        </w:rPr>
        <w:t>For the Years Ended</w:t>
      </w:r>
    </w:p>
    <w:p>
      <w:pPr>
        <w:spacing w:after="0" w:line="23"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20"/>
          <w:szCs w:val="20"/>
          <w:b w:val="1"/>
          <w:bCs w:val="1"/>
          <w:color w:val="auto"/>
        </w:rPr>
        <w:t>December 31,</w:t>
      </w:r>
    </w:p>
    <w:tbl>
      <w:tblPr>
        <w:tblLayout w:type="fixed"/>
        <w:tblInd w:w="0" w:type="dxa"/>
        <w:tblCellMar>
          <w:top w:w="0" w:type="dxa"/>
          <w:left w:w="0" w:type="dxa"/>
          <w:bottom w:w="0" w:type="dxa"/>
          <w:right w:w="0" w:type="dxa"/>
        </w:tblCellMar>
      </w:tblPr>
      <w:tr>
        <w:trPr>
          <w:trHeight w:val="250"/>
        </w:trPr>
        <w:tc>
          <w:tcPr>
            <w:tcW w:w="3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Audit Fees (1)</w:t>
            </w:r>
          </w:p>
        </w:tc>
        <w:tc>
          <w:tcPr>
            <w:tcW w:w="172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9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jc w:val="right"/>
              <w:ind w:right="10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16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tcPr>
          <w:p>
            <w:pPr>
              <w:jc w:val="right"/>
              <w:ind w:right="160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130,000</w:t>
            </w:r>
          </w:p>
        </w:tc>
        <w:tc>
          <w:tcPr>
            <w:tcW w:w="360" w:type="dxa"/>
            <w:vAlign w:val="bottom"/>
          </w:tcPr>
          <w:p>
            <w:pPr>
              <w:spacing w:after="0"/>
              <w:rPr>
                <w:sz w:val="18"/>
                <w:szCs w:val="18"/>
                <w:color w:val="auto"/>
              </w:rPr>
            </w:pPr>
          </w:p>
        </w:tc>
        <w:tc>
          <w:tcPr>
            <w:tcW w:w="620" w:type="dxa"/>
            <w:vAlign w:val="bottom"/>
          </w:tcPr>
          <w:p>
            <w:pPr>
              <w:jc w:val="right"/>
              <w:ind w:right="42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20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Tax Fees</w:t>
            </w:r>
          </w:p>
        </w:tc>
        <w:tc>
          <w:tcPr>
            <w:tcW w:w="1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11,250</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All Other Fees (2)</w:t>
            </w:r>
          </w:p>
        </w:tc>
        <w:tc>
          <w:tcPr>
            <w:tcW w:w="1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65,000</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__________</w:t>
            </w:r>
          </w:p>
        </w:tc>
        <w:tc>
          <w:tcPr>
            <w:tcW w:w="17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fees represents fees for the audit of our annual consolidated financial statements and reviews of the interim consolidated financial statements, and review of audit-related SEC filings.</w:t>
      </w:r>
    </w:p>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fees related to issuing a comfort letter and Auditor consents, for Registration Statements on Forms S-1 and S-3.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 and tax fees include administrative overhead charges and reimbursement for out-of-pocket expenses.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Pre-Approval Policies and Procedures</w:t>
      </w:r>
    </w:p>
    <w:p>
      <w:pPr>
        <w:spacing w:after="0" w:line="2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15. </w:t>
      </w:r>
      <w:r>
        <w:rPr>
          <w:rFonts w:ascii="Times New Roman" w:cs="Times New Roman" w:eastAsia="Times New Roman" w:hAnsi="Times New Roman"/>
          <w:sz w:val="20"/>
          <w:szCs w:val="20"/>
          <w:b w:val="1"/>
          <w:bCs w:val="1"/>
          <w:u w:val="single" w:color="auto"/>
          <w:color w:val="auto"/>
        </w:rPr>
        <w:t>Exhibits and Financial Statement Schedules</w:t>
      </w:r>
    </w:p>
    <w:p>
      <w:pPr>
        <w:spacing w:after="0" w:line="244" w:lineRule="exact"/>
        <w:rPr>
          <w:sz w:val="20"/>
          <w:szCs w:val="20"/>
          <w:color w:val="auto"/>
        </w:rPr>
      </w:pPr>
    </w:p>
    <w:p>
      <w:pPr>
        <w:ind w:left="280" w:hanging="280"/>
        <w:spacing w:after="0"/>
        <w:tabs>
          <w:tab w:leader="none" w:pos="2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Annual Report on Form 10-K:</w:t>
      </w:r>
    </w:p>
    <w:p>
      <w:pPr>
        <w:spacing w:after="0" w:line="24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Financial Statements:</w:t>
      </w:r>
    </w:p>
    <w:p>
      <w:pPr>
        <w:spacing w:after="0" w:line="24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financial statements are filed as part of this Annual Report on Form 10-K commencing on page F-1 and are hereby incorporated by reference.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24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financial statement schedules are omitted as they are either not applicable or the information required is presented in the financial statements and notes thereto.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Exhibits: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documents set forth below are filed herewith or incorporated by reference to the location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4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440" w:type="dxa"/>
            <w:vAlign w:val="bottom"/>
          </w:tcPr>
          <w:p>
            <w:pPr>
              <w:spacing w:after="0"/>
              <w:rPr>
                <w:sz w:val="22"/>
                <w:szCs w:val="22"/>
                <w:color w:val="auto"/>
              </w:rPr>
            </w:pPr>
          </w:p>
        </w:tc>
        <w:tc>
          <w:tcPr>
            <w:tcW w:w="8340" w:type="dxa"/>
            <w:vAlign w:val="bottom"/>
            <w:gridSpan w:val="8"/>
          </w:tcPr>
          <w:p>
            <w:pPr>
              <w:ind w:left="2340"/>
              <w:spacing w:after="0"/>
              <w:rPr>
                <w:sz w:val="20"/>
                <w:szCs w:val="20"/>
                <w:color w:val="auto"/>
              </w:rPr>
            </w:pPr>
            <w:r>
              <w:rPr>
                <w:rFonts w:ascii="Times New Roman" w:cs="Times New Roman" w:eastAsia="Times New Roman" w:hAnsi="Times New Roman"/>
                <w:sz w:val="20"/>
                <w:szCs w:val="20"/>
                <w:b w:val="1"/>
                <w:bCs w:val="1"/>
                <w:color w:val="auto"/>
              </w:rPr>
              <w:t>Description of Document</w:t>
            </w:r>
          </w:p>
        </w:tc>
        <w:tc>
          <w:tcPr>
            <w:tcW w:w="0" w:type="dxa"/>
            <w:vAlign w:val="bottom"/>
          </w:tcPr>
          <w:p>
            <w:pPr>
              <w:spacing w:after="0"/>
              <w:rPr>
                <w:sz w:val="1"/>
                <w:szCs w:val="1"/>
                <w:color w:val="auto"/>
              </w:rPr>
            </w:pPr>
          </w:p>
        </w:tc>
      </w:tr>
      <w:tr>
        <w:trPr>
          <w:trHeight w:val="208"/>
        </w:trPr>
        <w:tc>
          <w:tcPr>
            <w:tcW w:w="1060" w:type="dxa"/>
            <w:vAlign w:val="bottom"/>
            <w:tcBorders>
              <w:top w:val="single" w:sz="8" w:color="auto"/>
            </w:tcBorders>
          </w:tcPr>
          <w:p>
            <w:pPr>
              <w:jc w:val="center"/>
              <w:spacing w:after="0" w:line="208" w:lineRule="exact"/>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18"/>
                <w:szCs w:val="18"/>
                <w:color w:val="auto"/>
              </w:rPr>
            </w:pPr>
          </w:p>
        </w:tc>
        <w:tc>
          <w:tcPr>
            <w:tcW w:w="9740" w:type="dxa"/>
            <w:vAlign w:val="bottom"/>
            <w:tcBorders>
              <w:top w:val="single" w:sz="8" w:color="auto"/>
            </w:tcBorders>
            <w:gridSpan w:val="7"/>
          </w:tcPr>
          <w:p>
            <w:pPr>
              <w:spacing w:after="0" w:line="208" w:lineRule="exact"/>
              <w:rPr>
                <w:sz w:val="20"/>
                <w:szCs w:val="20"/>
                <w:color w:val="auto"/>
              </w:rPr>
            </w:pPr>
            <w:r>
              <w:rPr>
                <w:rFonts w:ascii="Times New Roman" w:cs="Times New Roman" w:eastAsia="Times New Roman" w:hAnsi="Times New Roman"/>
                <w:sz w:val="20"/>
                <w:szCs w:val="20"/>
                <w:color w:val="auto"/>
              </w:rPr>
              <w:t>Agreement and Plan of Merger and Reorganization, dated as of August 15, 2016, by and among StemCells, Inc., C&amp;RD</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80" w:type="dxa"/>
            <w:vAlign w:val="bottom"/>
            <w:tcBorders>
              <w:top w:val="single" w:sz="8" w:color="091E8B"/>
              <w:bottom w:val="single" w:sz="8" w:color="091E8B"/>
            </w:tcBorders>
            <w:gridSpan w:val="4"/>
          </w:tcPr>
          <w:p>
            <w:pPr>
              <w:spacing w:after="0" w:line="210" w:lineRule="exact"/>
              <w:rPr>
                <w:sz w:val="20"/>
                <w:szCs w:val="20"/>
                <w:color w:val="auto"/>
              </w:rPr>
            </w:pPr>
            <w:r>
              <w:rPr>
                <w:rFonts w:ascii="Times New Roman" w:cs="Times New Roman" w:eastAsia="Times New Roman" w:hAnsi="Times New Roman"/>
                <w:sz w:val="20"/>
                <w:szCs w:val="20"/>
                <w:color w:val="auto"/>
                <w:w w:val="99"/>
              </w:rPr>
              <w:t>Israel Ltd. and Microbot Medical Ltd. (incorporated by reference to the Company’s Current Report on Form 8-K filed on</w:t>
            </w:r>
          </w:p>
        </w:tc>
        <w:tc>
          <w:tcPr>
            <w:tcW w:w="20" w:type="dxa"/>
            <w:vAlign w:val="bottom"/>
            <w:tcBorders>
              <w:bottom w:val="single" w:sz="8" w:color="091E8B"/>
            </w:tcBorders>
          </w:tcPr>
          <w:p>
            <w:pPr>
              <w:spacing w:after="0"/>
              <w:rPr>
                <w:sz w:val="18"/>
                <w:szCs w:val="18"/>
                <w:color w:val="auto"/>
              </w:rPr>
            </w:pPr>
          </w:p>
        </w:tc>
        <w:tc>
          <w:tcPr>
            <w:tcW w:w="20" w:type="dxa"/>
            <w:vAlign w:val="bottom"/>
            <w:tcBorders>
              <w:bottom w:val="single" w:sz="8" w:color="091E8B"/>
            </w:tcBorders>
          </w:tcPr>
          <w:p>
            <w:pPr>
              <w:spacing w:after="0"/>
              <w:rPr>
                <w:sz w:val="18"/>
                <w:szCs w:val="18"/>
                <w:color w:val="auto"/>
              </w:rPr>
            </w:pPr>
          </w:p>
        </w:tc>
        <w:tc>
          <w:tcPr>
            <w:tcW w:w="20" w:type="dxa"/>
            <w:vAlign w:val="bottom"/>
            <w:tcBorders>
              <w:bottom w:val="single" w:sz="8" w:color="091E8B"/>
            </w:tcBorders>
          </w:tcPr>
          <w:p>
            <w:pPr>
              <w:spacing w:after="0"/>
              <w:rPr>
                <w:sz w:val="18"/>
                <w:szCs w:val="18"/>
                <w:color w:val="auto"/>
              </w:rPr>
            </w:pPr>
          </w:p>
        </w:tc>
        <w:tc>
          <w:tcPr>
            <w:tcW w:w="20" w:type="dxa"/>
            <w:vAlign w:val="bottom"/>
            <w:tcBorders>
              <w:bottom w:val="single" w:sz="8" w:color="091E8B"/>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18"/>
                <w:szCs w:val="18"/>
                <w:color w:val="auto"/>
              </w:rPr>
            </w:pPr>
          </w:p>
        </w:tc>
        <w:tc>
          <w:tcPr>
            <w:tcW w:w="9760" w:type="dxa"/>
            <w:vAlign w:val="bottom"/>
            <w:gridSpan w:val="8"/>
          </w:tcPr>
          <w:p>
            <w:pPr>
              <w:spacing w:after="0" w:line="210" w:lineRule="exact"/>
              <w:rPr>
                <w:sz w:val="20"/>
                <w:szCs w:val="20"/>
                <w:color w:val="auto"/>
              </w:rPr>
            </w:pPr>
            <w:r>
              <w:rPr>
                <w:rFonts w:ascii="Times New Roman" w:cs="Times New Roman" w:eastAsia="Times New Roman" w:hAnsi="Times New Roman"/>
                <w:sz w:val="20"/>
                <w:szCs w:val="20"/>
                <w:color w:val="auto"/>
              </w:rPr>
              <w:t>August 15,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top w:val="single" w:sz="8" w:color="091E8B"/>
            </w:tcBorders>
          </w:tcPr>
          <w:p>
            <w:pPr>
              <w:spacing w:after="0" w:line="210" w:lineRule="exact"/>
              <w:rPr>
                <w:sz w:val="20"/>
                <w:szCs w:val="20"/>
                <w:color w:val="auto"/>
              </w:rPr>
            </w:pPr>
            <w:r>
              <w:rPr>
                <w:rFonts w:ascii="Times New Roman" w:cs="Times New Roman" w:eastAsia="Times New Roman" w:hAnsi="Times New Roman"/>
                <w:sz w:val="20"/>
                <w:szCs w:val="20"/>
                <w:color w:val="auto"/>
                <w:w w:val="89"/>
              </w:rPr>
              <w:t>Restated Certificate</w:t>
            </w:r>
          </w:p>
        </w:tc>
        <w:tc>
          <w:tcPr>
            <w:tcW w:w="8340" w:type="dxa"/>
            <w:vAlign w:val="bottom"/>
            <w:gridSpan w:val="8"/>
          </w:tcPr>
          <w:p>
            <w:pPr>
              <w:jc w:val="right"/>
              <w:ind w:right="100"/>
              <w:spacing w:after="0" w:line="210" w:lineRule="exact"/>
              <w:rPr>
                <w:sz w:val="20"/>
                <w:szCs w:val="20"/>
                <w:color w:val="auto"/>
              </w:rPr>
            </w:pPr>
            <w:r>
              <w:rPr>
                <w:rFonts w:ascii="Times New Roman" w:cs="Times New Roman" w:eastAsia="Times New Roman" w:hAnsi="Times New Roman"/>
                <w:sz w:val="20"/>
                <w:szCs w:val="20"/>
                <w:color w:val="auto"/>
              </w:rPr>
              <w:t>of Incorporation of the Company (incorporated by reference to the Company’s Annual Report on</w:t>
            </w:r>
          </w:p>
        </w:tc>
        <w:tc>
          <w:tcPr>
            <w:tcW w:w="0" w:type="dxa"/>
            <w:vAlign w:val="bottom"/>
          </w:tcPr>
          <w:p>
            <w:pPr>
              <w:spacing w:after="0"/>
              <w:rPr>
                <w:sz w:val="1"/>
                <w:szCs w:val="1"/>
                <w:color w:val="auto"/>
              </w:rPr>
            </w:pPr>
          </w:p>
        </w:tc>
      </w:tr>
      <w:tr>
        <w:trPr>
          <w:trHeight w:val="210"/>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18"/>
                <w:szCs w:val="18"/>
                <w:color w:val="auto"/>
              </w:rPr>
            </w:pPr>
          </w:p>
        </w:tc>
        <w:tc>
          <w:tcPr>
            <w:tcW w:w="9700" w:type="dxa"/>
            <w:vAlign w:val="bottom"/>
            <w:tcBorders>
              <w:top w:val="single" w:sz="8" w:color="091E8B"/>
            </w:tcBorders>
            <w:gridSpan w:val="5"/>
          </w:tcPr>
          <w:p>
            <w:pPr>
              <w:spacing w:after="0" w:line="210" w:lineRule="exact"/>
              <w:rPr>
                <w:sz w:val="20"/>
                <w:szCs w:val="20"/>
                <w:color w:val="auto"/>
              </w:rPr>
            </w:pPr>
            <w:r>
              <w:rPr>
                <w:rFonts w:ascii="Times New Roman" w:cs="Times New Roman" w:eastAsia="Times New Roman" w:hAnsi="Times New Roman"/>
                <w:sz w:val="20"/>
                <w:szCs w:val="20"/>
                <w:color w:val="auto"/>
              </w:rPr>
              <w:t>Form 10-K for the fiscal year ended December 31, 2006 and filed on March 15, 2007).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940" w:type="dxa"/>
            <w:vAlign w:val="bottom"/>
            <w:tcBorders>
              <w:top w:val="single" w:sz="8" w:color="091E8B"/>
            </w:tcBorders>
            <w:gridSpan w:val="3"/>
          </w:tcPr>
          <w:p>
            <w:pPr>
              <w:spacing w:after="0" w:line="210" w:lineRule="exact"/>
              <w:rPr>
                <w:sz w:val="20"/>
                <w:szCs w:val="20"/>
                <w:color w:val="auto"/>
              </w:rPr>
            </w:pPr>
            <w:r>
              <w:rPr>
                <w:rFonts w:ascii="Times New Roman" w:cs="Times New Roman" w:eastAsia="Times New Roman" w:hAnsi="Times New Roman"/>
                <w:sz w:val="20"/>
                <w:szCs w:val="20"/>
                <w:color w:val="auto"/>
                <w:w w:val="99"/>
              </w:rPr>
              <w:t>Certificate of Amendment to the Restated Certificate of Incorporation of the Company</w:t>
            </w:r>
          </w:p>
        </w:tc>
        <w:tc>
          <w:tcPr>
            <w:tcW w:w="2840" w:type="dxa"/>
            <w:vAlign w:val="bottom"/>
            <w:gridSpan w:val="6"/>
          </w:tcPr>
          <w:p>
            <w:pPr>
              <w:jc w:val="right"/>
              <w:ind w:right="100"/>
              <w:spacing w:after="0" w:line="210" w:lineRule="exact"/>
              <w:rPr>
                <w:sz w:val="20"/>
                <w:szCs w:val="20"/>
                <w:color w:val="auto"/>
              </w:rPr>
            </w:pPr>
            <w:r>
              <w:rPr>
                <w:rFonts w:ascii="Times New Roman" w:cs="Times New Roman" w:eastAsia="Times New Roman" w:hAnsi="Times New Roman"/>
                <w:sz w:val="20"/>
                <w:szCs w:val="20"/>
                <w:color w:val="auto"/>
              </w:rPr>
              <w:t>(incorporated by reference to the</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00" w:type="dxa"/>
            <w:vAlign w:val="bottom"/>
            <w:tcBorders>
              <w:top w:val="single" w:sz="8" w:color="091E8B"/>
              <w:bottom w:val="single" w:sz="8" w:color="091E8B"/>
            </w:tcBorders>
            <w:gridSpan w:val="2"/>
          </w:tcPr>
          <w:p>
            <w:pPr>
              <w:spacing w:after="0" w:line="210" w:lineRule="exact"/>
              <w:rPr>
                <w:sz w:val="20"/>
                <w:szCs w:val="20"/>
                <w:color w:val="auto"/>
              </w:rPr>
            </w:pPr>
            <w:r>
              <w:rPr>
                <w:rFonts w:ascii="Times New Roman" w:cs="Times New Roman" w:eastAsia="Times New Roman" w:hAnsi="Times New Roman"/>
                <w:sz w:val="20"/>
                <w:szCs w:val="20"/>
                <w:color w:val="auto"/>
                <w:w w:val="99"/>
              </w:rPr>
              <w:t>Company’s Current Report on Form 8-K filed on November 29, 2016).</w:t>
            </w:r>
          </w:p>
        </w:tc>
        <w:tc>
          <w:tcPr>
            <w:tcW w:w="4020" w:type="dxa"/>
            <w:vAlign w:val="bottom"/>
            <w:tcBorders>
              <w:top w:val="single" w:sz="8" w:color="091E8B"/>
            </w:tcBorders>
            <w:gridSpan w:val="4"/>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700" w:right="720" w:bottom="175"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700" w:right="720" w:bottom="175" w:gutter="0" w:footer="0" w:header="0"/>
          <w:type w:val="continuous"/>
        </w:sectPr>
      </w:pPr>
    </w:p>
    <w:bookmarkStart w:id="52" w:name="page53"/>
    <w:bookmarkEnd w:id="52"/>
    <w:p>
      <w:pPr>
        <w:ind w:left="900" w:hanging="706"/>
        <w:spacing w:after="0" w:line="254" w:lineRule="auto"/>
        <w:tabs>
          <w:tab w:leader="none" w:pos="8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Certificate of Amendment to the Restated Certificate of Incorporation (incorporated by reference to the Company’s Current Report on Form 8-K filed on September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-163830</wp:posOffset>
            </wp:positionV>
            <wp:extent cx="61512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extLst>
                    </a:blip>
                    <a:srcRect/>
                    <a:stretch>
                      <a:fillRect/>
                    </a:stretch>
                  </pic:blipFill>
                  <pic:spPr bwMode="auto">
                    <a:xfrm>
                      <a:off x="0" y="0"/>
                      <a:ext cx="6151245" cy="6350"/>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-17780</wp:posOffset>
            </wp:positionV>
            <wp:extent cx="29451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2945130" cy="6350"/>
                    </a:xfrm>
                    <a:prstGeom prst="rect">
                      <a:avLst/>
                    </a:prstGeom>
                    <a:noFill/>
                  </pic:spPr>
                </pic:pic>
              </a:graphicData>
            </a:graphic>
          </wp:anchor>
        </w:drawing>
      </w:r>
    </w:p>
    <w:p>
      <w:pPr>
        <w:ind w:left="180"/>
        <w:spacing w:after="0"/>
        <w:tabs>
          <w:tab w:leader="none" w:pos="8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color w:val="auto"/>
        </w:rPr>
        <w:t>Amended and Restated By-Laws of the Company (incorporated by reference to the Company’s Current Report 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61512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6151245" cy="635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20"/>
          <w:szCs w:val="20"/>
          <w:color w:val="auto"/>
        </w:rPr>
        <w:t>8-K filed on May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13722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1372235" cy="6350"/>
                    </a:xfrm>
                    <a:prstGeom prst="rect">
                      <a:avLst/>
                    </a:prstGeom>
                    <a:noFill/>
                  </pic:spPr>
                </pic:pic>
              </a:graphicData>
            </a:graphic>
          </wp:anchor>
        </w:drawing>
      </w:r>
    </w:p>
    <w:p>
      <w:pPr>
        <w:ind w:left="180"/>
        <w:spacing w:after="0"/>
        <w:tabs>
          <w:tab w:leader="none" w:pos="8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20"/>
          <w:szCs w:val="20"/>
          <w:color w:val="auto"/>
        </w:rPr>
        <w:t>Certificate of Elimination (incorporated by reference to the Company’s Current Report on Form 8-K filed on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615124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6151245" cy="635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20"/>
          <w:szCs w:val="20"/>
          <w:color w:val="auto"/>
        </w:rPr>
        <w:t>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51879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518795" cy="6350"/>
                    </a:xfrm>
                    <a:prstGeom prst="rect">
                      <a:avLst/>
                    </a:prstGeom>
                    <a:noFill/>
                  </pic:spPr>
                </pic:pic>
              </a:graphicData>
            </a:graphic>
          </wp:anchor>
        </w:drawing>
      </w:r>
    </w:p>
    <w:p>
      <w:pPr>
        <w:ind w:left="900" w:hanging="706"/>
        <w:spacing w:after="0"/>
        <w:tabs>
          <w:tab w:leader="none" w:pos="8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20"/>
          <w:szCs w:val="20"/>
          <w:color w:val="auto"/>
        </w:rPr>
        <w:t>Certificate of Amendment to the Restated Certificate of Incorporation (incorporated by reference to the Company’s Current Report on Form 8-K filed on September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-164465</wp:posOffset>
            </wp:positionV>
            <wp:extent cx="615124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6151245" cy="6350"/>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-18415</wp:posOffset>
            </wp:positionV>
            <wp:extent cx="30086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3008630" cy="6350"/>
                    </a:xfrm>
                    <a:prstGeom prst="rect">
                      <a:avLst/>
                    </a:prstGeom>
                    <a:noFill/>
                  </pic:spPr>
                </pic:pic>
              </a:graphicData>
            </a:graphic>
          </wp:anchor>
        </w:drawing>
      </w:r>
    </w:p>
    <w:p>
      <w:pPr>
        <w:ind w:left="900" w:hanging="706"/>
        <w:spacing w:after="0"/>
        <w:tabs>
          <w:tab w:leader="none" w:pos="8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20"/>
          <w:szCs w:val="20"/>
          <w:color w:val="auto"/>
        </w:rPr>
        <w:t>Amendment to Section 5 of the Amended and Restated By-Laws of the Company (incorporated by reference to the Company’s Current Report on Form 8-K filed on May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-164465</wp:posOffset>
            </wp:positionV>
            <wp:extent cx="615124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6151245" cy="6350"/>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-18415</wp:posOffset>
            </wp:positionV>
            <wp:extent cx="325247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3252470" cy="6350"/>
                    </a:xfrm>
                    <a:prstGeom prst="rect">
                      <a:avLst/>
                    </a:prstGeom>
                    <a:noFill/>
                  </pic:spPr>
                </pic:pic>
              </a:graphicData>
            </a:graphic>
          </wp:anchor>
        </w:drawing>
      </w:r>
    </w:p>
    <w:p>
      <w:pPr>
        <w:ind w:left="900" w:hanging="706"/>
        <w:spacing w:after="0"/>
        <w:tabs>
          <w:tab w:leader="none" w:pos="8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Description of the Company’s Securities (incorporated by reference to the Registrant’s Annual Report on Form 10-K for the fiscal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-164465</wp:posOffset>
            </wp:positionV>
            <wp:extent cx="615124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6151245" cy="6350"/>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-18415</wp:posOffset>
            </wp:positionV>
            <wp:extent cx="215074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2150745" cy="6350"/>
                    </a:xfrm>
                    <a:prstGeom prst="rect">
                      <a:avLst/>
                    </a:prstGeom>
                    <a:noFill/>
                  </pic:spPr>
                </pic:pic>
              </a:graphicData>
            </a:graphic>
          </wp:anchor>
        </w:drawing>
      </w:r>
    </w:p>
    <w:p>
      <w:pPr>
        <w:ind w:left="180"/>
        <w:spacing w:after="0"/>
        <w:tabs>
          <w:tab w:leader="none" w:pos="8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Form of Series A Warrant (incorporated by reference to the Registrant’s Current Report on Form 8-K filed on October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615124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6151245" cy="635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20"/>
          <w:szCs w:val="20"/>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29654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296545" cy="6350"/>
                    </a:xfrm>
                    <a:prstGeom prst="rect">
                      <a:avLst/>
                    </a:prstGeom>
                    <a:noFill/>
                  </pic:spPr>
                </pic:pic>
              </a:graphicData>
            </a:graphic>
          </wp:anchor>
        </w:drawing>
      </w:r>
    </w:p>
    <w:p>
      <w:pPr>
        <w:ind w:left="180"/>
        <w:spacing w:after="0"/>
        <w:tabs>
          <w:tab w:leader="none" w:pos="8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color w:val="auto"/>
        </w:rPr>
        <w:t>Form of Wainwright Warrant (incorporated by reference to the Registrant’s Current Report on Form 8-K filed on October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615124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6151245" cy="635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20"/>
          <w:szCs w:val="20"/>
          <w:color w:val="auto"/>
        </w:rPr>
        <w:t>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48704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487045" cy="6350"/>
                    </a:xfrm>
                    <a:prstGeom prst="rect">
                      <a:avLst/>
                    </a:prstGeom>
                    <a:noFill/>
                  </pic:spPr>
                </pic:pic>
              </a:graphicData>
            </a:graphic>
          </wp:anchor>
        </w:drawing>
      </w:r>
    </w:p>
    <w:p>
      <w:pPr>
        <w:ind w:left="180"/>
        <w:spacing w:after="0"/>
        <w:tabs>
          <w:tab w:leader="none" w:pos="88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color w:val="auto"/>
        </w:rPr>
        <w:t>Form of Wainwright Warrant (incorporated by reference to the Registrant’s Current Report on Form 8-K filed on May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615124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6151245" cy="635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20"/>
          <w:szCs w:val="20"/>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29654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296545" cy="6350"/>
                    </a:xfrm>
                    <a:prstGeom prst="rect">
                      <a:avLst/>
                    </a:prstGeom>
                    <a:noFill/>
                  </pic:spPr>
                </pic:pic>
              </a:graphicData>
            </a:graphic>
          </wp:anchor>
        </w:drawing>
      </w:r>
    </w:p>
    <w:p>
      <w:pPr>
        <w:ind w:left="180"/>
        <w:spacing w:after="0"/>
        <w:tabs>
          <w:tab w:leader="none" w:pos="88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color w:val="auto"/>
        </w:rPr>
        <w:t>Form of Wainwright Warrant (incorporated by reference to the Registrant’s Current Report on Form 8-K filed on May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615124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6151245" cy="635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20"/>
          <w:szCs w:val="20"/>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29654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296545" cy="6350"/>
                    </a:xfrm>
                    <a:prstGeom prst="rect">
                      <a:avLst/>
                    </a:prstGeom>
                    <a:noFill/>
                  </pic:spPr>
                </pic:pic>
              </a:graphicData>
            </a:graphic>
          </wp:anchor>
        </w:drawing>
      </w:r>
    </w:p>
    <w:p>
      <w:pPr>
        <w:ind w:left="900" w:hanging="706"/>
        <w:spacing w:after="0"/>
        <w:tabs>
          <w:tab w:leader="none" w:pos="88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Form of Warrant Amendment Agreement (incorporated by reference to the Registrant’s Current Report on Form 8-K filed on May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-164465</wp:posOffset>
            </wp:positionV>
            <wp:extent cx="615124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6151245" cy="6350"/>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-18415</wp:posOffset>
            </wp:positionV>
            <wp:extent cx="90995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909955" cy="6350"/>
                    </a:xfrm>
                    <a:prstGeom prst="rect">
                      <a:avLst/>
                    </a:prstGeom>
                    <a:noFill/>
                  </pic:spPr>
                </pic:pic>
              </a:graphicData>
            </a:graphic>
          </wp:anchor>
        </w:drawing>
      </w:r>
    </w:p>
    <w:p>
      <w:pPr>
        <w:ind w:left="180"/>
        <w:spacing w:after="0"/>
        <w:tabs>
          <w:tab w:leader="none" w:pos="88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20"/>
          <w:szCs w:val="20"/>
          <w:color w:val="auto"/>
        </w:rPr>
        <w:t>Form of Series C Warrant (incorporated by reference to the Registrant’s Current Report on Form 8-K filed on June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615124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6151245" cy="635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20"/>
          <w:szCs w:val="20"/>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29654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296545" cy="6350"/>
                    </a:xfrm>
                    <a:prstGeom prst="rect">
                      <a:avLst/>
                    </a:prstGeom>
                    <a:noFill/>
                  </pic:spPr>
                </pic:pic>
              </a:graphicData>
            </a:graphic>
          </wp:anchor>
        </w:drawing>
      </w:r>
    </w:p>
    <w:p>
      <w:pPr>
        <w:ind w:left="180"/>
        <w:spacing w:after="0"/>
        <w:tabs>
          <w:tab w:leader="none" w:pos="88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19"/>
          <w:szCs w:val="19"/>
          <w:color w:val="auto"/>
        </w:rPr>
        <w:t>Form of Wainwright Warrant (incorporated by reference to the Registrant’s Current Report on Form 8-K filed on June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615124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6151245" cy="635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20"/>
          <w:szCs w:val="20"/>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29654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296545" cy="6350"/>
                    </a:xfrm>
                    <a:prstGeom prst="rect">
                      <a:avLst/>
                    </a:prstGeom>
                    <a:noFill/>
                  </pic:spPr>
                </pic:pic>
              </a:graphicData>
            </a:graphic>
          </wp:anchor>
        </w:drawing>
      </w:r>
    </w:p>
    <w:p>
      <w:pPr>
        <w:ind w:left="180"/>
        <w:spacing w:after="0"/>
        <w:tabs>
          <w:tab w:leader="none" w:pos="88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20"/>
          <w:szCs w:val="20"/>
          <w:color w:val="auto"/>
        </w:rPr>
        <w:t>Form of Series D Warrant (incorporated by reference to the Registrant’s Current Report on Form 8-K filed on June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615124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6151245" cy="635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20"/>
          <w:szCs w:val="20"/>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29654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296545" cy="6350"/>
                    </a:xfrm>
                    <a:prstGeom prst="rect">
                      <a:avLst/>
                    </a:prstGeom>
                    <a:noFill/>
                  </pic:spPr>
                </pic:pic>
              </a:graphicData>
            </a:graphic>
          </wp:anchor>
        </w:drawing>
      </w:r>
    </w:p>
    <w:p>
      <w:pPr>
        <w:ind w:left="140"/>
        <w:spacing w:after="0"/>
        <w:tabs>
          <w:tab w:leader="none" w:pos="88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19"/>
          <w:szCs w:val="19"/>
          <w:color w:val="auto"/>
        </w:rPr>
        <w:t>Form of Wainwright Warrant (incorporated by reference to the Registrant’s Current Report on Form 8-K filed on June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615124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6151245" cy="635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20"/>
          <w:szCs w:val="20"/>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-18415</wp:posOffset>
            </wp:positionV>
            <wp:extent cx="29654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296545" cy="6350"/>
                    </a:xfrm>
                    <a:prstGeom prst="rect">
                      <a:avLst/>
                    </a:prstGeom>
                    <a:noFill/>
                  </pic:spPr>
                </pic:pic>
              </a:graphicData>
            </a:graphic>
          </wp:anchor>
        </w:drawing>
      </w:r>
    </w:p>
    <w:p>
      <w:pPr>
        <w:ind w:left="900" w:hanging="756"/>
        <w:spacing w:after="0"/>
        <w:tabs>
          <w:tab w:leader="none" w:pos="88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20"/>
          <w:szCs w:val="20"/>
          <w:color w:val="auto"/>
        </w:rPr>
        <w:t>Form of Inducement Investment Option (incorporated by reference to the Registrant’s Current Report on Form 8-K filed on January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-164465</wp:posOffset>
            </wp:positionV>
            <wp:extent cx="615124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6151245" cy="6350"/>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-18415</wp:posOffset>
            </wp:positionV>
            <wp:extent cx="100901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1009015" cy="6350"/>
                    </a:xfrm>
                    <a:prstGeom prst="rect">
                      <a:avLst/>
                    </a:prstGeom>
                    <a:noFill/>
                  </pic:spPr>
                </pic:pic>
              </a:graphicData>
            </a:graphic>
          </wp:anchor>
        </w:drawing>
      </w:r>
    </w:p>
    <w:p>
      <w:pPr>
        <w:ind w:left="900" w:hanging="756"/>
        <w:spacing w:after="0"/>
        <w:tabs>
          <w:tab w:leader="none" w:pos="88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20"/>
          <w:szCs w:val="20"/>
          <w:color w:val="auto"/>
        </w:rPr>
        <w:t>Form of Placement Agent Investment Option (incorporated by reference to the Registrant’s Current Report on Form 8-K filed on January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-164465</wp:posOffset>
            </wp:positionV>
            <wp:extent cx="615124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6151245" cy="6350"/>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-18415</wp:posOffset>
            </wp:positionV>
            <wp:extent cx="127317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1273175" cy="6350"/>
                    </a:xfrm>
                    <a:prstGeom prst="rect">
                      <a:avLst/>
                    </a:prstGeom>
                    <a:noFill/>
                  </pic:spPr>
                </pic:pic>
              </a:graphicData>
            </a:graphic>
          </wp:anchor>
        </w:drawing>
      </w:r>
    </w:p>
    <w:p>
      <w:pPr>
        <w:ind w:left="840" w:hanging="735"/>
        <w:spacing w:after="0"/>
        <w:tabs>
          <w:tab w:leader="none" w:pos="8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Form of Indemnification Agreement, between the Company and each of its Directors and Officers (incorporated by reference to the Company’s Current Report on Form 8-K filed on November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-164465</wp:posOffset>
            </wp:positionV>
            <wp:extent cx="618426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-18415</wp:posOffset>
            </wp:positionV>
            <wp:extent cx="444055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4440555" cy="6350"/>
                    </a:xfrm>
                    <a:prstGeom prst="rect">
                      <a:avLst/>
                    </a:prstGeom>
                    <a:noFill/>
                  </pic:spPr>
                </pic:pic>
              </a:graphicData>
            </a:graphic>
          </wp:anchor>
        </w:drawing>
      </w:r>
    </w:p>
    <w:p>
      <w:pPr>
        <w:ind w:left="840" w:hanging="785"/>
        <w:spacing w:after="0"/>
        <w:tabs>
          <w:tab w:leader="none" w:pos="8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Employment Agreement with Harel Gadot (incorporated by reference to the Company’s Current Report on Form 8-K filed on November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-164465</wp:posOffset>
            </wp:positionV>
            <wp:extent cx="618426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-18415</wp:posOffset>
            </wp:positionV>
            <wp:extent cx="124523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1245235" cy="6350"/>
                    </a:xfrm>
                    <a:prstGeom prst="rect">
                      <a:avLst/>
                    </a:prstGeom>
                    <a:noFill/>
                  </pic:spPr>
                </pic:pic>
              </a:graphicData>
            </a:graphic>
          </wp:anchor>
        </w:drawing>
      </w:r>
    </w:p>
    <w:p>
      <w:pPr>
        <w:jc w:val="right"/>
        <w:ind w:left="100"/>
        <w:spacing w:after="0"/>
        <w:rPr>
          <w:sz w:val="20"/>
          <w:szCs w:val="20"/>
          <w:color w:val="auto"/>
        </w:rPr>
      </w:pPr>
      <w:r>
        <w:rPr>
          <w:rFonts w:ascii="Times New Roman" w:cs="Times New Roman" w:eastAsia="Times New Roman" w:hAnsi="Times New Roman"/>
          <w:sz w:val="20"/>
          <w:szCs w:val="20"/>
          <w:color w:val="auto"/>
        </w:rPr>
        <w:t>10.3    License Agreement, dated June 20, 2012, by and between Technion Research and Development Foundation, and Microbot Medical Ltd. (incorporated by reference to the Company’s Annual Report on Form 10-K for the fiscal year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-164465</wp:posOffset>
            </wp:positionV>
            <wp:extent cx="618426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-18415</wp:posOffset>
            </wp:positionV>
            <wp:extent cx="618426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6184265" cy="635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20"/>
          <w:szCs w:val="20"/>
          <w:color w:val="auto"/>
        </w:rPr>
        <w:t>31, 2016 and filed on 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-18415</wp:posOffset>
            </wp:positionV>
            <wp:extent cx="199644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1996440" cy="6350"/>
                    </a:xfrm>
                    <a:prstGeom prst="rect">
                      <a:avLst/>
                    </a:prstGeom>
                    <a:noFill/>
                  </pic:spPr>
                </pic:pic>
              </a:graphicData>
            </a:graphic>
          </wp:anchor>
        </w:drawing>
      </w:r>
    </w:p>
    <w:p>
      <w:pPr>
        <w:jc w:val="right"/>
        <w:ind w:left="60"/>
        <w:spacing w:after="0"/>
        <w:rPr>
          <w:sz w:val="20"/>
          <w:szCs w:val="20"/>
          <w:color w:val="auto"/>
        </w:rPr>
      </w:pPr>
      <w:r>
        <w:rPr>
          <w:rFonts w:ascii="Times New Roman" w:cs="Times New Roman" w:eastAsia="Times New Roman" w:hAnsi="Times New Roman"/>
          <w:sz w:val="20"/>
          <w:szCs w:val="20"/>
          <w:color w:val="auto"/>
        </w:rPr>
        <w:t>10.4*   Form of Stock Option Agreement under the Microbot Medical Inc. 2017 Equity Incentive Plan (incorporated by reference to the Company’s Quarterly Report on Form 10-Q for the Quarter ended September 30, 2017, filed on November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-164465</wp:posOffset>
            </wp:positionV>
            <wp:extent cx="618426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-18415</wp:posOffset>
            </wp:positionV>
            <wp:extent cx="618426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6184265" cy="6350"/>
                    </a:xfrm>
                    <a:prstGeom prst="rect">
                      <a:avLst/>
                    </a:prstGeom>
                    <a:noFill/>
                  </pic:spPr>
                </pic:pic>
              </a:graphicData>
            </a:graphic>
          </wp:anchor>
        </w:drawing>
      </w:r>
    </w:p>
    <w:p>
      <w:pPr>
        <w:ind w:left="840" w:hanging="735"/>
        <w:spacing w:after="0"/>
        <w:tabs>
          <w:tab w:leader="none" w:pos="82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Agreement, dated January 4, 2018, by and between CardioSert Ltd. and Microbot Medical Ltd. (incorporated by reference to the Company’s Current Report on Form 8-K filed on January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-164465</wp:posOffset>
            </wp:positionV>
            <wp:extent cx="618426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-18415</wp:posOffset>
            </wp:positionV>
            <wp:extent cx="373189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3731895" cy="6350"/>
                    </a:xfrm>
                    <a:prstGeom prst="rect">
                      <a:avLst/>
                    </a:prstGeom>
                    <a:noFill/>
                  </pic:spPr>
                </pic:pic>
              </a:graphicData>
            </a:graphic>
          </wp:anchor>
        </w:drawing>
      </w:r>
    </w:p>
    <w:p>
      <w:pPr>
        <w:ind w:left="840" w:hanging="785"/>
        <w:spacing w:after="0"/>
        <w:tabs>
          <w:tab w:leader="none" w:pos="82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Employment Agreement with Dr. Eyal Morag (incorporated by reference to the Registrant’s Annual Report on Form 10-K for the fiscal year ended December 31, 2019 filed on April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-164465</wp:posOffset>
            </wp:positionV>
            <wp:extent cx="618426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-18415</wp:posOffset>
            </wp:positionV>
            <wp:extent cx="365379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3653790" cy="6350"/>
                    </a:xfrm>
                    <a:prstGeom prst="rect">
                      <a:avLst/>
                    </a:prstGeom>
                    <a:noFill/>
                  </pic:spPr>
                </pic:pic>
              </a:graphicData>
            </a:graphic>
          </wp:anchor>
        </w:drawing>
      </w:r>
    </w:p>
    <w:p>
      <w:pPr>
        <w:ind w:left="840" w:hanging="785"/>
        <w:spacing w:after="0"/>
        <w:tabs>
          <w:tab w:leader="none" w:pos="82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Microbot Medical Inc. 2017 Equity Incentive Plan (incorporated by reference to Exhibit A of the Company’s Definitive Proxy Statement on Schedule 14A filed on August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-164465</wp:posOffset>
            </wp:positionV>
            <wp:extent cx="618426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-18415</wp:posOffset>
            </wp:positionV>
            <wp:extent cx="312166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3121660" cy="6350"/>
                    </a:xfrm>
                    <a:prstGeom prst="rect">
                      <a:avLst/>
                    </a:prstGeom>
                    <a:noFill/>
                  </pic:spPr>
                </pic:pic>
              </a:graphicData>
            </a:graphic>
          </wp:anchor>
        </w:drawing>
      </w:r>
    </w:p>
    <w:p>
      <w:pPr>
        <w:ind w:left="840" w:hanging="785"/>
        <w:spacing w:after="0"/>
        <w:tabs>
          <w:tab w:leader="none" w:pos="82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Microbot Medical Inc. 2020 Omnibus Performance Award Plan (incorporated by reference to Exhibit A of the Company’s definitive Proxy Statement on Schedule 14A filed on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-164465</wp:posOffset>
            </wp:positionV>
            <wp:extent cx="618426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-18415</wp:posOffset>
            </wp:positionV>
            <wp:extent cx="345313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3453130" cy="6350"/>
                    </a:xfrm>
                    <a:prstGeom prst="rect">
                      <a:avLst/>
                    </a:prstGeom>
                    <a:noFill/>
                  </pic:spPr>
                </pic:pic>
              </a:graphicData>
            </a:graphic>
          </wp:anchor>
        </w:drawing>
      </w:r>
    </w:p>
    <w:p>
      <w:pPr>
        <w:jc w:val="right"/>
        <w:ind w:left="60"/>
        <w:spacing w:after="0"/>
        <w:rPr>
          <w:sz w:val="20"/>
          <w:szCs w:val="20"/>
          <w:color w:val="auto"/>
        </w:rPr>
      </w:pPr>
      <w:r>
        <w:rPr>
          <w:rFonts w:ascii="Times New Roman" w:cs="Times New Roman" w:eastAsia="Times New Roman" w:hAnsi="Times New Roman"/>
          <w:sz w:val="20"/>
          <w:szCs w:val="20"/>
          <w:color w:val="auto"/>
        </w:rPr>
        <w:t>10.9*   Form of Restricted Stock Unit Award Agreement under the Microbot Medical Inc. 2020 Omnibus Performance Award Plan (incorporated by reference to Exhibit 4.2 of the registration Statement on Form S-8 of the Company filed on November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-164465</wp:posOffset>
            </wp:positionV>
            <wp:extent cx="618426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-18415</wp:posOffset>
            </wp:positionV>
            <wp:extent cx="618426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6184265" cy="635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20"/>
          <w:szCs w:val="20"/>
          <w:color w:val="auto"/>
        </w:rPr>
        <w:t>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-18415</wp:posOffset>
            </wp:positionV>
            <wp:extent cx="48704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extLst>
                    </a:blip>
                    <a:srcRect/>
                    <a:stretch>
                      <a:fillRect/>
                    </a:stretch>
                  </pic:blipFill>
                  <pic:spPr bwMode="auto">
                    <a:xfrm>
                      <a:off x="0" y="0"/>
                      <a:ext cx="487045" cy="6350"/>
                    </a:xfrm>
                    <a:prstGeom prst="rect">
                      <a:avLst/>
                    </a:prstGeom>
                    <a:noFill/>
                  </pic:spPr>
                </pic:pic>
              </a:graphicData>
            </a:graphic>
          </wp:anchor>
        </w:drawing>
      </w:r>
    </w:p>
    <w:p>
      <w:pPr>
        <w:ind w:left="840" w:hanging="835"/>
        <w:spacing w:after="0" w:line="252" w:lineRule="auto"/>
        <w:tabs>
          <w:tab w:leader="none" w:pos="82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19"/>
          <w:szCs w:val="19"/>
          <w:color w:val="auto"/>
        </w:rPr>
        <w:t>Form of NQO Award Agreement under the Microbot Medical Ltd. 2020 Omnibus Performance Award Plan (incorporated by reference to Exhibit 4.3 of the registration Statement on Form S-8 of the Company filed on November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-163830</wp:posOffset>
            </wp:positionV>
            <wp:extent cx="618426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-17780</wp:posOffset>
            </wp:positionV>
            <wp:extent cx="586549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extLst>
                    </a:blip>
                    <a:srcRect/>
                    <a:stretch>
                      <a:fillRect/>
                    </a:stretch>
                  </pic:blipFill>
                  <pic:spPr bwMode="auto">
                    <a:xfrm>
                      <a:off x="0" y="0"/>
                      <a:ext cx="5865495" cy="635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color w:val="auto"/>
        </w:rPr>
        <w:t>10.11*   Form of Restricted Stock Award Agreement under the Microbot Medical Ltd. 2020 Omnibus Performance Award Plan (incorporated by reference to Exhibit 4.4 of the registration Statement on Form S-8 of the Company filed on November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-164465</wp:posOffset>
            </wp:positionV>
            <wp:extent cx="618426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-18415</wp:posOffset>
            </wp:positionV>
            <wp:extent cx="618426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extLst>
                    </a:blip>
                    <a:srcRect/>
                    <a:stretch>
                      <a:fillRect/>
                    </a:stretch>
                  </pic:blipFill>
                  <pic:spPr bwMode="auto">
                    <a:xfrm>
                      <a:off x="0" y="0"/>
                      <a:ext cx="6184265" cy="635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20"/>
          <w:szCs w:val="20"/>
          <w:color w:val="auto"/>
        </w:rPr>
        <w:t>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-18415</wp:posOffset>
            </wp:positionV>
            <wp:extent cx="48704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extLst>
                    </a:blip>
                    <a:srcRect/>
                    <a:stretch>
                      <a:fillRect/>
                    </a:stretch>
                  </pic:blipFill>
                  <pic:spPr bwMode="auto">
                    <a:xfrm>
                      <a:off x="0" y="0"/>
                      <a:ext cx="487045" cy="6350"/>
                    </a:xfrm>
                    <a:prstGeom prst="rect">
                      <a:avLst/>
                    </a:prstGeom>
                    <a:noFill/>
                  </pic:spPr>
                </pic:pic>
              </a:graphicData>
            </a:graphic>
          </wp:anchor>
        </w:drawing>
      </w:r>
    </w:p>
    <w:p>
      <w:pPr>
        <w:ind w:left="840" w:hanging="835"/>
        <w:spacing w:after="0" w:line="248" w:lineRule="auto"/>
        <w:tabs>
          <w:tab w:leader="none" w:pos="820" w:val="left"/>
        </w:tabs>
        <w:rPr>
          <w:sz w:val="20"/>
          <w:szCs w:val="20"/>
          <w:color w:val="auto"/>
        </w:rPr>
      </w:pPr>
      <w:r>
        <w:rPr>
          <w:rFonts w:ascii="Times New Roman" w:cs="Times New Roman" w:eastAsia="Times New Roman" w:hAnsi="Times New Roman"/>
          <w:sz w:val="20"/>
          <w:szCs w:val="20"/>
          <w:color w:val="auto"/>
        </w:rPr>
        <w:t>10.12*</w:t>
        <w:tab/>
        <w:t>Form of SAR Award Agreement under the Microbot Medical Ltd. 2020 Omnibus Performance Award Plan (incorporated by reference to Exhibit 4.5 of the registration Statement on Form S-8 of the Company filed on November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-173990</wp:posOffset>
            </wp:positionV>
            <wp:extent cx="618426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7">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-27940</wp:posOffset>
            </wp:positionV>
            <wp:extent cx="586549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extLst>
                    </a:blip>
                    <a:srcRect/>
                    <a:stretch>
                      <a:fillRect/>
                    </a:stretch>
                  </pic:blipFill>
                  <pic:spPr bwMode="auto">
                    <a:xfrm>
                      <a:off x="0" y="0"/>
                      <a:ext cx="5865495" cy="6350"/>
                    </a:xfrm>
                    <a:prstGeom prst="rect">
                      <a:avLst/>
                    </a:prstGeom>
                    <a:noFill/>
                  </pic:spPr>
                </pic:pic>
              </a:graphicData>
            </a:graphic>
          </wp:anchor>
        </w:drawing>
      </w:r>
    </w:p>
    <w:p>
      <w:pPr>
        <w:sectPr>
          <w:pgSz w:w="12240" w:h="15840" w:orient="portrait"/>
          <w:cols w:equalWidth="0" w:num="1">
            <w:col w:w="10580"/>
          </w:cols>
          <w:pgMar w:left="940" w:top="700" w:right="720" w:bottom="175" w:gutter="0" w:footer="0" w:header="0"/>
        </w:sectPr>
      </w:pPr>
    </w:p>
    <w:p>
      <w:pPr>
        <w:spacing w:after="0" w:line="9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580"/>
          </w:cols>
          <w:pgMar w:left="940" w:top="700" w:right="720" w:bottom="175" w:gutter="0" w:footer="0" w:header="0"/>
          <w:type w:val="continuous"/>
        </w:sectPr>
      </w:pPr>
    </w:p>
    <w:bookmarkStart w:id="53" w:name="page54"/>
    <w:bookmarkEnd w:id="53"/>
    <w:p>
      <w:pPr>
        <w:ind w:left="820" w:hanging="835"/>
        <w:spacing w:after="0" w:line="254" w:lineRule="auto"/>
        <w:tabs>
          <w:tab w:leader="none" w:pos="800" w:val="left"/>
        </w:tabs>
        <w:rPr>
          <w:sz w:val="20"/>
          <w:szCs w:val="20"/>
          <w:color w:val="auto"/>
        </w:rPr>
      </w:pPr>
      <w:r>
        <w:rPr>
          <w:rFonts w:ascii="Times New Roman" w:cs="Times New Roman" w:eastAsia="Times New Roman" w:hAnsi="Times New Roman"/>
          <w:sz w:val="20"/>
          <w:szCs w:val="20"/>
          <w:color w:val="auto"/>
        </w:rPr>
        <w:t>10.13*</w:t>
        <w:tab/>
        <w:t>Form of ISO Award Agreement under the Microbot Medical Ltd. 2020 Omnibus Performance Award Plan (incorporated by reference to Exhibit 4.6 of the registration Statement on Form S-8 of the Company filed on November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-163830</wp:posOffset>
            </wp:positionV>
            <wp:extent cx="618426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-17780</wp:posOffset>
            </wp:positionV>
            <wp:extent cx="586549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extLst>
                    </a:blip>
                    <a:srcRect/>
                    <a:stretch>
                      <a:fillRect/>
                    </a:stretch>
                  </pic:blipFill>
                  <pic:spPr bwMode="auto">
                    <a:xfrm>
                      <a:off x="0" y="0"/>
                      <a:ext cx="5865495" cy="6350"/>
                    </a:xfrm>
                    <a:prstGeom prst="rect">
                      <a:avLst/>
                    </a:prstGeom>
                    <a:noFill/>
                  </pic:spPr>
                </pic:pic>
              </a:graphicData>
            </a:graphic>
          </wp:anchor>
        </w:drawing>
      </w:r>
    </w:p>
    <w:p>
      <w:pPr>
        <w:ind w:left="820" w:hanging="835"/>
        <w:spacing w:after="0"/>
        <w:tabs>
          <w:tab w:leader="none" w:pos="800" w:val="left"/>
        </w:tabs>
        <w:rPr>
          <w:sz w:val="20"/>
          <w:szCs w:val="20"/>
          <w:color w:val="auto"/>
        </w:rPr>
      </w:pPr>
      <w:r>
        <w:rPr>
          <w:rFonts w:ascii="Times New Roman" w:cs="Times New Roman" w:eastAsia="Times New Roman" w:hAnsi="Times New Roman"/>
          <w:sz w:val="20"/>
          <w:szCs w:val="20"/>
          <w:color w:val="auto"/>
        </w:rPr>
        <w:t>10.14*</w:t>
        <w:tab/>
        <w:t>Employment Agreement, as of March 31, 2018, with Simon Sharon (incorporated by reference to Exhibit 10.1 of the Company’s Form 8-K filed on April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1">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229997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a:extLst>
                        <a:ext uri="{28A0092B-C50C-407E-A947-70E740481C1C}"/>
                      </a:extLst>
                    </a:blip>
                    <a:srcRect/>
                    <a:stretch>
                      <a:fillRect/>
                    </a:stretch>
                  </pic:blipFill>
                  <pic:spPr bwMode="auto">
                    <a:xfrm>
                      <a:off x="0" y="0"/>
                      <a:ext cx="2299970" cy="6350"/>
                    </a:xfrm>
                    <a:prstGeom prst="rect">
                      <a:avLst/>
                    </a:prstGeom>
                    <a:noFill/>
                  </pic:spPr>
                </pic:pic>
              </a:graphicData>
            </a:graphic>
          </wp:anchor>
        </w:drawing>
      </w:r>
    </w:p>
    <w:p>
      <w:pPr>
        <w:ind w:left="820" w:hanging="835"/>
        <w:spacing w:after="0"/>
        <w:tabs>
          <w:tab w:leader="none" w:pos="800" w:val="left"/>
        </w:tabs>
        <w:rPr>
          <w:sz w:val="20"/>
          <w:szCs w:val="20"/>
          <w:color w:val="auto"/>
        </w:rPr>
      </w:pPr>
      <w:r>
        <w:rPr>
          <w:rFonts w:ascii="Times New Roman" w:cs="Times New Roman" w:eastAsia="Times New Roman" w:hAnsi="Times New Roman"/>
          <w:sz w:val="20"/>
          <w:szCs w:val="20"/>
          <w:color w:val="auto"/>
        </w:rPr>
        <w:t>10.15*</w:t>
        <w:tab/>
        <w:t>First Amendment to Employment Agreement, dated as of April 19, 2021, with Simon Sharon (incorporated by reference to Exhibit 10.1 of the Company’s Form 8-K filed on April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3">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347789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extLst>
                    </a:blip>
                    <a:srcRect/>
                    <a:stretch>
                      <a:fillRect/>
                    </a:stretch>
                  </pic:blipFill>
                  <pic:spPr bwMode="auto">
                    <a:xfrm>
                      <a:off x="0" y="0"/>
                      <a:ext cx="3477895" cy="6350"/>
                    </a:xfrm>
                    <a:prstGeom prst="rect">
                      <a:avLst/>
                    </a:prstGeom>
                    <a:noFill/>
                  </pic:spPr>
                </pic:pic>
              </a:graphicData>
            </a:graphic>
          </wp:anchor>
        </w:drawing>
      </w:r>
    </w:p>
    <w:p>
      <w:pPr>
        <w:ind w:left="820" w:hanging="785"/>
        <w:spacing w:after="0"/>
        <w:tabs>
          <w:tab w:leader="none" w:pos="80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At the Market Offering Agreement, dated June 10, 2021, by and between Microbot Medical Inc. and H.C. Wainwright &amp; Co., LLC (incorporated by reference to Exhibit 10.1 of the Company’s Form 8-K filed on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5">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533654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6">
                      <a:extLst>
                        <a:ext uri="{28A0092B-C50C-407E-A947-70E740481C1C}"/>
                      </a:extLst>
                    </a:blip>
                    <a:srcRect/>
                    <a:stretch>
                      <a:fillRect/>
                    </a:stretch>
                  </pic:blipFill>
                  <pic:spPr bwMode="auto">
                    <a:xfrm>
                      <a:off x="0" y="0"/>
                      <a:ext cx="5336540" cy="6350"/>
                    </a:xfrm>
                    <a:prstGeom prst="rect">
                      <a:avLst/>
                    </a:prstGeom>
                    <a:noFill/>
                  </pic:spPr>
                </pic:pic>
              </a:graphicData>
            </a:graphic>
          </wp:anchor>
        </w:drawing>
      </w:r>
    </w:p>
    <w:p>
      <w:pPr>
        <w:jc w:val="both"/>
        <w:ind w:left="820" w:hanging="885"/>
        <w:spacing w:after="0"/>
        <w:tabs>
          <w:tab w:leader="none" w:pos="800" w:val="left"/>
        </w:tabs>
        <w:rPr>
          <w:sz w:val="20"/>
          <w:szCs w:val="20"/>
          <w:color w:val="auto"/>
        </w:rPr>
      </w:pPr>
      <w:r>
        <w:rPr>
          <w:rFonts w:ascii="Times New Roman" w:cs="Times New Roman" w:eastAsia="Times New Roman" w:hAnsi="Times New Roman"/>
          <w:sz w:val="20"/>
          <w:szCs w:val="20"/>
          <w:color w:val="auto"/>
        </w:rPr>
        <w:t>10.17**</w:t>
        <w:tab/>
        <w:t>Strategic Collaboration Agreement for Technology Co-Development with Stryker Corporation, acting through its Neurovascular Division (incorporated by reference to Exhibit 10.1 of the Company’s Form 8-K filed on December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-310515</wp:posOffset>
            </wp:positionV>
            <wp:extent cx="618426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7">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8">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29654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9">
                      <a:extLst>
                        <a:ext uri="{28A0092B-C50C-407E-A947-70E740481C1C}"/>
                      </a:extLst>
                    </a:blip>
                    <a:srcRect/>
                    <a:stretch>
                      <a:fillRect/>
                    </a:stretch>
                  </pic:blipFill>
                  <pic:spPr bwMode="auto">
                    <a:xfrm>
                      <a:off x="0" y="0"/>
                      <a:ext cx="296545" cy="6350"/>
                    </a:xfrm>
                    <a:prstGeom prst="rect">
                      <a:avLst/>
                    </a:prstGeom>
                    <a:noFill/>
                  </pic:spPr>
                </pic:pic>
              </a:graphicData>
            </a:graphic>
          </wp:anchor>
        </w:drawing>
      </w:r>
    </w:p>
    <w:p>
      <w:pPr>
        <w:jc w:val="both"/>
        <w:ind w:left="820" w:hanging="785"/>
        <w:spacing w:after="0"/>
        <w:tabs>
          <w:tab w:leader="none" w:pos="80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Asset Purchase Agreement with Nitiloop, Ltd. dated October 6, 2022 (incorporated by reference to the Registrant’s Current Report on Form 8-K filed on 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0">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235966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1">
                      <a:extLst>
                        <a:ext uri="{28A0092B-C50C-407E-A947-70E740481C1C}"/>
                      </a:extLst>
                    </a:blip>
                    <a:srcRect/>
                    <a:stretch>
                      <a:fillRect/>
                    </a:stretch>
                  </pic:blipFill>
                  <pic:spPr bwMode="auto">
                    <a:xfrm>
                      <a:off x="0" y="0"/>
                      <a:ext cx="2359660" cy="6350"/>
                    </a:xfrm>
                    <a:prstGeom prst="rect">
                      <a:avLst/>
                    </a:prstGeom>
                    <a:noFill/>
                  </pic:spPr>
                </pic:pic>
              </a:graphicData>
            </a:graphic>
          </wp:anchor>
        </w:drawing>
      </w:r>
    </w:p>
    <w:p>
      <w:pPr>
        <w:ind w:left="820" w:hanging="835"/>
        <w:spacing w:after="0"/>
        <w:tabs>
          <w:tab w:leader="none" w:pos="800" w:val="left"/>
        </w:tabs>
        <w:rPr>
          <w:sz w:val="20"/>
          <w:szCs w:val="20"/>
          <w:color w:val="auto"/>
        </w:rPr>
      </w:pPr>
      <w:r>
        <w:rPr>
          <w:rFonts w:ascii="Times New Roman" w:cs="Times New Roman" w:eastAsia="Times New Roman" w:hAnsi="Times New Roman"/>
          <w:sz w:val="20"/>
          <w:szCs w:val="20"/>
          <w:color w:val="auto"/>
        </w:rPr>
        <w:t>10.19*</w:t>
        <w:tab/>
        <w:t>Employment Agreement with Rachel Vaknin (incorporated by reference to the Company’s Current Report on Form 8-K filed on April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2">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114617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3">
                      <a:extLst>
                        <a:ext uri="{28A0092B-C50C-407E-A947-70E740481C1C}"/>
                      </a:extLst>
                    </a:blip>
                    <a:srcRect/>
                    <a:stretch>
                      <a:fillRect/>
                    </a:stretch>
                  </pic:blipFill>
                  <pic:spPr bwMode="auto">
                    <a:xfrm>
                      <a:off x="0" y="0"/>
                      <a:ext cx="1146175" cy="6350"/>
                    </a:xfrm>
                    <a:prstGeom prst="rect">
                      <a:avLst/>
                    </a:prstGeom>
                    <a:noFill/>
                  </pic:spPr>
                </pic:pic>
              </a:graphicData>
            </a:graphic>
          </wp:anchor>
        </w:drawing>
      </w:r>
    </w:p>
    <w:p>
      <w:pPr>
        <w:ind w:left="820" w:hanging="835"/>
        <w:spacing w:after="0"/>
        <w:tabs>
          <w:tab w:leader="none" w:pos="800" w:val="left"/>
        </w:tabs>
        <w:rPr>
          <w:sz w:val="20"/>
          <w:szCs w:val="20"/>
          <w:color w:val="auto"/>
        </w:rPr>
      </w:pPr>
      <w:r>
        <w:rPr>
          <w:rFonts w:ascii="Times New Roman" w:cs="Times New Roman" w:eastAsia="Times New Roman" w:hAnsi="Times New Roman"/>
          <w:sz w:val="20"/>
          <w:szCs w:val="20"/>
          <w:color w:val="auto"/>
        </w:rPr>
        <w:t>10.20*</w:t>
        <w:tab/>
        <w:t>Second Amendment to Employment Agreement with Harel Gadot (incorporated by reference to the Company’s Current Report on Form 8-K filed on February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4">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240919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5">
                      <a:extLst>
                        <a:ext uri="{28A0092B-C50C-407E-A947-70E740481C1C}"/>
                      </a:extLst>
                    </a:blip>
                    <a:srcRect/>
                    <a:stretch>
                      <a:fillRect/>
                    </a:stretch>
                  </pic:blipFill>
                  <pic:spPr bwMode="auto">
                    <a:xfrm>
                      <a:off x="0" y="0"/>
                      <a:ext cx="2409190" cy="6350"/>
                    </a:xfrm>
                    <a:prstGeom prst="rect">
                      <a:avLst/>
                    </a:prstGeom>
                    <a:noFill/>
                  </pic:spPr>
                </pic:pic>
              </a:graphicData>
            </a:graphic>
          </wp:anchor>
        </w:drawing>
      </w:r>
    </w:p>
    <w:p>
      <w:pPr>
        <w:jc w:val="both"/>
        <w:ind w:left="820" w:hanging="785"/>
        <w:spacing w:after="0"/>
        <w:tabs>
          <w:tab w:leader="none" w:pos="80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Letter Agreements dated March 18, 2021 between Microbot Medical Ltd. and Technion Research and Development Foundation Ltd. (incorporated by reference to the Company’s Annual Report on Form 10-K for the 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6">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618426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7">
                      <a:extLst>
                        <a:ext uri="{28A0092B-C50C-407E-A947-70E740481C1C}"/>
                      </a:extLst>
                    </a:blip>
                    <a:srcRect/>
                    <a:stretch>
                      <a:fillRect/>
                    </a:stretch>
                  </pic:blipFill>
                  <pic:spPr bwMode="auto">
                    <a:xfrm>
                      <a:off x="0" y="0"/>
                      <a:ext cx="6184265" cy="6350"/>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20"/>
          <w:szCs w:val="20"/>
          <w:color w:val="auto"/>
        </w:rPr>
        <w:t>December 31, 2022, filed on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-18415</wp:posOffset>
            </wp:positionV>
            <wp:extent cx="233489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8">
                      <a:extLst>
                        <a:ext uri="{28A0092B-C50C-407E-A947-70E740481C1C}"/>
                      </a:extLst>
                    </a:blip>
                    <a:srcRect/>
                    <a:stretch>
                      <a:fillRect/>
                    </a:stretch>
                  </pic:blipFill>
                  <pic:spPr bwMode="auto">
                    <a:xfrm>
                      <a:off x="0" y="0"/>
                      <a:ext cx="2334895" cy="6350"/>
                    </a:xfrm>
                    <a:prstGeom prst="rect">
                      <a:avLst/>
                    </a:prstGeom>
                    <a:noFill/>
                  </pic:spPr>
                </pic:pic>
              </a:graphicData>
            </a:graphic>
          </wp:anchor>
        </w:drawing>
      </w:r>
    </w:p>
    <w:p>
      <w:pPr>
        <w:jc w:val="both"/>
        <w:ind w:left="820" w:hanging="785"/>
        <w:spacing w:after="0"/>
        <w:tabs>
          <w:tab w:leader="none" w:pos="80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Form of Securities Purchase Agreement, dated as of October 21, 2022, by and among Microbot Medical Inc. and the purchaser party thereto (incorporated by reference to the Registrant’s Current Report on Form 8-K filed on 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-310515</wp:posOffset>
            </wp:positionV>
            <wp:extent cx="618426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9">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0">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29654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1">
                      <a:extLst>
                        <a:ext uri="{28A0092B-C50C-407E-A947-70E740481C1C}"/>
                      </a:extLst>
                    </a:blip>
                    <a:srcRect/>
                    <a:stretch>
                      <a:fillRect/>
                    </a:stretch>
                  </pic:blipFill>
                  <pic:spPr bwMode="auto">
                    <a:xfrm>
                      <a:off x="0" y="0"/>
                      <a:ext cx="296545" cy="6350"/>
                    </a:xfrm>
                    <a:prstGeom prst="rect">
                      <a:avLst/>
                    </a:prstGeom>
                    <a:noFill/>
                  </pic:spPr>
                </pic:pic>
              </a:graphicData>
            </a:graphic>
          </wp:anchor>
        </w:drawing>
      </w:r>
    </w:p>
    <w:p>
      <w:pPr>
        <w:ind w:left="820" w:hanging="835"/>
        <w:spacing w:after="0"/>
        <w:tabs>
          <w:tab w:leader="none" w:pos="800" w:val="left"/>
        </w:tabs>
        <w:rPr>
          <w:sz w:val="20"/>
          <w:szCs w:val="20"/>
          <w:color w:val="auto"/>
        </w:rPr>
      </w:pPr>
      <w:r>
        <w:rPr>
          <w:rFonts w:ascii="Times New Roman" w:cs="Times New Roman" w:eastAsia="Times New Roman" w:hAnsi="Times New Roman"/>
          <w:sz w:val="20"/>
          <w:szCs w:val="20"/>
          <w:color w:val="auto"/>
        </w:rPr>
        <w:t>10.23*</w:t>
        <w:tab/>
        <w:t>Addendum to Employment Agreement with Rachel Vaknin (incorporated by reference to the Company’s Current Report on Form 8-K filed on May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2">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186944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3">
                      <a:extLst>
                        <a:ext uri="{28A0092B-C50C-407E-A947-70E740481C1C}"/>
                      </a:extLst>
                    </a:blip>
                    <a:srcRect/>
                    <a:stretch>
                      <a:fillRect/>
                    </a:stretch>
                  </pic:blipFill>
                  <pic:spPr bwMode="auto">
                    <a:xfrm>
                      <a:off x="0" y="0"/>
                      <a:ext cx="1869440" cy="6350"/>
                    </a:xfrm>
                    <a:prstGeom prst="rect">
                      <a:avLst/>
                    </a:prstGeom>
                    <a:noFill/>
                  </pic:spPr>
                </pic:pic>
              </a:graphicData>
            </a:graphic>
          </wp:anchor>
        </w:drawing>
      </w:r>
    </w:p>
    <w:p>
      <w:pPr>
        <w:ind w:left="820" w:hanging="835"/>
        <w:spacing w:after="0"/>
        <w:tabs>
          <w:tab w:leader="none" w:pos="800" w:val="left"/>
        </w:tabs>
        <w:rPr>
          <w:sz w:val="20"/>
          <w:szCs w:val="20"/>
          <w:color w:val="auto"/>
        </w:rPr>
      </w:pPr>
      <w:r>
        <w:rPr>
          <w:rFonts w:ascii="Times New Roman" w:cs="Times New Roman" w:eastAsia="Times New Roman" w:hAnsi="Times New Roman"/>
          <w:sz w:val="20"/>
          <w:szCs w:val="20"/>
          <w:color w:val="auto"/>
        </w:rPr>
        <w:t>10.24*</w:t>
        <w:tab/>
        <w:t>Addendum to Employment Agreement with Simon Sharon (incorporated by reference to the Company’s Current Report on Form 8-K filed on May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4">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186944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5">
                      <a:extLst>
                        <a:ext uri="{28A0092B-C50C-407E-A947-70E740481C1C}"/>
                      </a:extLst>
                    </a:blip>
                    <a:srcRect/>
                    <a:stretch>
                      <a:fillRect/>
                    </a:stretch>
                  </pic:blipFill>
                  <pic:spPr bwMode="auto">
                    <a:xfrm>
                      <a:off x="0" y="0"/>
                      <a:ext cx="1869440" cy="6350"/>
                    </a:xfrm>
                    <a:prstGeom prst="rect">
                      <a:avLst/>
                    </a:prstGeom>
                    <a:noFill/>
                  </pic:spPr>
                </pic:pic>
              </a:graphicData>
            </a:graphic>
          </wp:anchor>
        </w:drawing>
      </w:r>
    </w:p>
    <w:p>
      <w:pPr>
        <w:ind w:left="820" w:hanging="835"/>
        <w:spacing w:after="0"/>
        <w:tabs>
          <w:tab w:leader="none" w:pos="800" w:val="left"/>
        </w:tabs>
        <w:rPr>
          <w:sz w:val="20"/>
          <w:szCs w:val="20"/>
          <w:color w:val="auto"/>
        </w:rPr>
      </w:pPr>
      <w:r>
        <w:rPr>
          <w:rFonts w:ascii="Times New Roman" w:cs="Times New Roman" w:eastAsia="Times New Roman" w:hAnsi="Times New Roman"/>
          <w:sz w:val="20"/>
          <w:szCs w:val="20"/>
          <w:color w:val="auto"/>
        </w:rPr>
        <w:t>10.25*</w:t>
        <w:tab/>
        <w:t>Addendum to Employment Agreement with Eyal Morag (incorporated by reference to the Company’s Current Report on Form 8-K filed on May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6">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171069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7">
                      <a:extLst>
                        <a:ext uri="{28A0092B-C50C-407E-A947-70E740481C1C}"/>
                      </a:extLst>
                    </a:blip>
                    <a:srcRect/>
                    <a:stretch>
                      <a:fillRect/>
                    </a:stretch>
                  </pic:blipFill>
                  <pic:spPr bwMode="auto">
                    <a:xfrm>
                      <a:off x="0" y="0"/>
                      <a:ext cx="1710690" cy="6350"/>
                    </a:xfrm>
                    <a:prstGeom prst="rect">
                      <a:avLst/>
                    </a:prstGeom>
                    <a:noFill/>
                  </pic:spPr>
                </pic:pic>
              </a:graphicData>
            </a:graphic>
          </wp:anchor>
        </w:drawing>
      </w:r>
    </w:p>
    <w:p>
      <w:pPr>
        <w:ind w:left="820" w:hanging="835"/>
        <w:spacing w:after="0"/>
        <w:tabs>
          <w:tab w:leader="none" w:pos="800" w:val="left"/>
        </w:tabs>
        <w:rPr>
          <w:sz w:val="20"/>
          <w:szCs w:val="20"/>
          <w:color w:val="auto"/>
        </w:rPr>
      </w:pPr>
      <w:r>
        <w:rPr>
          <w:rFonts w:ascii="Times New Roman" w:cs="Times New Roman" w:eastAsia="Times New Roman" w:hAnsi="Times New Roman"/>
          <w:sz w:val="20"/>
          <w:szCs w:val="20"/>
          <w:color w:val="auto"/>
        </w:rPr>
        <w:t>10.26*</w:t>
        <w:tab/>
        <w:t>Addendum to Employment Agreement with Eyal Morag. (incorporated by reference to the Company’s Current Report on Form 8-K filed on May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8">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171069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9">
                      <a:extLst>
                        <a:ext uri="{28A0092B-C50C-407E-A947-70E740481C1C}"/>
                      </a:extLst>
                    </a:blip>
                    <a:srcRect/>
                    <a:stretch>
                      <a:fillRect/>
                    </a:stretch>
                  </pic:blipFill>
                  <pic:spPr bwMode="auto">
                    <a:xfrm>
                      <a:off x="0" y="0"/>
                      <a:ext cx="1710690" cy="6350"/>
                    </a:xfrm>
                    <a:prstGeom prst="rect">
                      <a:avLst/>
                    </a:prstGeom>
                    <a:noFill/>
                  </pic:spPr>
                </pic:pic>
              </a:graphicData>
            </a:graphic>
          </wp:anchor>
        </w:drawing>
      </w:r>
    </w:p>
    <w:p>
      <w:pPr>
        <w:jc w:val="center"/>
        <w:ind w:left="1000"/>
        <w:spacing w:after="0"/>
        <w:rPr>
          <w:sz w:val="20"/>
          <w:szCs w:val="20"/>
          <w:color w:val="auto"/>
        </w:rPr>
      </w:pPr>
      <w:r>
        <w:rPr>
          <w:rFonts w:ascii="Times New Roman" w:cs="Times New Roman" w:eastAsia="Times New Roman" w:hAnsi="Times New Roman"/>
          <w:sz w:val="20"/>
          <w:szCs w:val="20"/>
          <w:color w:val="auto"/>
        </w:rPr>
        <w:t>10.27   Form of Securities Purchase Agreement, dated as of May 22, 2023, by and among Microbot Medical Inc. and the purchasers party thereto (incorporated by reference to the Registrant’s Current Report on Form 8-K filed on May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-164465</wp:posOffset>
            </wp:positionV>
            <wp:extent cx="618426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0">
                      <a:extLst>
                        <a:ext uri="{28A0092B-C50C-407E-A947-70E740481C1C}"/>
                      </a:extLst>
                    </a:blip>
                    <a:srcRect/>
                    <a:stretch>
                      <a:fillRect/>
                    </a:stretch>
                  </pic:blipFill>
                  <pic:spPr bwMode="auto">
                    <a:xfrm>
                      <a:off x="0" y="0"/>
                      <a:ext cx="6184265" cy="635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-18415</wp:posOffset>
            </wp:positionV>
            <wp:extent cx="568515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1">
                      <a:extLst>
                        <a:ext uri="{28A0092B-C50C-407E-A947-70E740481C1C}"/>
                      </a:extLst>
                    </a:blip>
                    <a:srcRect/>
                    <a:stretch>
                      <a:fillRect/>
                    </a:stretch>
                  </pic:blipFill>
                  <pic:spPr bwMode="auto">
                    <a:xfrm>
                      <a:off x="0" y="0"/>
                      <a:ext cx="5685155" cy="6350"/>
                    </a:xfrm>
                    <a:prstGeom prst="rect">
                      <a:avLst/>
                    </a:prstGeom>
                    <a:noFill/>
                  </pic:spPr>
                </pic:pic>
              </a:graphicData>
            </a:graphic>
          </wp:anchor>
        </w:drawing>
      </w:r>
    </w:p>
    <w:p>
      <w:pPr>
        <w:ind w:left="760" w:hanging="754"/>
        <w:spacing w:after="0"/>
        <w:tabs>
          <w:tab w:leader="none" w:pos="740" w:val="left"/>
        </w:tabs>
        <w:rPr>
          <w:sz w:val="20"/>
          <w:szCs w:val="20"/>
          <w:color w:val="auto"/>
        </w:rPr>
      </w:pPr>
      <w:r>
        <w:rPr>
          <w:rFonts w:ascii="Times New Roman" w:cs="Times New Roman" w:eastAsia="Times New Roman" w:hAnsi="Times New Roman"/>
          <w:sz w:val="20"/>
          <w:szCs w:val="20"/>
          <w:color w:val="auto"/>
        </w:rPr>
        <w:t>10.28</w:t>
        <w:tab/>
        <w:t>Form of Securities Purchase Agreement, dated as of May 23, 2023, by and among Microbot Medical Inc. and the purchaser party thereto (incorporated by reference to the Registrant’s Current Report on Form 8-K filed on May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-164465</wp:posOffset>
            </wp:positionV>
            <wp:extent cx="622363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2">
                      <a:extLst>
                        <a:ext uri="{28A0092B-C50C-407E-A947-70E740481C1C}"/>
                      </a:extLst>
                    </a:blip>
                    <a:srcRect/>
                    <a:stretch>
                      <a:fillRect/>
                    </a:stretch>
                  </pic:blipFill>
                  <pic:spPr bwMode="auto">
                    <a:xfrm>
                      <a:off x="0" y="0"/>
                      <a:ext cx="6223635" cy="635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-18415</wp:posOffset>
            </wp:positionV>
            <wp:extent cx="568515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3">
                      <a:extLst>
                        <a:ext uri="{28A0092B-C50C-407E-A947-70E740481C1C}"/>
                      </a:extLst>
                    </a:blip>
                    <a:srcRect/>
                    <a:stretch>
                      <a:fillRect/>
                    </a:stretch>
                  </pic:blipFill>
                  <pic:spPr bwMode="auto">
                    <a:xfrm>
                      <a:off x="0" y="0"/>
                      <a:ext cx="5685155" cy="6350"/>
                    </a:xfrm>
                    <a:prstGeom prst="rect">
                      <a:avLst/>
                    </a:prstGeom>
                    <a:noFill/>
                  </pic:spPr>
                </pic:pic>
              </a:graphicData>
            </a:graphic>
          </wp:anchor>
        </w:drawing>
      </w:r>
    </w:p>
    <w:p>
      <w:pPr>
        <w:ind w:left="760" w:hanging="754"/>
        <w:spacing w:after="0"/>
        <w:tabs>
          <w:tab w:leader="none" w:pos="740" w:val="left"/>
        </w:tabs>
        <w:rPr>
          <w:sz w:val="20"/>
          <w:szCs w:val="20"/>
          <w:color w:val="auto"/>
        </w:rPr>
      </w:pPr>
      <w:r>
        <w:rPr>
          <w:rFonts w:ascii="Times New Roman" w:cs="Times New Roman" w:eastAsia="Times New Roman" w:hAnsi="Times New Roman"/>
          <w:sz w:val="20"/>
          <w:szCs w:val="20"/>
          <w:color w:val="auto"/>
        </w:rPr>
        <w:t>10.29</w:t>
        <w:tab/>
        <w:t>Form of Securities Purchase Agreement, dated as of June 2, 2023, by and among Microbot Medical Inc. and the purchasers party thereto (incorporated by reference to the Registrant’s Current Report on Form 8-K filed on June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-164465</wp:posOffset>
            </wp:positionV>
            <wp:extent cx="622363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4">
                      <a:extLst>
                        <a:ext uri="{28A0092B-C50C-407E-A947-70E740481C1C}"/>
                      </a:extLst>
                    </a:blip>
                    <a:srcRect/>
                    <a:stretch>
                      <a:fillRect/>
                    </a:stretch>
                  </pic:blipFill>
                  <pic:spPr bwMode="auto">
                    <a:xfrm>
                      <a:off x="0" y="0"/>
                      <a:ext cx="6223635" cy="635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-18415</wp:posOffset>
            </wp:positionV>
            <wp:extent cx="562165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5">
                      <a:extLst>
                        <a:ext uri="{28A0092B-C50C-407E-A947-70E740481C1C}"/>
                      </a:extLst>
                    </a:blip>
                    <a:srcRect/>
                    <a:stretch>
                      <a:fillRect/>
                    </a:stretch>
                  </pic:blipFill>
                  <pic:spPr bwMode="auto">
                    <a:xfrm>
                      <a:off x="0" y="0"/>
                      <a:ext cx="5621655" cy="6350"/>
                    </a:xfrm>
                    <a:prstGeom prst="rect">
                      <a:avLst/>
                    </a:prstGeom>
                    <a:noFill/>
                  </pic:spPr>
                </pic:pic>
              </a:graphicData>
            </a:graphic>
          </wp:anchor>
        </w:drawing>
      </w:r>
    </w:p>
    <w:p>
      <w:pPr>
        <w:ind w:left="760" w:hanging="754"/>
        <w:spacing w:after="0" w:line="252" w:lineRule="auto"/>
        <w:tabs>
          <w:tab w:leader="none" w:pos="74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19"/>
          <w:szCs w:val="19"/>
          <w:color w:val="auto"/>
        </w:rPr>
        <w:t>Form of Securities Purchase Agreement, dated as of June 26, 2023, by and among Microbot Medical Inc. and the purchasers party thereto (incorporated by reference to the Registrant’s Current Report on Form 8-K filed on June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-163830</wp:posOffset>
            </wp:positionV>
            <wp:extent cx="622363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6">
                      <a:extLst>
                        <a:ext uri="{28A0092B-C50C-407E-A947-70E740481C1C}"/>
                      </a:extLst>
                    </a:blip>
                    <a:srcRect/>
                    <a:stretch>
                      <a:fillRect/>
                    </a:stretch>
                  </pic:blipFill>
                  <pic:spPr bwMode="auto">
                    <a:xfrm>
                      <a:off x="0" y="0"/>
                      <a:ext cx="6223635" cy="635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-17780</wp:posOffset>
            </wp:positionV>
            <wp:extent cx="568515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7">
                      <a:extLst>
                        <a:ext uri="{28A0092B-C50C-407E-A947-70E740481C1C}"/>
                      </a:extLst>
                    </a:blip>
                    <a:srcRect/>
                    <a:stretch>
                      <a:fillRect/>
                    </a:stretch>
                  </pic:blipFill>
                  <pic:spPr bwMode="auto">
                    <a:xfrm>
                      <a:off x="0" y="0"/>
                      <a:ext cx="5685155" cy="6350"/>
                    </a:xfrm>
                    <a:prstGeom prst="rect">
                      <a:avLst/>
                    </a:prstGeom>
                    <a:noFill/>
                  </pic:spPr>
                </pic:pic>
              </a:graphicData>
            </a:graphic>
          </wp:anchor>
        </w:drawing>
      </w:r>
    </w:p>
    <w:p>
      <w:pPr>
        <w:ind w:left="760" w:hanging="804"/>
        <w:spacing w:after="0"/>
        <w:tabs>
          <w:tab w:leader="none" w:pos="740" w:val="left"/>
        </w:tabs>
        <w:rPr>
          <w:sz w:val="20"/>
          <w:szCs w:val="20"/>
          <w:color w:val="auto"/>
        </w:rPr>
      </w:pPr>
      <w:r>
        <w:rPr>
          <w:rFonts w:ascii="Times New Roman" w:cs="Times New Roman" w:eastAsia="Times New Roman" w:hAnsi="Times New Roman"/>
          <w:sz w:val="20"/>
          <w:szCs w:val="20"/>
          <w:color w:val="auto"/>
        </w:rPr>
        <w:t>10.31*</w:t>
        <w:tab/>
        <w:t>Employment Agreement with Juan Diaz-Cartelle, MD (incorporated by reference to the Registrant’s Current Report on Form 8-K filed on November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-164465</wp:posOffset>
            </wp:positionV>
            <wp:extent cx="622363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8">
                      <a:extLst>
                        <a:ext uri="{28A0092B-C50C-407E-A947-70E740481C1C}"/>
                      </a:extLst>
                    </a:blip>
                    <a:srcRect/>
                    <a:stretch>
                      <a:fillRect/>
                    </a:stretch>
                  </pic:blipFill>
                  <pic:spPr bwMode="auto">
                    <a:xfrm>
                      <a:off x="0" y="0"/>
                      <a:ext cx="6223635" cy="635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-18415</wp:posOffset>
            </wp:positionV>
            <wp:extent cx="201422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9">
                      <a:extLst>
                        <a:ext uri="{28A0092B-C50C-407E-A947-70E740481C1C}"/>
                      </a:extLst>
                    </a:blip>
                    <a:srcRect/>
                    <a:stretch>
                      <a:fillRect/>
                    </a:stretch>
                  </pic:blipFill>
                  <pic:spPr bwMode="auto">
                    <a:xfrm>
                      <a:off x="0" y="0"/>
                      <a:ext cx="2014220" cy="6350"/>
                    </a:xfrm>
                    <a:prstGeom prst="rect">
                      <a:avLst/>
                    </a:prstGeom>
                    <a:noFill/>
                  </pic:spPr>
                </pic:pic>
              </a:graphicData>
            </a:graphic>
          </wp:anchor>
        </w:drawing>
      </w: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10.32</w:t>
        <w:tab/>
        <w:t>Form of Inducement Letter (incorporated by reference to the Registrant’s Current Report on Form 8-K filed on January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wp:posOffset>
            </wp:positionV>
            <wp:extent cx="622363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0">
                      <a:extLst>
                        <a:ext uri="{28A0092B-C50C-407E-A947-70E740481C1C}"/>
                      </a:extLst>
                    </a:blip>
                    <a:srcRect/>
                    <a:stretch>
                      <a:fillRect/>
                    </a:stretch>
                  </pic:blipFill>
                  <pic:spPr bwMode="auto">
                    <a:xfrm>
                      <a:off x="0" y="0"/>
                      <a:ext cx="6223635" cy="635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20"/>
          <w:szCs w:val="20"/>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wp:posOffset>
            </wp:positionV>
            <wp:extent cx="29654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1">
                      <a:extLst>
                        <a:ext uri="{28A0092B-C50C-407E-A947-70E740481C1C}"/>
                      </a:extLst>
                    </a:blip>
                    <a:srcRect/>
                    <a:stretch>
                      <a:fillRect/>
                    </a:stretch>
                  </pic:blipFill>
                  <pic:spPr bwMode="auto">
                    <a:xfrm>
                      <a:off x="0" y="0"/>
                      <a:ext cx="296545" cy="6350"/>
                    </a:xfrm>
                    <a:prstGeom prst="rect">
                      <a:avLst/>
                    </a:prstGeom>
                    <a:noFill/>
                  </pic:spPr>
                </pic:pic>
              </a:graphicData>
            </a:graphic>
          </wp:anchor>
        </w:drawing>
      </w:r>
    </w:p>
    <w:p>
      <w:pPr>
        <w:ind w:left="760" w:hanging="754"/>
        <w:spacing w:after="0"/>
        <w:tabs>
          <w:tab w:leader="none" w:pos="740" w:val="left"/>
        </w:tabs>
        <w:rPr>
          <w:sz w:val="20"/>
          <w:szCs w:val="20"/>
          <w:color w:val="auto"/>
        </w:rPr>
      </w:pPr>
      <w:r>
        <w:rPr>
          <w:rFonts w:ascii="Times New Roman" w:cs="Times New Roman" w:eastAsia="Times New Roman" w:hAnsi="Times New Roman"/>
          <w:sz w:val="20"/>
          <w:szCs w:val="20"/>
          <w:color w:val="auto"/>
        </w:rPr>
        <w:t>10.33</w:t>
        <w:tab/>
        <w:t>Settlement Agreement and Release dated as of January 26, 2024 (incorporated by reference to the Registrant’s Current Report on Form 8-K filed on 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-164465</wp:posOffset>
            </wp:positionV>
            <wp:extent cx="622363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2">
                      <a:extLst>
                        <a:ext uri="{28A0092B-C50C-407E-A947-70E740481C1C}"/>
                      </a:extLst>
                    </a:blip>
                    <a:srcRect/>
                    <a:stretch>
                      <a:fillRect/>
                    </a:stretch>
                  </pic:blipFill>
                  <pic:spPr bwMode="auto">
                    <a:xfrm>
                      <a:off x="0" y="0"/>
                      <a:ext cx="6223635" cy="635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-18415</wp:posOffset>
            </wp:positionV>
            <wp:extent cx="240919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3">
                      <a:extLst>
                        <a:ext uri="{28A0092B-C50C-407E-A947-70E740481C1C}"/>
                      </a:extLst>
                    </a:blip>
                    <a:srcRect/>
                    <a:stretch>
                      <a:fillRect/>
                    </a:stretch>
                  </pic:blipFill>
                  <pic:spPr bwMode="auto">
                    <a:xfrm>
                      <a:off x="0" y="0"/>
                      <a:ext cx="2409190" cy="6350"/>
                    </a:xfrm>
                    <a:prstGeom prst="rect">
                      <a:avLst/>
                    </a:prstGeom>
                    <a:noFill/>
                  </pic:spPr>
                </pic:pic>
              </a:graphicData>
            </a:graphic>
          </wp:anchor>
        </w:drawing>
      </w:r>
    </w:p>
    <w:p>
      <w:pPr>
        <w:ind w:left="760" w:hanging="754"/>
        <w:spacing w:after="0"/>
        <w:tabs>
          <w:tab w:leader="none" w:pos="740" w:val="left"/>
        </w:tabs>
        <w:rPr>
          <w:sz w:val="20"/>
          <w:szCs w:val="20"/>
          <w:color w:val="auto"/>
        </w:rPr>
      </w:pPr>
      <w:r>
        <w:rPr>
          <w:rFonts w:ascii="Times New Roman" w:cs="Times New Roman" w:eastAsia="Times New Roman" w:hAnsi="Times New Roman"/>
          <w:sz w:val="20"/>
          <w:szCs w:val="20"/>
          <w:color w:val="auto"/>
        </w:rPr>
        <w:t>10.34</w:t>
        <w:tab/>
        <w:t>Registration Rights Agreement dated as of January 26, 2024 (incorporated by reference to the Registrant’s Current Report on Form 8-K filed on 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-164465</wp:posOffset>
            </wp:positionV>
            <wp:extent cx="622363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4">
                      <a:extLst>
                        <a:ext uri="{28A0092B-C50C-407E-A947-70E740481C1C}"/>
                      </a:extLst>
                    </a:blip>
                    <a:srcRect/>
                    <a:stretch>
                      <a:fillRect/>
                    </a:stretch>
                  </pic:blipFill>
                  <pic:spPr bwMode="auto">
                    <a:xfrm>
                      <a:off x="0" y="0"/>
                      <a:ext cx="6223635" cy="635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-18415</wp:posOffset>
            </wp:positionV>
            <wp:extent cx="20320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5">
                      <a:extLst>
                        <a:ext uri="{28A0092B-C50C-407E-A947-70E740481C1C}"/>
                      </a:extLst>
                    </a:blip>
                    <a:srcRect/>
                    <a:stretch>
                      <a:fillRect/>
                    </a:stretch>
                  </pic:blipFill>
                  <pic:spPr bwMode="auto">
                    <a:xfrm>
                      <a:off x="0" y="0"/>
                      <a:ext cx="2032000" cy="6350"/>
                    </a:xfrm>
                    <a:prstGeom prst="rect">
                      <a:avLst/>
                    </a:prstGeom>
                    <a:noFill/>
                  </pic:spPr>
                </pic:pic>
              </a:graphicData>
            </a:graphic>
          </wp:anchor>
        </w:drawing>
      </w:r>
    </w:p>
    <w:p>
      <w:pPr>
        <w:ind w:left="760" w:hanging="704"/>
        <w:spacing w:after="0"/>
        <w:tabs>
          <w:tab w:leader="none" w:pos="74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color w:val="auto"/>
        </w:rPr>
        <w:t>Subsidiaries of the Company (incorporated by reference to the Company’s Annual Report on Form 10-K for the fiscal year ended December 31, 2016 and filed on 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-164465</wp:posOffset>
            </wp:positionV>
            <wp:extent cx="622363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6">
                      <a:extLst>
                        <a:ext uri="{28A0092B-C50C-407E-A947-70E740481C1C}"/>
                      </a:extLst>
                    </a:blip>
                    <a:srcRect/>
                    <a:stretch>
                      <a:fillRect/>
                    </a:stretch>
                  </pic:blipFill>
                  <pic:spPr bwMode="auto">
                    <a:xfrm>
                      <a:off x="0" y="0"/>
                      <a:ext cx="6223635" cy="635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-18415</wp:posOffset>
            </wp:positionV>
            <wp:extent cx="288480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7">
                      <a:extLst>
                        <a:ext uri="{28A0092B-C50C-407E-A947-70E740481C1C}"/>
                      </a:extLst>
                    </a:blip>
                    <a:srcRect/>
                    <a:stretch>
                      <a:fillRect/>
                    </a:stretch>
                  </pic:blipFill>
                  <pic:spPr bwMode="auto">
                    <a:xfrm>
                      <a:off x="0" y="0"/>
                      <a:ext cx="2884805" cy="6350"/>
                    </a:xfrm>
                    <a:prstGeom prst="rect">
                      <a:avLst/>
                    </a:prstGeom>
                    <a:noFill/>
                  </pic:spPr>
                </pic:pic>
              </a:graphicData>
            </a:graphic>
          </wp:anchor>
        </w:drawing>
      </w:r>
    </w:p>
    <w:p>
      <w:pPr>
        <w:ind w:left="60"/>
        <w:spacing w:after="0"/>
        <w:tabs>
          <w:tab w:leader="none" w:pos="74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wp:posOffset>
            </wp:positionV>
            <wp:extent cx="304736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8">
                      <a:extLst>
                        <a:ext uri="{28A0092B-C50C-407E-A947-70E740481C1C}"/>
                      </a:extLst>
                    </a:blip>
                    <a:srcRect/>
                    <a:stretch>
                      <a:fillRect/>
                    </a:stretch>
                  </pic:blipFill>
                  <pic:spPr bwMode="auto">
                    <a:xfrm>
                      <a:off x="0" y="0"/>
                      <a:ext cx="3047365" cy="6350"/>
                    </a:xfrm>
                    <a:prstGeom prst="rect">
                      <a:avLst/>
                    </a:prstGeom>
                    <a:noFill/>
                  </pic:spPr>
                </pic:pic>
              </a:graphicData>
            </a:graphic>
          </wp:anchor>
        </w:drawing>
      </w:r>
    </w:p>
    <w:p>
      <w:pPr>
        <w:ind w:left="760" w:hanging="704"/>
        <w:spacing w:after="0"/>
        <w:tabs>
          <w:tab w:leader="none" w:pos="74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20"/>
          <w:szCs w:val="20"/>
          <w:color w:val="auto"/>
        </w:rPr>
        <w:t>Certification Pursuant to Securities Exchange Act Rule 13(a)-14(a), as Adopted Pursuant to Section 302 of the Sarbanes-Oxley Act of 2002 (Harel Gadot,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-164465</wp:posOffset>
            </wp:positionV>
            <wp:extent cx="622363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9">
                      <a:extLst>
                        <a:ext uri="{28A0092B-C50C-407E-A947-70E740481C1C}"/>
                      </a:extLst>
                    </a:blip>
                    <a:srcRect/>
                    <a:stretch>
                      <a:fillRect/>
                    </a:stretch>
                  </pic:blipFill>
                  <pic:spPr bwMode="auto">
                    <a:xfrm>
                      <a:off x="0" y="0"/>
                      <a:ext cx="6223635" cy="635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-18415</wp:posOffset>
            </wp:positionV>
            <wp:extent cx="297243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0">
                      <a:extLst>
                        <a:ext uri="{28A0092B-C50C-407E-A947-70E740481C1C}"/>
                      </a:extLst>
                    </a:blip>
                    <a:srcRect/>
                    <a:stretch>
                      <a:fillRect/>
                    </a:stretch>
                  </pic:blipFill>
                  <pic:spPr bwMode="auto">
                    <a:xfrm>
                      <a:off x="0" y="0"/>
                      <a:ext cx="2972435" cy="6350"/>
                    </a:xfrm>
                    <a:prstGeom prst="rect">
                      <a:avLst/>
                    </a:prstGeom>
                    <a:noFill/>
                  </pic:spPr>
                </pic:pic>
              </a:graphicData>
            </a:graphic>
          </wp:anchor>
        </w:drawing>
      </w:r>
    </w:p>
    <w:p>
      <w:pPr>
        <w:ind w:left="760" w:hanging="704"/>
        <w:spacing w:after="0"/>
        <w:tabs>
          <w:tab w:leader="none" w:pos="74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20"/>
          <w:szCs w:val="20"/>
          <w:color w:val="auto"/>
        </w:rPr>
        <w:t>Certification Pursuant to Securities Exchange Act Rule 13(a)-14(a), as Adopted Pursuant to Section 302 of the Sarbanes-Oxley Act of 2002 (Rachel Vaknin,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-164465</wp:posOffset>
            </wp:positionV>
            <wp:extent cx="622363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1">
                      <a:extLst>
                        <a:ext uri="{28A0092B-C50C-407E-A947-70E740481C1C}"/>
                      </a:extLst>
                    </a:blip>
                    <a:srcRect/>
                    <a:stretch>
                      <a:fillRect/>
                    </a:stretch>
                  </pic:blipFill>
                  <pic:spPr bwMode="auto">
                    <a:xfrm>
                      <a:off x="0" y="0"/>
                      <a:ext cx="6223635" cy="635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-18415</wp:posOffset>
            </wp:positionV>
            <wp:extent cx="307149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2">
                      <a:extLst>
                        <a:ext uri="{28A0092B-C50C-407E-A947-70E740481C1C}"/>
                      </a:extLst>
                    </a:blip>
                    <a:srcRect/>
                    <a:stretch>
                      <a:fillRect/>
                    </a:stretch>
                  </pic:blipFill>
                  <pic:spPr bwMode="auto">
                    <a:xfrm>
                      <a:off x="0" y="0"/>
                      <a:ext cx="3071495" cy="6350"/>
                    </a:xfrm>
                    <a:prstGeom prst="rect">
                      <a:avLst/>
                    </a:prstGeom>
                    <a:noFill/>
                  </pic:spPr>
                </pic:pic>
              </a:graphicData>
            </a:graphic>
          </wp:anchor>
        </w:drawing>
      </w:r>
    </w:p>
    <w:p>
      <w:pPr>
        <w:ind w:left="760" w:hanging="704"/>
        <w:spacing w:after="0"/>
        <w:tabs>
          <w:tab w:leader="none" w:pos="74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color w:val="auto"/>
        </w:rPr>
        <w:t>Certification Pursuant to 18 U.S.C. Section 1350, As Adopted Pursuant to Section 906 of the Sarbanes-Oxley Act of 2002 (Harel Gadot,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-164465</wp:posOffset>
            </wp:positionV>
            <wp:extent cx="622363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3">
                      <a:extLst>
                        <a:ext uri="{28A0092B-C50C-407E-A947-70E740481C1C}"/>
                      </a:extLst>
                    </a:blip>
                    <a:srcRect/>
                    <a:stretch>
                      <a:fillRect/>
                    </a:stretch>
                  </pic:blipFill>
                  <pic:spPr bwMode="auto">
                    <a:xfrm>
                      <a:off x="0" y="0"/>
                      <a:ext cx="6223635" cy="635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-18415</wp:posOffset>
            </wp:positionV>
            <wp:extent cx="199199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4">
                      <a:extLst>
                        <a:ext uri="{28A0092B-C50C-407E-A947-70E740481C1C}"/>
                      </a:extLst>
                    </a:blip>
                    <a:srcRect/>
                    <a:stretch>
                      <a:fillRect/>
                    </a:stretch>
                  </pic:blipFill>
                  <pic:spPr bwMode="auto">
                    <a:xfrm>
                      <a:off x="0" y="0"/>
                      <a:ext cx="1991995" cy="6350"/>
                    </a:xfrm>
                    <a:prstGeom prst="rect">
                      <a:avLst/>
                    </a:prstGeom>
                    <a:noFill/>
                  </pic:spPr>
                </pic:pic>
              </a:graphicData>
            </a:graphic>
          </wp:anchor>
        </w:drawing>
      </w:r>
    </w:p>
    <w:p>
      <w:pPr>
        <w:ind w:left="760" w:hanging="704"/>
        <w:spacing w:after="0"/>
        <w:tabs>
          <w:tab w:leader="none" w:pos="74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20"/>
          <w:szCs w:val="20"/>
          <w:color w:val="auto"/>
        </w:rPr>
        <w:t>Certification Pursuant to 18 U.S.C. Section 1350, As Adopted Pursuant to Section 906 of the Sarbanes-Oxley Act of 2002 (Rachel Vaknin,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-164465</wp:posOffset>
            </wp:positionV>
            <wp:extent cx="622363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5">
                      <a:extLst>
                        <a:ext uri="{28A0092B-C50C-407E-A947-70E740481C1C}"/>
                      </a:extLst>
                    </a:blip>
                    <a:srcRect/>
                    <a:stretch>
                      <a:fillRect/>
                    </a:stretch>
                  </pic:blipFill>
                  <pic:spPr bwMode="auto">
                    <a:xfrm>
                      <a:off x="0" y="0"/>
                      <a:ext cx="6223635" cy="635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-18415</wp:posOffset>
            </wp:positionV>
            <wp:extent cx="209105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6">
                      <a:extLst>
                        <a:ext uri="{28A0092B-C50C-407E-A947-70E740481C1C}"/>
                      </a:extLst>
                    </a:blip>
                    <a:srcRect/>
                    <a:stretch>
                      <a:fillRect/>
                    </a:stretch>
                  </pic:blipFill>
                  <pic:spPr bwMode="auto">
                    <a:xfrm>
                      <a:off x="0" y="0"/>
                      <a:ext cx="2091055" cy="6350"/>
                    </a:xfrm>
                    <a:prstGeom prst="rect">
                      <a:avLst/>
                    </a:prstGeom>
                    <a:noFill/>
                  </pic:spPr>
                </pic:pic>
              </a:graphicData>
            </a:graphic>
          </wp:anchor>
        </w:drawing>
      </w:r>
    </w:p>
    <w:p>
      <w:pPr>
        <w:ind w:left="60"/>
        <w:spacing w:after="0"/>
        <w:tabs>
          <w:tab w:leader="none" w:pos="740" w:val="left"/>
        </w:tabs>
        <w:rPr>
          <w:sz w:val="20"/>
          <w:szCs w:val="20"/>
          <w:color w:val="auto"/>
        </w:rPr>
      </w:pPr>
      <w:r>
        <w:rPr>
          <w:rFonts w:ascii="Times New Roman" w:cs="Times New Roman" w:eastAsia="Times New Roman" w:hAnsi="Times New Roman"/>
          <w:sz w:val="20"/>
          <w:szCs w:val="20"/>
          <w:color w:val="auto"/>
        </w:rPr>
        <w:t>97.1</w:t>
      </w:r>
      <w:r>
        <w:rPr>
          <w:sz w:val="20"/>
          <w:szCs w:val="20"/>
          <w:color w:val="auto"/>
        </w:rPr>
        <w:tab/>
      </w:r>
      <w:r>
        <w:rPr>
          <w:rFonts w:ascii="Times New Roman" w:cs="Times New Roman" w:eastAsia="Times New Roman" w:hAnsi="Times New Roman"/>
          <w:sz w:val="19"/>
          <w:szCs w:val="19"/>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wp:posOffset>
            </wp:positionV>
            <wp:extent cx="86423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7">
                      <a:extLst>
                        <a:ext uri="{28A0092B-C50C-407E-A947-70E740481C1C}"/>
                      </a:extLst>
                    </a:blip>
                    <a:srcRect/>
                    <a:stretch>
                      <a:fillRect/>
                    </a:stretch>
                  </pic:blipFill>
                  <pic:spPr bwMode="auto">
                    <a:xfrm>
                      <a:off x="0" y="0"/>
                      <a:ext cx="864235" cy="6350"/>
                    </a:xfrm>
                    <a:prstGeom prst="rect">
                      <a:avLst/>
                    </a:prstGeom>
                    <a:noFill/>
                  </pic:spPr>
                </pic:pic>
              </a:graphicData>
            </a:graphic>
          </wp:anchor>
        </w:drawing>
      </w:r>
    </w:p>
    <w:p>
      <w:pPr>
        <w:ind w:left="760" w:hanging="866"/>
        <w:spacing w:after="0" w:line="248" w:lineRule="auto"/>
        <w:tabs>
          <w:tab w:leader="none" w:pos="740" w:val="left"/>
        </w:tabs>
        <w:rPr>
          <w:sz w:val="20"/>
          <w:szCs w:val="20"/>
          <w:color w:val="auto"/>
        </w:rPr>
      </w:pPr>
      <w:r>
        <w:rPr>
          <w:rFonts w:ascii="Times New Roman" w:cs="Times New Roman" w:eastAsia="Times New Roman" w:hAnsi="Times New Roman"/>
          <w:sz w:val="20"/>
          <w:szCs w:val="20"/>
          <w:color w:val="auto"/>
        </w:rPr>
        <w:t>101.INS</w:t>
        <w:tab/>
        <w:t>Inline XBRL Instance - The instance document does not appear in the Interactive Data File because its XBRL tags are embedded within the Inline XBRL document.</w:t>
      </w:r>
    </w:p>
    <w:p>
      <w:pPr>
        <w:sectPr>
          <w:pgSz w:w="12240" w:h="15840" w:orient="portrait"/>
          <w:cols w:equalWidth="0" w:num="1">
            <w:col w:w="10560"/>
          </w:cols>
          <w:pgMar w:left="960" w:top="700" w:right="720" w:bottom="175" w:gutter="0" w:footer="0" w:header="0"/>
        </w:sectPr>
      </w:pPr>
    </w:p>
    <w:p>
      <w:pPr>
        <w:spacing w:after="0" w:line="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560"/>
          </w:cols>
          <w:pgMar w:left="960" w:top="700" w:right="720" w:bottom="175" w:gutter="0" w:footer="0" w:header="0"/>
          <w:type w:val="continuous"/>
        </w:sectPr>
      </w:pPr>
    </w:p>
    <w:bookmarkStart w:id="54" w:name="page55"/>
    <w:bookmarkEnd w:id="54"/>
    <w:tbl>
      <w:tblPr>
        <w:tblLayout w:type="fixed"/>
        <w:tblInd w:w="1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3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Schema.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3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Calculation.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3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Definition.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3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Labels.</w:t>
            </w:r>
          </w:p>
        </w:tc>
      </w:tr>
      <w:tr>
        <w:trPr>
          <w:trHeight w:val="258"/>
        </w:trPr>
        <w:tc>
          <w:tcPr>
            <w:tcW w:w="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101.PRE</w:t>
            </w:r>
          </w:p>
        </w:tc>
        <w:tc>
          <w:tcPr>
            <w:tcW w:w="39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Inline XBRL Taxonomy Extension Presentation.</w:t>
            </w:r>
          </w:p>
        </w:tc>
      </w:tr>
    </w:tbl>
    <w:p>
      <w:pPr>
        <w:ind w:left="1000" w:hanging="681"/>
        <w:spacing w:after="0"/>
        <w:tabs>
          <w:tab w:leader="none" w:pos="100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w:t>
      </w:r>
    </w:p>
    <w:p>
      <w:pPr>
        <w:ind w:left="360" w:hanging="360"/>
        <w:spacing w:after="0"/>
        <w:tabs>
          <w:tab w:leader="none" w:pos="3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 or arrangement</w:t>
      </w:r>
    </w:p>
    <w:p>
      <w:pPr>
        <w:ind w:left="360" w:hanging="360"/>
        <w:spacing w:after="0" w:line="248" w:lineRule="auto"/>
        <w:tabs>
          <w:tab w:leader="none" w:pos="3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identified information has been excluded from this exhibit because it is both (i) not material and (ii) would be competitively harmful if publicly disclosed.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16. </w:t>
      </w:r>
      <w:r>
        <w:rPr>
          <w:rFonts w:ascii="Times New Roman" w:cs="Times New Roman" w:eastAsia="Times New Roman" w:hAnsi="Times New Roman"/>
          <w:sz w:val="20"/>
          <w:szCs w:val="20"/>
          <w:b w:val="1"/>
          <w:bCs w:val="1"/>
          <w:u w:val="single" w:color="auto"/>
          <w:color w:val="auto"/>
        </w:rPr>
        <w:t>Form 10-K Summary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elected not to provide summary information.</w:t>
      </w:r>
    </w:p>
    <w:p>
      <w:pPr>
        <w:sectPr>
          <w:pgSz w:w="12240" w:h="15840" w:orient="portrait"/>
          <w:cols w:equalWidth="0" w:num="1">
            <w:col w:w="10800"/>
          </w:cols>
          <w:pgMar w:left="720" w:top="70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700" w:right="720" w:bottom="175"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MICROBOT MEDICAL INC.</w:t>
      </w:r>
    </w:p>
    <w:p>
      <w:pPr>
        <w:spacing w:after="0" w:line="23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i w:val="1"/>
          <w:iCs w:val="1"/>
          <w:color w:val="auto"/>
        </w:rPr>
        <w:t>/s/ Harel Gadot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2190115</wp:posOffset>
                </wp:positionH>
                <wp:positionV relativeFrom="paragraph">
                  <wp:posOffset>20320</wp:posOffset>
                </wp:positionV>
                <wp:extent cx="466788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88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5pt,1.6pt" to="540pt,1.6pt" o:allowincell="f" strokecolor="#000000" strokeweight="1.5pt"/>
            </w:pict>
          </mc:Fallback>
        </mc:AlternateConten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Harel Gadot</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President, Chief Executive Officer and Chairman</w:t>
      </w:r>
    </w:p>
    <w:p>
      <w:pPr>
        <w:spacing w:after="0"/>
        <w:rPr>
          <w:sz w:val="20"/>
          <w:szCs w:val="20"/>
          <w:color w:val="auto"/>
        </w:rPr>
      </w:pPr>
      <w:r>
        <w:rPr>
          <w:rFonts w:ascii="Times New Roman" w:cs="Times New Roman" w:eastAsia="Times New Roman" w:hAnsi="Times New Roman"/>
          <w:sz w:val="20"/>
          <w:szCs w:val="20"/>
          <w:color w:val="auto"/>
        </w:rPr>
        <w:t>Dated: March 27, 2024</w:t>
      </w:r>
    </w:p>
    <w:p>
      <w:pPr>
        <w:spacing w:after="0" w:line="20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80" w:type="dxa"/>
            <w:vAlign w:val="bottom"/>
          </w:tcPr>
          <w:p>
            <w:pPr>
              <w:spacing w:after="0"/>
              <w:rPr>
                <w:sz w:val="22"/>
                <w:szCs w:val="22"/>
                <w:color w:val="auto"/>
              </w:rPr>
            </w:pPr>
          </w:p>
        </w:tc>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Title</w:t>
            </w:r>
          </w:p>
        </w:tc>
        <w:tc>
          <w:tcPr>
            <w:tcW w:w="6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470"/>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Harel Gadot</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2024</w:t>
            </w:r>
          </w:p>
        </w:tc>
      </w:tr>
      <w:tr>
        <w:trPr>
          <w:trHeight w:val="274"/>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Harel Gadot</w:t>
            </w:r>
          </w:p>
        </w:tc>
        <w:tc>
          <w:tcPr>
            <w:tcW w:w="8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2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Rachel Vaknin</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2024</w:t>
            </w:r>
          </w:p>
        </w:tc>
      </w:tr>
      <w:tr>
        <w:trPr>
          <w:trHeight w:val="274"/>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Rachel Vaknin</w:t>
            </w:r>
          </w:p>
        </w:tc>
        <w:tc>
          <w:tcPr>
            <w:tcW w:w="8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2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Yoseph Bornstein</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2024</w:t>
            </w:r>
          </w:p>
        </w:tc>
      </w:tr>
      <w:tr>
        <w:trPr>
          <w:trHeight w:val="274"/>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Yoseph Bornstein</w:t>
            </w:r>
          </w:p>
        </w:tc>
        <w:tc>
          <w:tcPr>
            <w:tcW w:w="8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2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Prattipati Laxminarain</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2024</w:t>
            </w:r>
          </w:p>
        </w:tc>
      </w:tr>
      <w:tr>
        <w:trPr>
          <w:trHeight w:val="274"/>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Prattipati Laxminarain</w:t>
            </w:r>
          </w:p>
        </w:tc>
        <w:tc>
          <w:tcPr>
            <w:tcW w:w="8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2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Scott Burell</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2024</w:t>
            </w:r>
          </w:p>
        </w:tc>
      </w:tr>
      <w:tr>
        <w:trPr>
          <w:trHeight w:val="274"/>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Scott Burell</w:t>
            </w:r>
          </w:p>
        </w:tc>
        <w:tc>
          <w:tcPr>
            <w:tcW w:w="8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2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Martin Madden</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2024</w:t>
            </w:r>
          </w:p>
        </w:tc>
      </w:tr>
      <w:tr>
        <w:trPr>
          <w:trHeight w:val="274"/>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Martin Madden</w:t>
            </w:r>
          </w:p>
        </w:tc>
        <w:tc>
          <w:tcPr>
            <w:tcW w:w="8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2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Aileen Stockburger</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2024</w:t>
            </w:r>
          </w:p>
        </w:tc>
      </w:tr>
      <w:tr>
        <w:trPr>
          <w:trHeight w:val="274"/>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Aileen Stockburger</w:t>
            </w:r>
          </w:p>
        </w:tc>
        <w:tc>
          <w:tcPr>
            <w:tcW w:w="8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2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Tal Wenderow</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2024</w:t>
            </w:r>
          </w:p>
        </w:tc>
      </w:tr>
      <w:tr>
        <w:trPr>
          <w:trHeight w:val="274"/>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Tal Wenderow</w:t>
            </w:r>
          </w:p>
        </w:tc>
        <w:tc>
          <w:tcPr>
            <w:tcW w:w="8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r>
    </w:tbl>
    <w:p>
      <w:pPr>
        <w:sectPr>
          <w:pgSz w:w="12240" w:h="15840" w:orient="portrait"/>
          <w:cols w:equalWidth="0" w:num="1">
            <w:col w:w="10800"/>
          </w:cols>
          <w:pgMar w:left="720" w:top="926" w:right="720"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780" w:type="dxa"/>
            <w:vAlign w:val="bottom"/>
          </w:tcPr>
          <w:p>
            <w:pPr>
              <w:ind w:left="4100"/>
              <w:spacing w:after="0"/>
              <w:rPr>
                <w:sz w:val="20"/>
                <w:szCs w:val="20"/>
                <w:color w:val="auto"/>
              </w:rPr>
            </w:pPr>
            <w:r>
              <w:rPr>
                <w:rFonts w:ascii="Times New Roman" w:cs="Times New Roman" w:eastAsia="Times New Roman" w:hAnsi="Times New Roman"/>
                <w:sz w:val="20"/>
                <w:szCs w:val="20"/>
                <w:b w:val="1"/>
                <w:bCs w:val="1"/>
                <w:color w:val="auto"/>
              </w:rPr>
              <w:t>MICROBOT MEDICAL INC.</w:t>
            </w:r>
          </w:p>
        </w:tc>
        <w:tc>
          <w:tcPr>
            <w:tcW w:w="1020" w:type="dxa"/>
            <w:vAlign w:val="bottom"/>
          </w:tcPr>
          <w:p>
            <w:pPr>
              <w:spacing w:after="0"/>
              <w:rPr>
                <w:sz w:val="23"/>
                <w:szCs w:val="23"/>
                <w:color w:val="auto"/>
              </w:rPr>
            </w:pPr>
          </w:p>
        </w:tc>
      </w:tr>
      <w:tr>
        <w:trPr>
          <w:trHeight w:val="460"/>
        </w:trPr>
        <w:tc>
          <w:tcPr>
            <w:tcW w:w="9780" w:type="dxa"/>
            <w:vAlign w:val="bottom"/>
          </w:tcPr>
          <w:p>
            <w:pPr>
              <w:ind w:left="3600"/>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tc>
        <w:tc>
          <w:tcPr>
            <w:tcW w:w="1020" w:type="dxa"/>
            <w:vAlign w:val="bottom"/>
          </w:tcPr>
          <w:p>
            <w:pPr>
              <w:spacing w:after="0"/>
              <w:rPr>
                <w:sz w:val="24"/>
                <w:szCs w:val="24"/>
                <w:color w:val="auto"/>
              </w:rPr>
            </w:pPr>
          </w:p>
        </w:tc>
      </w:tr>
      <w:tr>
        <w:trPr>
          <w:trHeight w:val="449"/>
        </w:trPr>
        <w:tc>
          <w:tcPr>
            <w:tcW w:w="978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77"/>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No. 1197)</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F-2 - F-3</w:t>
            </w:r>
          </w:p>
        </w:tc>
      </w:tr>
      <w:tr>
        <w:trPr>
          <w:trHeight w:val="46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2023, and 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F-4</w:t>
            </w:r>
          </w:p>
        </w:tc>
      </w:tr>
      <w:tr>
        <w:trPr>
          <w:trHeight w:val="46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 for the years ended December 31, 2023 and 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F-5</w:t>
            </w:r>
          </w:p>
        </w:tc>
      </w:tr>
      <w:tr>
        <w:trPr>
          <w:trHeight w:val="46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Shareholders’ Equity for the years ended December 31, 2023 and 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r>
      <w:tr>
        <w:trPr>
          <w:trHeight w:val="46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2023 and 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F-7</w:t>
            </w:r>
          </w:p>
        </w:tc>
      </w:tr>
      <w:tr>
        <w:trPr>
          <w:trHeight w:val="46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Notes to the Consolidated Financial Statements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F-8 - F-23</w:t>
            </w:r>
          </w:p>
        </w:tc>
      </w:tr>
    </w:tbl>
    <w:p>
      <w:pPr>
        <w:spacing w:after="0" w:line="200" w:lineRule="exact"/>
        <w:rPr>
          <w:sz w:val="20"/>
          <w:szCs w:val="20"/>
          <w:color w:val="auto"/>
        </w:rPr>
      </w:pP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800"/>
          </w:cols>
          <w:pgMar w:left="720" w:top="926" w:right="720" w:bottom="175" w:gutter="0" w:footer="0" w:header="0"/>
          <w:type w:val="continuous"/>
        </w:sectPr>
      </w:pPr>
    </w:p>
    <w:bookmarkStart w:id="57" w:name="page58"/>
    <w:bookmarkEnd w:id="57"/>
    <w:p>
      <w:pPr>
        <w:spacing w:after="0" w:line="2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wp:posOffset>
            </wp:positionH>
            <wp:positionV relativeFrom="page">
              <wp:posOffset>457200</wp:posOffset>
            </wp:positionV>
            <wp:extent cx="2286000" cy="5048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2286000" cy="504825"/>
                    </a:xfrm>
                    <a:prstGeom prst="rect">
                      <a:avLst/>
                    </a:prstGeom>
                    <a:noFill/>
                  </pic:spPr>
                </pic:pic>
              </a:graphicData>
            </a:graphic>
          </wp:anchor>
        </w:drawing>
      </w:r>
    </w:p>
    <w:p>
      <w:pPr>
        <w:ind w:right="3940"/>
        <w:spacing w:after="0" w:line="366"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Microbot Medical Inc.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Microbot Medical Inc. and its subsidiary (the “Company”) as of December 31, 2023 and 2022, and the related consolidated statements of comprehensive loss,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Going Concern</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accompanying financial statements have been prepared assuming that the Company will continue as a going concern. As discussed in Note 1B to the financial statements, the Company’s financial statements include a net loss of $ 10,740 thousand for the year ended December 31, 2023 and accumulated deficit of $ 79,501 thousand as of December 31, 2023. The Company is dependent on its ability to obtain additional debt and/or equity in order to continue its operations. These conditions raise substantial doubt about its ability to continue as a going concern. The financial statements do not include any adjustments that might result from the outcome of this uncertainty.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800"/>
          </w:cols>
          <w:pgMar w:left="720" w:top="1440" w:right="720" w:bottom="175" w:gutter="0" w:footer="0" w:header="0"/>
        </w:sectPr>
      </w:pPr>
    </w:p>
    <w:bookmarkStart w:id="58" w:name="page59"/>
    <w:bookmarkEnd w:id="58"/>
    <w:p>
      <w:pPr>
        <w:spacing w:after="0" w:line="2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wp:posOffset>
            </wp:positionH>
            <wp:positionV relativeFrom="page">
              <wp:posOffset>457200</wp:posOffset>
            </wp:positionV>
            <wp:extent cx="2286000" cy="5048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2286000" cy="504825"/>
                    </a:xfrm>
                    <a:prstGeom prst="rect">
                      <a:avLst/>
                    </a:prstGeom>
                    <a:noFill/>
                  </pic:spPr>
                </pic:pic>
              </a:graphicData>
            </a:graphic>
          </wp:anchor>
        </w:drawing>
      </w:r>
    </w:p>
    <w:p>
      <w:pPr>
        <w:spacing w:after="0" w:line="367" w:lineRule="auto"/>
        <w:rPr>
          <w:sz w:val="20"/>
          <w:szCs w:val="20"/>
          <w:color w:val="auto"/>
        </w:rPr>
      </w:pPr>
      <w:r>
        <w:rPr>
          <w:rFonts w:ascii="Times New Roman" w:cs="Times New Roman" w:eastAsia="Times New Roman" w:hAnsi="Times New Roman"/>
          <w:sz w:val="20"/>
          <w:szCs w:val="20"/>
          <w:b w:val="1"/>
          <w:bCs w:val="1"/>
          <w:color w:val="auto"/>
        </w:rPr>
        <w:t xml:space="preserve">Contingencies - Settlement of litigation resulting from the 2017 financing - Refer to Notes 9G and 16C to the financial statements. </w:t>
      </w:r>
      <w:r>
        <w:rPr>
          <w:rFonts w:ascii="Times New Roman" w:cs="Times New Roman" w:eastAsia="Times New Roman" w:hAnsi="Times New Roman"/>
          <w:sz w:val="20"/>
          <w:szCs w:val="20"/>
          <w:color w:val="auto"/>
        </w:rPr>
        <w:t>Critical Audit Matter Description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January 26, 2024, the Company entered into a settlement agreement and release with third parties, effectively resolving a lawsuit brought against the Company in 2020. The lawsuit stemmed from securities purchase agreements made between the Company and the third parties in 2017. The settlement amount consisted of a cash payment and shares of restricted common stock.</w:t>
      </w:r>
    </w:p>
    <w:p>
      <w:pPr>
        <w:spacing w:after="0" w:line="6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The Company concluded that the settlement agreement gave rise to loss contingency in the scope of Accounting Standards Codification Subtopic 450-20, Contingencies - Loss Contingencies, and as of December 31, 2023, the Company recorded a contingent liability.</w:t>
      </w:r>
    </w:p>
    <w:p>
      <w:pPr>
        <w:spacing w:after="0" w:line="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settlement amount was recorded in the Company’s consolidated financial statements as non-operating loss, offset by loss recovery received from the Company’s insurance company.</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Given the significant judgments made by management with respect to the contingent liability arising from the settlement agreement and the loss recovery received from the Company’s insurance company, performing audit procedures to evaluate the reasonableness of management’s assumptions and conclusions concerning the recognition and measurement of the contingent liability and the insurance recovery receivables, required a high degree of auditor judgment and an increased extent of effort.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How the Critical Audit Matter Was Addressed in the Audit</w:t>
      </w:r>
    </w:p>
    <w:p>
      <w:pPr>
        <w:spacing w:after="0" w:line="134" w:lineRule="exact"/>
        <w:rPr>
          <w:sz w:val="20"/>
          <w:szCs w:val="20"/>
          <w:color w:val="auto"/>
        </w:rPr>
      </w:pPr>
    </w:p>
    <w:p>
      <w:pPr>
        <w:ind w:left="720" w:right="220" w:hanging="360"/>
        <w:spacing w:after="0" w:line="247" w:lineRule="auto"/>
        <w:tabs>
          <w:tab w:leader="none" w:pos="720" w:val="left"/>
        </w:tabs>
        <w:numPr>
          <w:ilvl w:val="0"/>
          <w:numId w:val="4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read the settlement agreement, agreement with the Company’s insurance company, and other supporting documentation, followed by inquiries with the Company’s external counsel and general counsel regarding the details of the agreements.</w:t>
      </w:r>
    </w:p>
    <w:p>
      <w:pPr>
        <w:spacing w:after="0" w:line="2" w:lineRule="exact"/>
        <w:rPr>
          <w:rFonts w:ascii="PMingLiU" w:cs="PMingLiU" w:eastAsia="PMingLiU" w:hAnsi="PMingLiU"/>
          <w:sz w:val="20"/>
          <w:szCs w:val="20"/>
          <w:color w:val="auto"/>
        </w:rPr>
      </w:pPr>
    </w:p>
    <w:p>
      <w:pPr>
        <w:ind w:left="720" w:right="40" w:hanging="360"/>
        <w:spacing w:after="0"/>
        <w:tabs>
          <w:tab w:leader="none" w:pos="720" w:val="left"/>
        </w:tabs>
        <w:numPr>
          <w:ilvl w:val="0"/>
          <w:numId w:val="4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●With the assistance of our technical accounting specialists, we evaluated the management’s assessment and conclusion with regards to the accounting treatment of the settlement agreement and loss recovery received from the Company’s insurance company. Our procedures included evaluating the Company’s accounting memorandum and inquires with the management with regard to judgements made.</w:t>
      </w:r>
    </w:p>
    <w:p>
      <w:pPr>
        <w:spacing w:after="0" w:line="1" w:lineRule="exact"/>
        <w:rPr>
          <w:rFonts w:ascii="PMingLiU" w:cs="PMingLiU" w:eastAsia="PMingLiU" w:hAnsi="PMingLiU"/>
          <w:sz w:val="20"/>
          <w:szCs w:val="20"/>
          <w:color w:val="auto"/>
        </w:rPr>
      </w:pPr>
    </w:p>
    <w:p>
      <w:pPr>
        <w:ind w:left="720" w:hanging="360"/>
        <w:spacing w:after="0"/>
        <w:tabs>
          <w:tab w:leader="none" w:pos="720" w:val="left"/>
        </w:tabs>
        <w:numPr>
          <w:ilvl w:val="0"/>
          <w:numId w:val="4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evaluated the Company’s calculation of the contingent liability.</w:t>
      </w:r>
    </w:p>
    <w:p>
      <w:pPr>
        <w:spacing w:after="0" w:line="1" w:lineRule="exact"/>
        <w:rPr>
          <w:rFonts w:ascii="PMingLiU" w:cs="PMingLiU" w:eastAsia="PMingLiU" w:hAnsi="PMingLiU"/>
          <w:sz w:val="20"/>
          <w:szCs w:val="20"/>
          <w:color w:val="auto"/>
        </w:rPr>
      </w:pPr>
    </w:p>
    <w:p>
      <w:pPr>
        <w:jc w:val="both"/>
        <w:ind w:left="720" w:right="260" w:hanging="360"/>
        <w:spacing w:after="0"/>
        <w:tabs>
          <w:tab w:leader="none" w:pos="720" w:val="left"/>
        </w:tabs>
        <w:numPr>
          <w:ilvl w:val="0"/>
          <w:numId w:val="4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evaluated the appropriateness of the disclosures in the financial statements pertinent to the settlement agreement and loss recovery received from the Company’s insurance company by comparing management’s disclosures to audit evidence obtained.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Brightman Almagor Zohar &amp; Co.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Brightman Almagor Zohar &amp; Co.</w:t>
      </w:r>
    </w:p>
    <w:p>
      <w:pPr>
        <w:spacing w:after="0"/>
        <w:rPr>
          <w:sz w:val="20"/>
          <w:szCs w:val="20"/>
          <w:color w:val="auto"/>
        </w:rPr>
      </w:pPr>
      <w:r>
        <w:rPr>
          <w:rFonts w:ascii="Times New Roman" w:cs="Times New Roman" w:eastAsia="Times New Roman" w:hAnsi="Times New Roman"/>
          <w:sz w:val="20"/>
          <w:szCs w:val="20"/>
          <w:color w:val="auto"/>
        </w:rPr>
        <w:t>Certified Public Accountants</w:t>
      </w:r>
    </w:p>
    <w:p>
      <w:pPr>
        <w:spacing w:after="0"/>
        <w:rPr>
          <w:sz w:val="20"/>
          <w:szCs w:val="20"/>
          <w:color w:val="auto"/>
        </w:rPr>
      </w:pPr>
      <w:r>
        <w:rPr>
          <w:rFonts w:ascii="Times New Roman" w:cs="Times New Roman" w:eastAsia="Times New Roman" w:hAnsi="Times New Roman"/>
          <w:sz w:val="20"/>
          <w:szCs w:val="20"/>
          <w:color w:val="auto"/>
        </w:rPr>
        <w:t>A firm in the Deloitte Global Network</w:t>
      </w:r>
    </w:p>
    <w:p>
      <w:pPr>
        <w:spacing w:after="0"/>
        <w:rPr>
          <w:sz w:val="20"/>
          <w:szCs w:val="20"/>
          <w:color w:val="auto"/>
        </w:rPr>
      </w:pPr>
      <w:r>
        <w:rPr>
          <w:rFonts w:ascii="Times New Roman" w:cs="Times New Roman" w:eastAsia="Times New Roman" w:hAnsi="Times New Roman"/>
          <w:sz w:val="20"/>
          <w:szCs w:val="20"/>
          <w:color w:val="auto"/>
        </w:rPr>
        <w:t>Tel Aviv, Israel</w:t>
      </w:r>
    </w:p>
    <w:p>
      <w:pPr>
        <w:spacing w:after="0"/>
        <w:rPr>
          <w:sz w:val="20"/>
          <w:szCs w:val="20"/>
          <w:color w:val="auto"/>
        </w:rPr>
      </w:pPr>
      <w:r>
        <w:rPr>
          <w:rFonts w:ascii="Times New Roman" w:cs="Times New Roman" w:eastAsia="Times New Roman" w:hAnsi="Times New Roman"/>
          <w:sz w:val="20"/>
          <w:szCs w:val="20"/>
          <w:color w:val="auto"/>
        </w:rPr>
        <w:t>March 27,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12065</wp:posOffset>
            </wp:positionV>
            <wp:extent cx="5943600" cy="1800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0">
                      <a:extLst>
                        <a:ext uri="{28A0092B-C50C-407E-A947-70E740481C1C}"/>
                      </a:extLst>
                    </a:blip>
                    <a:srcRect/>
                    <a:stretch>
                      <a:fillRect/>
                    </a:stretch>
                  </pic:blipFill>
                  <pic:spPr bwMode="auto">
                    <a:xfrm>
                      <a:off x="0" y="0"/>
                      <a:ext cx="59436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800"/>
          </w:cols>
          <w:pgMar w:left="720" w:top="1440" w:right="720" w:bottom="175"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jc w:val="center"/>
        <w:spacing w:after="0"/>
        <w:rPr>
          <w:sz w:val="20"/>
          <w:szCs w:val="20"/>
          <w:color w:val="auto"/>
        </w:rPr>
      </w:pPr>
      <w:r>
        <w:rPr>
          <w:rFonts w:ascii="Times New Roman" w:cs="Times New Roman" w:eastAsia="Times New Roman" w:hAnsi="Times New Roman"/>
          <w:sz w:val="20"/>
          <w:szCs w:val="20"/>
          <w:b w:val="1"/>
          <w:bCs w:val="1"/>
          <w:color w:val="auto"/>
        </w:rPr>
        <w:t>(Except share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8"/>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As of December</w:t>
            </w:r>
          </w:p>
        </w:tc>
        <w:tc>
          <w:tcPr>
            <w:tcW w:w="0" w:type="dxa"/>
            <w:vAlign w:val="bottom"/>
          </w:tcPr>
          <w:p>
            <w:pPr>
              <w:spacing w:after="0"/>
              <w:rPr>
                <w:sz w:val="1"/>
                <w:szCs w:val="1"/>
                <w:color w:val="auto"/>
              </w:rPr>
            </w:pPr>
          </w:p>
        </w:tc>
      </w:tr>
      <w:tr>
        <w:trPr>
          <w:trHeight w:val="263"/>
        </w:trPr>
        <w:tc>
          <w:tcPr>
            <w:tcW w:w="8600" w:type="dxa"/>
            <w:vAlign w:val="bottom"/>
          </w:tcPr>
          <w:p>
            <w:pPr>
              <w:spacing w:after="0"/>
              <w:rPr>
                <w:sz w:val="22"/>
                <w:szCs w:val="22"/>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w w:val="96"/>
              </w:rPr>
              <w:t>Notes</w:t>
            </w: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c>
          <w:tcPr>
            <w:tcW w:w="6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ASSETS</w:t>
            </w:r>
          </w:p>
        </w:tc>
        <w:tc>
          <w:tcPr>
            <w:tcW w:w="4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6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2,468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2,442</w:t>
            </w: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Marketable securities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5,760</w:t>
            </w: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Short-term deposit</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cash</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Insurance recovery receivable related to legal settlement and legal expenses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16C</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1,335</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9"/>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152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532</w:t>
            </w:r>
          </w:p>
        </w:tc>
        <w:tc>
          <w:tcPr>
            <w:tcW w:w="0" w:type="dxa"/>
            <w:vAlign w:val="bottom"/>
          </w:tcPr>
          <w:p>
            <w:pPr>
              <w:spacing w:after="0"/>
              <w:rPr>
                <w:sz w:val="1"/>
                <w:szCs w:val="1"/>
                <w:color w:val="auto"/>
              </w:rPr>
            </w:pPr>
          </w:p>
        </w:tc>
      </w:tr>
      <w:tr>
        <w:trPr>
          <w:trHeight w:val="266"/>
        </w:trPr>
        <w:tc>
          <w:tcPr>
            <w:tcW w:w="8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7,921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8,814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4"/>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146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221</w:t>
            </w:r>
          </w:p>
        </w:tc>
        <w:tc>
          <w:tcPr>
            <w:tcW w:w="0" w:type="dxa"/>
            <w:vAlign w:val="bottom"/>
          </w:tcPr>
          <w:p>
            <w:pPr>
              <w:spacing w:after="0"/>
              <w:rPr>
                <w:sz w:val="1"/>
                <w:szCs w:val="1"/>
                <w:color w:val="auto"/>
              </w:rPr>
            </w:pPr>
          </w:p>
        </w:tc>
      </w:tr>
      <w:tr>
        <w:trPr>
          <w:trHeight w:val="259"/>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Operating right-of-use assets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260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502</w:t>
            </w:r>
          </w:p>
        </w:tc>
        <w:tc>
          <w:tcPr>
            <w:tcW w:w="0" w:type="dxa"/>
            <w:vAlign w:val="bottom"/>
          </w:tcPr>
          <w:p>
            <w:pPr>
              <w:spacing w:after="0"/>
              <w:rPr>
                <w:sz w:val="1"/>
                <w:szCs w:val="1"/>
                <w:color w:val="auto"/>
              </w:rPr>
            </w:pPr>
          </w:p>
        </w:tc>
      </w:tr>
      <w:tr>
        <w:trPr>
          <w:trHeight w:val="230"/>
        </w:trPr>
        <w:tc>
          <w:tcPr>
            <w:tcW w:w="8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assets</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8,327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 AND SHAREHOLDERS’ EQUITY</w:t>
            </w: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6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Trade accounts payables</w:t>
            </w:r>
          </w:p>
        </w:tc>
        <w:tc>
          <w:tcPr>
            <w:tcW w:w="4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357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w:t>
            </w: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 liabilities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283</w:t>
            </w: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Legal settlement accrual</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16C</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2,211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9"/>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liabilities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1,027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1,670</w:t>
            </w:r>
          </w:p>
        </w:tc>
        <w:tc>
          <w:tcPr>
            <w:tcW w:w="0" w:type="dxa"/>
            <w:vAlign w:val="bottom"/>
          </w:tcPr>
          <w:p>
            <w:pPr>
              <w:spacing w:after="0"/>
              <w:rPr>
                <w:sz w:val="1"/>
                <w:szCs w:val="1"/>
                <w:color w:val="auto"/>
              </w:rPr>
            </w:pPr>
          </w:p>
        </w:tc>
      </w:tr>
      <w:tr>
        <w:trPr>
          <w:trHeight w:val="266"/>
        </w:trPr>
        <w:tc>
          <w:tcPr>
            <w:tcW w:w="8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3,786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4"/>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179</w:t>
            </w:r>
          </w:p>
        </w:tc>
        <w:tc>
          <w:tcPr>
            <w:tcW w:w="0" w:type="dxa"/>
            <w:vAlign w:val="bottom"/>
          </w:tcPr>
          <w:p>
            <w:pPr>
              <w:spacing w:after="0"/>
              <w:rPr>
                <w:sz w:val="1"/>
                <w:szCs w:val="1"/>
                <w:color w:val="auto"/>
              </w:rPr>
            </w:pPr>
          </w:p>
        </w:tc>
      </w:tr>
      <w:tr>
        <w:trPr>
          <w:trHeight w:val="240"/>
        </w:trPr>
        <w:tc>
          <w:tcPr>
            <w:tcW w:w="8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3,826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w:t>
            </w: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Shareholders’ equity:</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$0.01 par value; 60,000,000 shares authorized as of December 31, 2023 and 2022;</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11,707,317 and 7,890,628 shares issued and outstanding as of December 31, 2023 and 2022, respectively.</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118</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83,884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75,970</w:t>
            </w:r>
          </w:p>
        </w:tc>
        <w:tc>
          <w:tcPr>
            <w:tcW w:w="0" w:type="dxa"/>
            <w:vAlign w:val="bottom"/>
          </w:tcPr>
          <w:p>
            <w:pPr>
              <w:spacing w:after="0"/>
              <w:rPr>
                <w:sz w:val="1"/>
                <w:szCs w:val="1"/>
                <w:color w:val="auto"/>
              </w:rPr>
            </w:pPr>
          </w:p>
        </w:tc>
      </w:tr>
      <w:tr>
        <w:trPr>
          <w:trHeight w:val="259"/>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w w:val="99"/>
              </w:rPr>
              <w:t>(79,501)</w:t>
            </w: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(68,761)</w:t>
            </w:r>
          </w:p>
        </w:tc>
        <w:tc>
          <w:tcPr>
            <w:tcW w:w="0" w:type="dxa"/>
            <w:vAlign w:val="bottom"/>
          </w:tcPr>
          <w:p>
            <w:pPr>
              <w:spacing w:after="0"/>
              <w:rPr>
                <w:sz w:val="1"/>
                <w:szCs w:val="1"/>
                <w:color w:val="auto"/>
              </w:rPr>
            </w:pPr>
          </w:p>
        </w:tc>
      </w:tr>
      <w:tr>
        <w:trPr>
          <w:trHeight w:val="240"/>
        </w:trPr>
        <w:tc>
          <w:tcPr>
            <w:tcW w:w="8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shareholders’ equity</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4,501</w:t>
            </w:r>
          </w:p>
        </w:tc>
        <w:tc>
          <w:tcPr>
            <w:tcW w:w="40" w:type="dxa"/>
            <w:vAlign w:val="bottom"/>
            <w:tcBorders>
              <w:bottom w:val="single" w:sz="8" w:color="auto"/>
            </w:tcBorders>
            <w:gridSpan w:val="2"/>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liabilities and shareholders’ equity</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8,327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these consolidated financial statements.</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800"/>
          </w:cols>
          <w:pgMar w:left="720" w:top="696" w:right="720" w:bottom="175" w:gutter="0" w:footer="0" w:header="0"/>
          <w:type w:val="continuous"/>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Comprehensive Loss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(Except share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7"/>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Notes</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80" w:type="dxa"/>
            <w:vAlign w:val="bottom"/>
            <w:gridSpan w:val="7"/>
          </w:tcPr>
          <w:p>
            <w:pPr>
              <w:jc w:val="right"/>
              <w:ind w:right="8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40"/>
        </w:trPr>
        <w:tc>
          <w:tcPr>
            <w:tcW w:w="71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Research and development, net</w:t>
            </w:r>
          </w:p>
        </w:tc>
        <w:tc>
          <w:tcPr>
            <w:tcW w:w="66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12</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1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8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(5,724)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jc w:val="right"/>
              <w:ind w:right="6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(7,736)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7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 net</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(4,131)</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(5,545)</w:t>
            </w:r>
          </w:p>
        </w:tc>
        <w:tc>
          <w:tcPr>
            <w:tcW w:w="0" w:type="dxa"/>
            <w:vAlign w:val="bottom"/>
          </w:tcPr>
          <w:p>
            <w:pPr>
              <w:spacing w:after="0"/>
              <w:rPr>
                <w:sz w:val="1"/>
                <w:szCs w:val="1"/>
                <w:color w:val="auto"/>
              </w:rPr>
            </w:pPr>
          </w:p>
        </w:tc>
      </w:tr>
      <w:tr>
        <w:trPr>
          <w:trHeight w:val="266"/>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Operating loss</w:t>
            </w: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(9,855)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(13,281)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4"/>
        </w:trPr>
        <w:tc>
          <w:tcPr>
            <w:tcW w:w="7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Financing income, net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on disposal of property and equipment</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59"/>
        </w:trPr>
        <w:tc>
          <w:tcPr>
            <w:tcW w:w="7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on legal settlement, net</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16C</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(1,111)</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net loss per share</w:t>
            </w:r>
          </w:p>
        </w:tc>
        <w:tc>
          <w:tcPr>
            <w:tcW w:w="66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weighted average common shares outstanding</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10,199,984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7,260,344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these consolidated financial statements.</w:t>
      </w:r>
    </w:p>
    <w:p>
      <w:pPr>
        <w:sectPr>
          <w:pgSz w:w="12240" w:h="15840" w:orient="portrait"/>
          <w:cols w:equalWidth="0" w:num="1">
            <w:col w:w="10780"/>
          </w:cols>
          <w:pgMar w:left="720" w:top="69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780"/>
          </w:cols>
          <w:pgMar w:left="720" w:top="696" w:right="740" w:bottom="175"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jc w:val="center"/>
        <w:spacing w:after="0"/>
        <w:rPr>
          <w:sz w:val="20"/>
          <w:szCs w:val="20"/>
          <w:color w:val="auto"/>
        </w:rPr>
      </w:pPr>
      <w:r>
        <w:rPr>
          <w:rFonts w:ascii="Times New Roman" w:cs="Times New Roman" w:eastAsia="Times New Roman" w:hAnsi="Times New Roman"/>
          <w:sz w:val="20"/>
          <w:szCs w:val="20"/>
          <w:b w:val="1"/>
          <w:bCs w:val="1"/>
          <w:color w:val="auto"/>
        </w:rPr>
        <w:t>(Except share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Additional Paid-</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3"/>
        </w:trPr>
        <w:tc>
          <w:tcPr>
            <w:tcW w:w="4820" w:type="dxa"/>
            <w:vAlign w:val="bottom"/>
          </w:tcPr>
          <w:p>
            <w:pPr>
              <w:spacing w:after="0"/>
              <w:rPr>
                <w:sz w:val="22"/>
                <w:szCs w:val="22"/>
                <w:color w:val="auto"/>
              </w:rPr>
            </w:pPr>
          </w:p>
        </w:tc>
        <w:tc>
          <w:tcPr>
            <w:tcW w:w="1840" w:type="dxa"/>
            <w:vAlign w:val="bottom"/>
            <w:gridSpan w:val="6"/>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Common Stock</w:t>
            </w:r>
          </w:p>
        </w:tc>
        <w:tc>
          <w:tcPr>
            <w:tcW w:w="280" w:type="dxa"/>
            <w:vAlign w:val="bottom"/>
          </w:tcPr>
          <w:p>
            <w:pPr>
              <w:spacing w:after="0"/>
              <w:rPr>
                <w:sz w:val="22"/>
                <w:szCs w:val="22"/>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In</w:t>
            </w:r>
          </w:p>
        </w:tc>
        <w:tc>
          <w:tcPr>
            <w:tcW w:w="12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Shareholders’</w:t>
            </w:r>
          </w:p>
        </w:tc>
      </w:tr>
      <w:tr>
        <w:trPr>
          <w:trHeight w:val="240"/>
        </w:trPr>
        <w:tc>
          <w:tcPr>
            <w:tcW w:w="48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00" w:type="dxa"/>
            <w:vAlign w:val="bottom"/>
            <w:tcBorders>
              <w:top w:val="single" w:sz="8" w:color="auto"/>
            </w:tcBorders>
            <w:gridSpan w:val="2"/>
          </w:tcPr>
          <w:p>
            <w:pPr>
              <w:spacing w:after="0"/>
              <w:rPr>
                <w:sz w:val="20"/>
                <w:szCs w:val="20"/>
                <w:color w:val="auto"/>
              </w:rPr>
            </w:pPr>
          </w:p>
        </w:tc>
        <w:tc>
          <w:tcPr>
            <w:tcW w:w="7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60" w:type="dxa"/>
            <w:vAlign w:val="bottom"/>
          </w:tcPr>
          <w:p>
            <w:pPr>
              <w:spacing w:after="0"/>
              <w:rPr>
                <w:sz w:val="20"/>
                <w:szCs w:val="20"/>
                <w:color w:val="auto"/>
              </w:rPr>
            </w:pPr>
          </w:p>
        </w:tc>
      </w:tr>
      <w:tr>
        <w:trPr>
          <w:trHeight w:val="44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Balances, December 31, 2021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7,108,133</w:t>
            </w:r>
          </w:p>
        </w:tc>
        <w:tc>
          <w:tcPr>
            <w:tcW w:w="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72</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69,902</w:t>
            </w: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(55,593)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14,381</w:t>
            </w:r>
          </w:p>
        </w:tc>
        <w:tc>
          <w:tcPr>
            <w:tcW w:w="60" w:type="dxa"/>
            <w:vAlign w:val="bottom"/>
          </w:tcPr>
          <w:p>
            <w:pPr>
              <w:spacing w:after="0"/>
              <w:rPr>
                <w:sz w:val="24"/>
                <w:szCs w:val="24"/>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and warrants net of issuance</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costs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782,495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4,324</w:t>
            </w:r>
          </w:p>
        </w:tc>
        <w:tc>
          <w:tcPr>
            <w:tcW w:w="60" w:type="dxa"/>
            <w:vAlign w:val="bottom"/>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1,752</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1,752</w:t>
            </w:r>
          </w:p>
        </w:tc>
      </w:tr>
      <w:tr>
        <w:trPr>
          <w:trHeight w:val="259"/>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(13,168)</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(13,168)</w:t>
            </w:r>
          </w:p>
        </w:tc>
      </w:tr>
      <w:tr>
        <w:trPr>
          <w:trHeight w:val="211"/>
        </w:trPr>
        <w:tc>
          <w:tcPr>
            <w:tcW w:w="48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Balances, December 31, 2022</w:t>
            </w:r>
          </w:p>
        </w:tc>
        <w:tc>
          <w:tcPr>
            <w:tcW w:w="9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7,890,628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80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75,970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(68,761)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7,289</w:t>
            </w:r>
          </w:p>
        </w:tc>
        <w:tc>
          <w:tcPr>
            <w:tcW w:w="6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and warrants net of issuance</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costs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3,816,689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6,558</w:t>
            </w:r>
          </w:p>
        </w:tc>
        <w:tc>
          <w:tcPr>
            <w:tcW w:w="60" w:type="dxa"/>
            <w:vAlign w:val="bottom"/>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1,394</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1,394</w:t>
            </w:r>
          </w:p>
        </w:tc>
      </w:tr>
      <w:tr>
        <w:trPr>
          <w:trHeight w:val="259"/>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(10,740)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(10,740)</w:t>
            </w: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Balances, December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11,707,317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83,884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(79,501)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4,501</w:t>
            </w:r>
          </w:p>
        </w:tc>
        <w:tc>
          <w:tcPr>
            <w:tcW w:w="6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900" w:hanging="900"/>
        <w:spacing w:after="0"/>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issuance costs in the amount of $676.</w:t>
      </w:r>
    </w:p>
    <w:p>
      <w:pPr>
        <w:spacing w:after="0" w:line="28" w:lineRule="exact"/>
        <w:rPr>
          <w:sz w:val="20"/>
          <w:szCs w:val="20"/>
          <w:color w:val="auto"/>
        </w:rPr>
      </w:pPr>
    </w:p>
    <w:p>
      <w:pPr>
        <w:ind w:left="900" w:hanging="900"/>
        <w:spacing w:after="0"/>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issuance costs in the amount of $1,075.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these consolidated financial statements.</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800"/>
          </w:cols>
          <w:pgMar w:left="720" w:top="696" w:right="720" w:bottom="175" w:gutter="0" w:footer="0" w:header="0"/>
          <w:type w:val="continuous"/>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spacing w:after="0" w:line="198"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20"/>
          <w:szCs w:val="20"/>
          <w:b w:val="1"/>
          <w:bCs w:val="1"/>
          <w:color w:val="auto"/>
        </w:rPr>
        <w:t>For the Years Ended</w:t>
      </w:r>
    </w:p>
    <w:p>
      <w:pPr>
        <w:spacing w:after="0" w:line="23"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20"/>
          <w:szCs w:val="20"/>
          <w:b w:val="1"/>
          <w:bCs w:val="1"/>
          <w:color w:val="auto"/>
        </w:rPr>
        <w:t>December 31,</w:t>
      </w:r>
    </w:p>
    <w:tbl>
      <w:tblPr>
        <w:tblLayout w:type="fixed"/>
        <w:tblInd w:w="0" w:type="dxa"/>
        <w:tblCellMar>
          <w:top w:w="0" w:type="dxa"/>
          <w:left w:w="0" w:type="dxa"/>
          <w:bottom w:w="0" w:type="dxa"/>
          <w:right w:w="0" w:type="dxa"/>
        </w:tblCellMar>
      </w:tblPr>
      <w:tr>
        <w:trPr>
          <w:trHeight w:val="250"/>
        </w:trPr>
        <w:tc>
          <w:tcPr>
            <w:tcW w:w="7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10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3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(10,740)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(13,168)</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flows used in operating activities: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 of property and equipment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30"/>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on legal settlement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Insurance recovery related to legal settlement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(1,335)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 and unrealized gains from marketable securities, net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(160)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30"/>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on disposal of property and equipment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30"/>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Share-based compensation</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1,752</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Changes in assets and liabilities: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9"/>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payables and accrued liabilities</w:t>
            </w: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(683)</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0" w:type="dxa"/>
            <w:vAlign w:val="bottom"/>
          </w:tcPr>
          <w:p>
            <w:pPr>
              <w:spacing w:after="0"/>
              <w:rPr>
                <w:sz w:val="1"/>
                <w:szCs w:val="1"/>
                <w:color w:val="auto"/>
              </w:rPr>
            </w:pPr>
          </w:p>
        </w:tc>
      </w:tr>
      <w:tr>
        <w:trPr>
          <w:trHeight w:val="240"/>
        </w:trPr>
        <w:tc>
          <w:tcPr>
            <w:tcW w:w="7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cash flows used in operating activities</w:t>
            </w:r>
          </w:p>
        </w:tc>
        <w:tc>
          <w:tcPr>
            <w:tcW w:w="10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(8,533)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3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Investing activities: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Short-term deposit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30"/>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 of property and equipment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(33)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30"/>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maturities of marketable securities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9,164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 of marketable securities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(10,060)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(3,749)</w:t>
            </w:r>
          </w:p>
        </w:tc>
        <w:tc>
          <w:tcPr>
            <w:tcW w:w="0" w:type="dxa"/>
            <w:vAlign w:val="bottom"/>
          </w:tcPr>
          <w:p>
            <w:pPr>
              <w:spacing w:after="0"/>
              <w:rPr>
                <w:sz w:val="1"/>
                <w:szCs w:val="1"/>
                <w:color w:val="auto"/>
              </w:rPr>
            </w:pPr>
          </w:p>
        </w:tc>
      </w:tr>
      <w:tr>
        <w:trPr>
          <w:trHeight w:val="259"/>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sales of marketable securities</w:t>
            </w: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2,899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7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cash flows provided by (used in) investing activities</w:t>
            </w:r>
          </w:p>
        </w:tc>
        <w:tc>
          <w:tcPr>
            <w:tcW w:w="10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1,973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3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Financing activities:</w:t>
            </w:r>
          </w:p>
        </w:tc>
        <w:tc>
          <w:tcPr>
            <w:tcW w:w="10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stock and warrants, net of issuance costs</w:t>
            </w: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6,558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4,324</w:t>
            </w:r>
          </w:p>
        </w:tc>
        <w:tc>
          <w:tcPr>
            <w:tcW w:w="0" w:type="dxa"/>
            <w:vAlign w:val="bottom"/>
          </w:tcPr>
          <w:p>
            <w:pPr>
              <w:spacing w:after="0"/>
              <w:rPr>
                <w:sz w:val="1"/>
                <w:szCs w:val="1"/>
                <w:color w:val="auto"/>
              </w:rPr>
            </w:pPr>
          </w:p>
        </w:tc>
      </w:tr>
      <w:tr>
        <w:trPr>
          <w:trHeight w:val="240"/>
        </w:trPr>
        <w:tc>
          <w:tcPr>
            <w:tcW w:w="7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cash flows provided by financing activities</w:t>
            </w:r>
          </w:p>
        </w:tc>
        <w:tc>
          <w:tcPr>
            <w:tcW w:w="10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6,558</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Decrease in cash, cash equivalents and restricted cash</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(11,061)</w:t>
            </w:r>
          </w:p>
        </w:tc>
        <w:tc>
          <w:tcPr>
            <w:tcW w:w="0" w:type="dxa"/>
            <w:vAlign w:val="bottom"/>
          </w:tcPr>
          <w:p>
            <w:pPr>
              <w:spacing w:after="0"/>
              <w:rPr>
                <w:sz w:val="1"/>
                <w:szCs w:val="1"/>
                <w:color w:val="auto"/>
              </w:rPr>
            </w:pPr>
          </w:p>
        </w:tc>
      </w:tr>
      <w:tr>
        <w:trPr>
          <w:trHeight w:val="259"/>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year</w:t>
            </w: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13,580</w:t>
            </w:r>
          </w:p>
        </w:tc>
        <w:tc>
          <w:tcPr>
            <w:tcW w:w="0" w:type="dxa"/>
            <w:vAlign w:val="bottom"/>
          </w:tcPr>
          <w:p>
            <w:pPr>
              <w:spacing w:after="0"/>
              <w:rPr>
                <w:sz w:val="1"/>
                <w:szCs w:val="1"/>
                <w:color w:val="auto"/>
              </w:rPr>
            </w:pPr>
          </w:p>
        </w:tc>
      </w:tr>
      <w:tr>
        <w:trPr>
          <w:trHeight w:val="230"/>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cash equivalents and restricted cash at ending of year</w:t>
            </w:r>
          </w:p>
        </w:tc>
        <w:tc>
          <w:tcPr>
            <w:tcW w:w="1020" w:type="dxa"/>
            <w:vAlign w:val="bottom"/>
          </w:tcPr>
          <w:p>
            <w:pPr>
              <w:spacing w:after="0"/>
              <w:rPr>
                <w:sz w:val="20"/>
                <w:szCs w:val="20"/>
                <w:color w:val="auto"/>
              </w:rPr>
            </w:pPr>
          </w:p>
        </w:tc>
        <w:tc>
          <w:tcPr>
            <w:tcW w:w="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2,517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Supplemental disclosure of cash flow information:</w:t>
            </w:r>
          </w:p>
        </w:tc>
        <w:tc>
          <w:tcPr>
            <w:tcW w:w="1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73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received from interest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Right-of-use assets obtained in exchange for lease liabilities</w:t>
            </w:r>
          </w:p>
        </w:tc>
        <w:tc>
          <w:tcPr>
            <w:tcW w:w="102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20" w:type="dxa"/>
            <w:vAlign w:val="bottom"/>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50</w:t>
            </w:r>
          </w:p>
        </w:tc>
        <w:tc>
          <w:tcPr>
            <w:tcW w:w="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20" w:type="dxa"/>
            <w:vAlign w:val="bottom"/>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103</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these consolidated financial statements.</w:t>
      </w:r>
    </w:p>
    <w:p>
      <w:pPr>
        <w:sectPr>
          <w:pgSz w:w="12240" w:h="15840" w:orient="portrait"/>
          <w:cols w:equalWidth="0" w:num="1">
            <w:col w:w="10780"/>
          </w:cols>
          <w:pgMar w:left="720" w:top="69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780"/>
          </w:cols>
          <w:pgMar w:left="720" w:top="696" w:right="740" w:bottom="175"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jc w:val="center"/>
        <w:spacing w:after="0"/>
        <w:rPr>
          <w:sz w:val="20"/>
          <w:szCs w:val="20"/>
          <w:color w:val="auto"/>
        </w:rPr>
      </w:pPr>
      <w:r>
        <w:rPr>
          <w:rFonts w:ascii="Times New Roman" w:cs="Times New Roman" w:eastAsia="Times New Roman" w:hAnsi="Times New Roman"/>
          <w:sz w:val="20"/>
          <w:szCs w:val="20"/>
          <w:b w:val="1"/>
          <w:bCs w:val="1"/>
          <w:color w:val="auto"/>
        </w:rPr>
        <w:t>(Except share and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GENERAL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Description of business: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and its subsidiary are sometimes collectively referred to as the “Company” as the context may require.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Risk Factors: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Going Concern</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To date, the Company has not generated revenues from its operations. As of December 31, 2023, the Company had cash equivalents and marketable securities balance of approximately $6,385, excluding restricted cash. Due to continuing research and development activities, the Company expects to continue to incur additional losses for the foreseeable future. The Company implemented a cost reduction program in May 2023, and consummated capital raises in May and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Accordingly, these conditions raise substantial doubt about the Company’s ability to continue as a going concern.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Risk Factors: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War in Israel</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considered various ongoing risks relating to the military operation and related matters, including:</w:t>
      </w:r>
    </w:p>
    <w:p>
      <w:pPr>
        <w:spacing w:after="0" w:line="120" w:lineRule="exact"/>
        <w:rPr>
          <w:sz w:val="20"/>
          <w:szCs w:val="20"/>
          <w:color w:val="auto"/>
        </w:rPr>
      </w:pPr>
    </w:p>
    <w:p>
      <w:pPr>
        <w:ind w:left="180" w:hanging="120"/>
        <w:spacing w:after="0" w:line="277" w:lineRule="auto"/>
        <w:rPr>
          <w:sz w:val="20"/>
          <w:szCs w:val="20"/>
          <w:color w:val="auto"/>
        </w:rPr>
      </w:pPr>
      <w:r>
        <w:rPr>
          <w:rFonts w:ascii="Times New Roman" w:cs="Times New Roman" w:eastAsia="Times New Roman" w:hAnsi="Times New Roman"/>
          <w:sz w:val="20"/>
          <w:szCs w:val="20"/>
          <w:color w:val="auto"/>
        </w:rPr>
        <w:t>●That some of the Company’s Israeli subcontractors, vendors, suppliers and other companies in which the Company relies, are currently only partially active, as instructed by the relevant authorities; and</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 slowdown in the number of international flights in and out of Israel.</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issuance date of these financial statements,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accounting policies applied in the preparation of the financial statements are as follows:</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800"/>
          </w:cols>
          <w:pgMar w:left="720" w:top="696" w:right="720" w:bottom="175"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auto"/>
        </w:rPr>
        <w:t>A. Basis of presentation:</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financial statements have been prepared in conformity with accounting principles generally accepted in the United States of America (“US GAAP”).</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Financial statement in U.S. dollars: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 Use of estimates: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Principles of consolidation:</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wholly owned subsidiary. Inter-company balances and transactions have been eliminated in consolidation.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 Reclassification of prior year disclosures: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Certain prior year amounts have been reclassified for consistency with the current year disclosures. These reclassifications had no effect on the reported consolidated balance sheets, the related consolidated statements of comprehensive loss, shareholders’ equity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 Acquisitions of assets:</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 Cash and cash equivalents: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 Restricted cash:</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Restricted cash of $49 as of December 31, 2023, serves as collateral for the Company’s lease agreement, and $77 as of December 31, 2022, serves as collateral for lease agreements and credit cards.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 Fair value of financial instruments: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carrying values of cash and cash equivalents, other receivable and other accounts payable and accrued liabilities approximate their fair value due to the short-term maturity of these instruments.</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measures the fair value of certain of its financial instruments (such as marketable securities) on a recurring basis. The method of determining the fair value of marketable securities is discussed in Note 4 below.</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 Quoted prices (unadjusted) in active markets for identical assets and liabilities.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 Inputs other than Level 1 that are observable, either directly or indirectly, such as unadjusted quoted prices for similar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liabilities, unadjusted quoted prices in the markets that are not active, or other inputs that are observable or can be corroborated by observable market data for substantially the full term of the assets or liabilities.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800"/>
          </w:cols>
          <w:pgMar w:left="720" w:top="696" w:right="720" w:bottom="175" w:gutter="0" w:footer="0" w:header="0"/>
        </w:sectPr>
      </w:pPr>
    </w:p>
    <w:bookmarkStart w:id="65" w:name="page66"/>
    <w:bookmarkEnd w:id="65"/>
    <w:p>
      <w:pPr>
        <w:jc w:val="both"/>
        <w:spacing w:after="0" w:line="281" w:lineRule="auto"/>
        <w:rPr>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 Unobservable inputs that are supported by little or no market activity and that are significant to the fair value of the assets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 Concentrations of credit risk:</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 Property and equipment:</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Property and equipment are presented at cost less accumulated depreciation. Depreciation is calculated based on the straight-line method over the estimated useful lives of the assets, at the following annual rates: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520" w:type="dxa"/>
            <w:vAlign w:val="bottom"/>
          </w:tcPr>
          <w:p>
            <w:pPr>
              <w:spacing w:after="0"/>
              <w:rPr>
                <w:sz w:val="22"/>
                <w:szCs w:val="22"/>
                <w:color w:val="auto"/>
              </w:rPr>
            </w:pPr>
          </w:p>
        </w:tc>
        <w:tc>
          <w:tcPr>
            <w:tcW w:w="4160" w:type="dxa"/>
            <w:vAlign w:val="bottom"/>
            <w:tcBorders>
              <w:bottom w:val="single" w:sz="8" w:color="auto"/>
            </w:tcBorders>
          </w:tcPr>
          <w:p>
            <w:pPr>
              <w:jc w:val="right"/>
              <w:ind w:right="188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441"/>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Research equipment and software</w:t>
            </w:r>
          </w:p>
        </w:tc>
        <w:tc>
          <w:tcPr>
            <w:tcW w:w="4160" w:type="dxa"/>
            <w:vAlign w:val="bottom"/>
          </w:tcPr>
          <w:p>
            <w:pPr>
              <w:jc w:val="right"/>
              <w:ind w:right="1680"/>
              <w:spacing w:after="0"/>
              <w:rPr>
                <w:sz w:val="20"/>
                <w:szCs w:val="20"/>
                <w:color w:val="auto"/>
              </w:rPr>
            </w:pPr>
            <w:r>
              <w:rPr>
                <w:rFonts w:ascii="Times New Roman" w:cs="Times New Roman" w:eastAsia="Times New Roman" w:hAnsi="Times New Roman"/>
                <w:sz w:val="20"/>
                <w:szCs w:val="20"/>
                <w:color w:val="auto"/>
              </w:rPr>
              <w:t>25-33</w:t>
            </w: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office equipment</w:t>
            </w:r>
          </w:p>
        </w:tc>
        <w:tc>
          <w:tcPr>
            <w:tcW w:w="4160" w:type="dxa"/>
            <w:vAlign w:val="bottom"/>
          </w:tcPr>
          <w:p>
            <w:pPr>
              <w:jc w:val="right"/>
              <w:ind w:right="1860"/>
              <w:spacing w:after="0"/>
              <w:rPr>
                <w:sz w:val="20"/>
                <w:szCs w:val="20"/>
                <w:color w:val="auto"/>
              </w:rPr>
            </w:pPr>
            <w:r>
              <w:rPr>
                <w:rFonts w:ascii="Times New Roman" w:cs="Times New Roman" w:eastAsia="Times New Roman" w:hAnsi="Times New Roman"/>
                <w:sz w:val="20"/>
                <w:szCs w:val="20"/>
                <w:color w:val="auto"/>
              </w:rPr>
              <w:t>7</w:t>
            </w:r>
          </w:p>
        </w:tc>
      </w:tr>
      <w:tr>
        <w:trPr>
          <w:trHeight w:val="266"/>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160" w:type="dxa"/>
            <w:vAlign w:val="bottom"/>
          </w:tcPr>
          <w:p>
            <w:pPr>
              <w:jc w:val="right"/>
              <w:ind w:right="1060"/>
              <w:spacing w:after="0"/>
              <w:rPr>
                <w:sz w:val="20"/>
                <w:szCs w:val="20"/>
                <w:color w:val="auto"/>
              </w:rPr>
            </w:pPr>
            <w:r>
              <w:rPr>
                <w:rFonts w:ascii="Times New Roman" w:cs="Times New Roman" w:eastAsia="Times New Roman" w:hAnsi="Times New Roman"/>
                <w:sz w:val="20"/>
                <w:szCs w:val="20"/>
                <w:color w:val="auto"/>
              </w:rPr>
              <w:t>Over the lease period</w:t>
            </w:r>
          </w:p>
        </w:tc>
      </w:tr>
    </w:tbl>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2023, and 2022, no impairment charge has been recorded.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 Liabilities due to termination of employment agreements:</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As for the U.S. employees, the Company has certain defined contribution plans, including a 401(k)-retirement plan in the U.S., whereby contributions made by eligible employees are matched by the Company with certain limitations.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 Common stock warrants:</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 Basic and diluted net loss per share:</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have been excluded from the calculation of the diluted loss per share for the years ended December 31, 2023 and December 31, 2022,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 General and administrative expenses, net:</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General and administrative expenses are charged to the statement of comprehensive loss as incurred. Insurance loss recoveries are recognized when the amount is determinable and approved by the insurance company and applied as a deduction from general and administrative expenses. General and administrative expenses, net, for the years ended December 31, 2023 and 2022, were offset by insurance loss recoveries in the amounts of approximately $281 and $156,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F-10</w:t>
      </w:r>
    </w:p>
    <w:p>
      <w:pPr>
        <w:sectPr>
          <w:pgSz w:w="12240" w:h="15840" w:orient="portrait"/>
          <w:cols w:equalWidth="0" w:num="1">
            <w:col w:w="10800"/>
          </w:cols>
          <w:pgMar w:left="720" w:top="696" w:right="720" w:bottom="175"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P. Research and development expenses, net:</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2V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 Share-based compensation: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 Income taxes:</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2023, and 2022, the Company had a full valuation allowance against deferred tax assets.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 Marketable securities:</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reflected in the statements of comprehensive loss as financial income or expenses, as appropriate.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 Leases: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800"/>
          </w:cols>
          <w:pgMar w:left="720" w:top="696" w:right="720" w:bottom="186"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U. Contingencies: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 Refer to Note 16C below.</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 Refer to Note 2O above and Note 16C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Government grants:</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grants are deducted from the research and development expenses as the applicable costs are incurred. Research and development expenses, net, for the years ended December 31, 2023 and 2022, include participation in research and development expenses in the amount of approximately $279 and $0,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 Recently issued accounting pronouncements: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From time to time, new accounting pronouncements are issued by FASB, or other standard-setting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CASH AND CASH EQUIVALENTS AND MARKETABLE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cash, cash equivalents and marketable securities as of December 31, 2023 and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0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48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4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2022</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04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262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2,468</w:t>
            </w:r>
          </w:p>
        </w:tc>
        <w:tc>
          <w:tcPr>
            <w:tcW w:w="20" w:type="dxa"/>
            <w:vAlign w:val="bottom"/>
          </w:tcPr>
          <w:p>
            <w:pPr>
              <w:spacing w:after="0"/>
              <w:rPr>
                <w:sz w:val="19"/>
                <w:szCs w:val="19"/>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1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1,247</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Total cash and cash equivalents</w:t>
            </w:r>
          </w:p>
        </w:tc>
        <w:tc>
          <w:tcPr>
            <w:tcW w:w="17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2,468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1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0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mutual funds</w:t>
            </w:r>
          </w:p>
        </w:tc>
        <w:tc>
          <w:tcPr>
            <w:tcW w:w="262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1,420</w:t>
            </w:r>
          </w:p>
        </w:tc>
        <w:tc>
          <w:tcPr>
            <w:tcW w:w="20" w:type="dxa"/>
            <w:vAlign w:val="bottom"/>
          </w:tcPr>
          <w:p>
            <w:pPr>
              <w:spacing w:after="0"/>
              <w:rPr>
                <w:sz w:val="19"/>
                <w:szCs w:val="19"/>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1,999</w:t>
            </w:r>
          </w:p>
        </w:tc>
        <w:tc>
          <w:tcPr>
            <w:tcW w:w="0" w:type="dxa"/>
            <w:vAlign w:val="bottom"/>
          </w:tcPr>
          <w:p>
            <w:pPr>
              <w:spacing w:after="0"/>
              <w:rPr>
                <w:sz w:val="1"/>
                <w:szCs w:val="1"/>
                <w:color w:val="auto"/>
              </w:rPr>
            </w:pPr>
          </w:p>
        </w:tc>
      </w:tr>
      <w:tr>
        <w:trPr>
          <w:trHeight w:val="259"/>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1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2,497</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3,761</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17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3,917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Total cash, cash equivalents and marketable securities</w:t>
            </w:r>
          </w:p>
        </w:tc>
        <w:tc>
          <w:tcPr>
            <w:tcW w:w="262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7"/>
              </w:rPr>
              <w:t>6,385</w:t>
            </w: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8,202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unrealized gains on our marketable securities were $59 and $12 for the years ended December 31, 2023 and 2022,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Treasuries have contractual maturities of less than 12 months.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FAIR VALUE MEASUREMENTS</w:t>
      </w:r>
    </w:p>
    <w:p>
      <w:pPr>
        <w:spacing w:after="0" w:line="1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Company’s financial assets subject to fair value measurement and the level of inputs used in such measurements as of December 31, 2023 and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As of December 31, 2023</w:t>
            </w: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40"/>
        </w:trPr>
        <w:tc>
          <w:tcPr>
            <w:tcW w:w="4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0" w:type="dxa"/>
            <w:vAlign w:val="bottom"/>
          </w:tcPr>
          <w:p>
            <w:pPr>
              <w:spacing w:after="0"/>
              <w:rPr>
                <w:sz w:val="20"/>
                <w:szCs w:val="20"/>
                <w:color w:val="auto"/>
              </w:rPr>
            </w:pPr>
          </w:p>
        </w:tc>
      </w:tr>
      <w:tr>
        <w:trPr>
          <w:trHeight w:val="44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920" w:type="dxa"/>
            <w:vAlign w:val="bottom"/>
            <w:gridSpan w:val="2"/>
          </w:tcPr>
          <w:p>
            <w:pPr>
              <w:jc w:val="right"/>
              <w:ind w:right="728"/>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3"/>
              </w:rPr>
              <w:t>2,497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2,497</w:t>
            </w: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mutual funds</w:t>
            </w: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3"/>
              </w:rPr>
              <w:t>1,420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1,420</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3,917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60"/>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10800"/>
          </w:cols>
          <w:pgMar w:left="720" w:top="696" w:right="720" w:bottom="186"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63"/>
        </w:trPr>
        <w:tc>
          <w:tcPr>
            <w:tcW w:w="4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As of December 31, 2022</w:t>
            </w: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920" w:type="dxa"/>
            <w:vAlign w:val="bottom"/>
            <w:gridSpan w:val="2"/>
          </w:tcPr>
          <w:p>
            <w:pPr>
              <w:jc w:val="right"/>
              <w:ind w:right="728"/>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3"/>
              </w:rPr>
              <w:t>1,247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1,247</w:t>
            </w: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920" w:type="dxa"/>
            <w:vAlign w:val="bottom"/>
            <w:gridSpan w:val="2"/>
          </w:tcPr>
          <w:p>
            <w:pPr>
              <w:jc w:val="right"/>
              <w:ind w:right="728"/>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3"/>
              </w:rPr>
              <w:t>3,761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3,761</w:t>
            </w: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mutual funds</w:t>
            </w: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3"/>
              </w:rPr>
              <w:t>1,999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1,999</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5,760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60"/>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2023 and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5 - PREPAID EXPENSES AND OTHER CURRENT ASSETS</w:t>
            </w:r>
          </w:p>
        </w:tc>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339"/>
        </w:trPr>
        <w:tc>
          <w:tcPr>
            <w:tcW w:w="7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440" w:type="dxa"/>
            <w:vAlign w:val="bottom"/>
            <w:tcBorders>
              <w:bottom w:val="single" w:sz="8" w:color="auto"/>
            </w:tcBorders>
          </w:tcPr>
          <w:p>
            <w:pPr>
              <w:spacing w:after="0"/>
              <w:rPr>
                <w:sz w:val="24"/>
                <w:szCs w:val="24"/>
                <w:color w:val="auto"/>
              </w:rPr>
            </w:pPr>
          </w:p>
        </w:tc>
      </w:tr>
      <w:tr>
        <w:trPr>
          <w:trHeight w:val="240"/>
        </w:trPr>
        <w:tc>
          <w:tcPr>
            <w:tcW w:w="7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20"/>
                <w:szCs w:val="20"/>
                <w:b w:val="1"/>
                <w:bCs w:val="1"/>
                <w:color w:val="auto"/>
              </w:rPr>
              <w:t>2023</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440" w:type="dxa"/>
            <w:vAlign w:val="bottom"/>
            <w:tcBorders>
              <w:bottom w:val="single" w:sz="8" w:color="auto"/>
            </w:tcBorders>
          </w:tcPr>
          <w:p>
            <w:pPr>
              <w:spacing w:after="0"/>
              <w:rPr>
                <w:sz w:val="20"/>
                <w:szCs w:val="20"/>
                <w:color w:val="auto"/>
              </w:rPr>
            </w:pPr>
          </w:p>
        </w:tc>
      </w:tr>
      <w:tr>
        <w:trPr>
          <w:trHeight w:val="44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Amounts due from government institutions</w:t>
            </w:r>
          </w:p>
        </w:tc>
        <w:tc>
          <w:tcPr>
            <w:tcW w:w="1100" w:type="dxa"/>
            <w:vAlign w:val="bottom"/>
            <w:gridSpan w:val="2"/>
          </w:tcPr>
          <w:p>
            <w:pPr>
              <w:jc w:val="right"/>
              <w:ind w:right="905"/>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61</w:t>
            </w:r>
          </w:p>
        </w:tc>
        <w:tc>
          <w:tcPr>
            <w:tcW w:w="1280" w:type="dxa"/>
            <w:vAlign w:val="bottom"/>
            <w:gridSpan w:val="2"/>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9"/>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 and other receivables</w:t>
            </w: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91</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w:t>
            </w:r>
          </w:p>
        </w:tc>
      </w:tr>
      <w:tr>
        <w:trPr>
          <w:trHeight w:val="230"/>
        </w:trPr>
        <w:tc>
          <w:tcPr>
            <w:tcW w:w="7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90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88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532</w:t>
            </w:r>
          </w:p>
        </w:tc>
      </w:tr>
      <w:tr>
        <w:trPr>
          <w:trHeight w:val="20"/>
        </w:trPr>
        <w:tc>
          <w:tcPr>
            <w:tcW w:w="7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LEASES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November 2019, the Company signed an office space lease agreement for the period from November 2019 until October 2024. In addition, the Company received an option to extend the lease agreement for an additional 5 years. The monthly lease payments are approximately $16. To secure the lease payments the Company had issued a bank guarantee of $49 in favor of the facility’s lessor. Additionally, the Company entered into agreements for car leases.</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 presents the components of the Company’s lease cost and the classification of such costs in the Company’s consolidated statements of comprehensive loss for the years ended December 31, 2023 and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12"/>
          </w:tcPr>
          <w:p>
            <w:pPr>
              <w:ind w:left="80"/>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c>
          <w:tcPr>
            <w:tcW w:w="0" w:type="dxa"/>
            <w:vAlign w:val="bottom"/>
          </w:tcPr>
          <w:p>
            <w:pPr>
              <w:spacing w:after="0"/>
              <w:rPr>
                <w:sz w:val="1"/>
                <w:szCs w:val="1"/>
                <w:color w:val="auto"/>
              </w:rPr>
            </w:pPr>
          </w:p>
        </w:tc>
      </w:tr>
      <w:tr>
        <w:trPr>
          <w:trHeight w:val="240"/>
        </w:trPr>
        <w:tc>
          <w:tcPr>
            <w:tcW w:w="2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Component of Lease Cost</w:t>
            </w:r>
          </w:p>
        </w:tc>
        <w:tc>
          <w:tcPr>
            <w:tcW w:w="40" w:type="dxa"/>
            <w:vAlign w:val="bottom"/>
          </w:tcPr>
          <w:p>
            <w:pPr>
              <w:spacing w:after="0"/>
              <w:rPr>
                <w:sz w:val="20"/>
                <w:szCs w:val="20"/>
                <w:color w:val="auto"/>
              </w:rPr>
            </w:pPr>
          </w:p>
        </w:tc>
        <w:tc>
          <w:tcPr>
            <w:tcW w:w="4620" w:type="dxa"/>
            <w:vAlign w:val="bottom"/>
            <w:gridSpan w:val="5"/>
          </w:tcPr>
          <w:p>
            <w:pPr>
              <w:ind w:left="340"/>
              <w:spacing w:after="0"/>
              <w:rPr>
                <w:sz w:val="20"/>
                <w:szCs w:val="20"/>
                <w:color w:val="auto"/>
              </w:rPr>
            </w:pPr>
            <w:r>
              <w:rPr>
                <w:rFonts w:ascii="Times New Roman" w:cs="Times New Roman" w:eastAsia="Times New Roman" w:hAnsi="Times New Roman"/>
                <w:sz w:val="20"/>
                <w:szCs w:val="20"/>
                <w:b w:val="1"/>
                <w:bCs w:val="1"/>
                <w:color w:val="auto"/>
              </w:rPr>
              <w:t>Statements of Comprehensive Loss Line Item</w:t>
            </w:r>
          </w:p>
        </w:tc>
        <w:tc>
          <w:tcPr>
            <w:tcW w:w="16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40" w:type="dxa"/>
            <w:vAlign w:val="bottom"/>
          </w:tcPr>
          <w:p>
            <w:pPr>
              <w:spacing w:after="0"/>
              <w:rPr>
                <w:sz w:val="20"/>
                <w:szCs w:val="20"/>
                <w:color w:val="auto"/>
              </w:rPr>
            </w:pPr>
          </w:p>
        </w:tc>
        <w:tc>
          <w:tcPr>
            <w:tcW w:w="3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Research and development, net</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74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Supplemental cash flow information related to operating leases was as follows: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20" w:type="dxa"/>
            <w:vAlign w:val="bottom"/>
            <w:gridSpan w:val="16"/>
          </w:tcPr>
          <w:p>
            <w:pPr>
              <w:ind w:left="620"/>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c>
          <w:tcPr>
            <w:tcW w:w="0" w:type="dxa"/>
            <w:vAlign w:val="bottom"/>
          </w:tcPr>
          <w:p>
            <w:pPr>
              <w:spacing w:after="0"/>
              <w:rPr>
                <w:sz w:val="1"/>
                <w:szCs w:val="1"/>
                <w:color w:val="auto"/>
              </w:rPr>
            </w:pPr>
          </w:p>
        </w:tc>
      </w:tr>
      <w:tr>
        <w:trPr>
          <w:trHeight w:val="240"/>
        </w:trPr>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Cash paid under operating lease agreements</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gridSpan w:val="3"/>
            <w:vMerge w:val="continue"/>
          </w:tcPr>
          <w:p>
            <w:pPr>
              <w:spacing w:after="0"/>
              <w:rPr>
                <w:sz w:val="19"/>
                <w:szCs w:val="19"/>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9180" w:type="dxa"/>
            <w:vAlign w:val="bottom"/>
            <w:gridSpan w:val="14"/>
          </w:tcPr>
          <w:p>
            <w:pPr>
              <w:spacing w:after="0"/>
              <w:rPr>
                <w:sz w:val="20"/>
                <w:szCs w:val="20"/>
                <w:color w:val="auto"/>
              </w:rPr>
            </w:pPr>
            <w:r>
              <w:rPr>
                <w:rFonts w:ascii="Times New Roman" w:cs="Times New Roman" w:eastAsia="Times New Roman" w:hAnsi="Times New Roman"/>
                <w:sz w:val="20"/>
                <w:szCs w:val="20"/>
                <w:color w:val="auto"/>
              </w:rPr>
              <w:t>Undiscounted maturities of future operating lease payments as of December 31, 2023 are summarized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7"/>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As of December 31,</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2024</w:t>
            </w:r>
          </w:p>
        </w:tc>
        <w:tc>
          <w:tcPr>
            <w:tcW w:w="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5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82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Total future lease payments</w:t>
            </w:r>
          </w:p>
        </w:tc>
        <w:tc>
          <w:tcPr>
            <w:tcW w:w="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Total lease liabilities</w:t>
            </w:r>
          </w:p>
        </w:tc>
        <w:tc>
          <w:tcPr>
            <w:tcW w:w="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top w:val="single" w:sz="8" w:color="auto"/>
            </w:tcBorders>
          </w:tcPr>
          <w:p>
            <w:pPr>
              <w:jc w:val="right"/>
              <w:ind w:right="820"/>
              <w:spacing w:after="0"/>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following table includes the weighted-average lease terms and discount rates for operating leases as of December 31, 2023 and 2022:</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800"/>
          </w:cols>
          <w:pgMar w:left="720" w:top="696" w:right="720" w:bottom="186"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63"/>
        </w:trPr>
        <w:tc>
          <w:tcPr>
            <w:tcW w:w="6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00" w:type="dxa"/>
            <w:vAlign w:val="bottom"/>
            <w:gridSpan w:val="11"/>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40"/>
        </w:trPr>
        <w:tc>
          <w:tcPr>
            <w:tcW w:w="6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top w:val="single" w:sz="8" w:color="auto"/>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weighted average remaining lease term (in years)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0.8</w:t>
            </w:r>
          </w:p>
        </w:tc>
        <w:tc>
          <w:tcPr>
            <w:tcW w:w="1280" w:type="dxa"/>
            <w:vAlign w:val="bottom"/>
            <w:gridSpan w:val="3"/>
          </w:tcPr>
          <w:p>
            <w:pPr>
              <w:ind w:left="108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weighted average discount rate</w:t>
            </w: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7%</w:t>
            </w:r>
          </w:p>
        </w:tc>
        <w:tc>
          <w:tcPr>
            <w:tcW w:w="134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w w:val="89"/>
              </w:rPr>
              <w:t>9%</w:t>
            </w:r>
          </w:p>
        </w:tc>
        <w:tc>
          <w:tcPr>
            <w:tcW w:w="0" w:type="dxa"/>
            <w:vAlign w:val="bottom"/>
          </w:tcPr>
          <w:p>
            <w:pPr>
              <w:spacing w:after="0"/>
              <w:rPr>
                <w:sz w:val="1"/>
                <w:szCs w:val="1"/>
                <w:color w:val="auto"/>
              </w:rPr>
            </w:pPr>
          </w:p>
        </w:tc>
      </w:tr>
      <w:tr>
        <w:trPr>
          <w:trHeight w:val="354"/>
        </w:trPr>
        <w:tc>
          <w:tcPr>
            <w:tcW w:w="6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7 - PROPERTY AND EQUIPMENT, NET</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gridSpan w:val="13"/>
          </w:tcPr>
          <w:p>
            <w:pPr>
              <w:jc w:val="right"/>
              <w:ind w:right="112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63"/>
        </w:trPr>
        <w:tc>
          <w:tcPr>
            <w:tcW w:w="61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Historical Cost:</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6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equipment and software</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4"/>
          </w:tcPr>
          <w:p>
            <w:pPr>
              <w:jc w:val="center"/>
              <w:ind w:left="1160"/>
              <w:spacing w:after="0"/>
              <w:rPr>
                <w:sz w:val="20"/>
                <w:szCs w:val="20"/>
                <w:color w:val="auto"/>
              </w:rPr>
            </w:pPr>
            <w:r>
              <w:rPr>
                <w:rFonts w:ascii="Times New Roman" w:cs="Times New Roman" w:eastAsia="Times New Roman" w:hAnsi="Times New Roman"/>
                <w:sz w:val="20"/>
                <w:szCs w:val="20"/>
                <w:color w:val="auto"/>
                <w:w w:val="99"/>
              </w:rPr>
              <w:t>177</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134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143</w:t>
            </w:r>
          </w:p>
        </w:tc>
        <w:tc>
          <w:tcPr>
            <w:tcW w:w="0" w:type="dxa"/>
            <w:vAlign w:val="bottom"/>
          </w:tcPr>
          <w:p>
            <w:pPr>
              <w:spacing w:after="0"/>
              <w:rPr>
                <w:sz w:val="1"/>
                <w:szCs w:val="1"/>
                <w:color w:val="auto"/>
              </w:rPr>
            </w:pPr>
          </w:p>
        </w:tc>
      </w:tr>
      <w:tr>
        <w:trPr>
          <w:trHeight w:val="230"/>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Leasehold improvement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4"/>
          </w:tcPr>
          <w:p>
            <w:pPr>
              <w:jc w:val="center"/>
              <w:ind w:left="1160"/>
              <w:spacing w:after="0"/>
              <w:rPr>
                <w:sz w:val="20"/>
                <w:szCs w:val="20"/>
                <w:color w:val="auto"/>
              </w:rPr>
            </w:pPr>
            <w:r>
              <w:rPr>
                <w:rFonts w:ascii="Times New Roman" w:cs="Times New Roman" w:eastAsia="Times New Roman" w:hAnsi="Times New Roman"/>
                <w:sz w:val="20"/>
                <w:szCs w:val="20"/>
                <w:color w:val="auto"/>
                <w:w w:val="99"/>
              </w:rPr>
              <w:t>229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229</w:t>
            </w:r>
          </w:p>
        </w:tc>
        <w:tc>
          <w:tcPr>
            <w:tcW w:w="0" w:type="dxa"/>
            <w:vAlign w:val="bottom"/>
          </w:tcPr>
          <w:p>
            <w:pPr>
              <w:spacing w:after="0"/>
              <w:rPr>
                <w:sz w:val="1"/>
                <w:szCs w:val="1"/>
                <w:color w:val="auto"/>
              </w:rPr>
            </w:pPr>
          </w:p>
        </w:tc>
      </w:tr>
      <w:tr>
        <w:trPr>
          <w:trHeight w:val="259"/>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Furniture and office equipment</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4"/>
          </w:tcPr>
          <w:p>
            <w:pPr>
              <w:jc w:val="center"/>
              <w:ind w:left="1160"/>
              <w:spacing w:after="0"/>
              <w:rPr>
                <w:sz w:val="20"/>
                <w:szCs w:val="20"/>
                <w:color w:val="auto"/>
              </w:rPr>
            </w:pPr>
            <w:r>
              <w:rPr>
                <w:rFonts w:ascii="Times New Roman" w:cs="Times New Roman" w:eastAsia="Times New Roman" w:hAnsi="Times New Roman"/>
                <w:sz w:val="20"/>
                <w:szCs w:val="20"/>
                <w:color w:val="auto"/>
                <w:w w:val="99"/>
              </w:rPr>
              <w:t>233</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236</w:t>
            </w:r>
          </w:p>
        </w:tc>
        <w:tc>
          <w:tcPr>
            <w:tcW w:w="0" w:type="dxa"/>
            <w:vAlign w:val="bottom"/>
          </w:tcPr>
          <w:p>
            <w:pPr>
              <w:spacing w:after="0"/>
              <w:rPr>
                <w:sz w:val="1"/>
                <w:szCs w:val="1"/>
                <w:color w:val="auto"/>
              </w:rPr>
            </w:pPr>
          </w:p>
        </w:tc>
      </w:tr>
      <w:tr>
        <w:trPr>
          <w:trHeight w:val="240"/>
        </w:trPr>
        <w:tc>
          <w:tcPr>
            <w:tcW w:w="61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Accumulated Depreciation:</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gridSpan w:val="3"/>
          </w:tcPr>
          <w:p>
            <w:pPr>
              <w:jc w:val="center"/>
              <w:ind w:left="1180"/>
              <w:spacing w:after="0"/>
              <w:rPr>
                <w:sz w:val="20"/>
                <w:szCs w:val="20"/>
                <w:color w:val="auto"/>
              </w:rPr>
            </w:pPr>
            <w:r>
              <w:rPr>
                <w:rFonts w:ascii="Times New Roman" w:cs="Times New Roman" w:eastAsia="Times New Roman" w:hAnsi="Times New Roman"/>
                <w:sz w:val="20"/>
                <w:szCs w:val="20"/>
                <w:color w:val="auto"/>
                <w:w w:val="99"/>
              </w:rPr>
              <w:t>639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608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equipment and software</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4"/>
          </w:tcPr>
          <w:p>
            <w:pPr>
              <w:jc w:val="center"/>
              <w:ind w:left="1160"/>
              <w:spacing w:after="0"/>
              <w:rPr>
                <w:sz w:val="20"/>
                <w:szCs w:val="20"/>
                <w:color w:val="auto"/>
              </w:rPr>
            </w:pPr>
            <w:r>
              <w:rPr>
                <w:rFonts w:ascii="Times New Roman" w:cs="Times New Roman" w:eastAsia="Times New Roman" w:hAnsi="Times New Roman"/>
                <w:sz w:val="20"/>
                <w:szCs w:val="20"/>
                <w:color w:val="auto"/>
                <w:w w:val="99"/>
              </w:rPr>
              <w:t>109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30"/>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Leasehold improvement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4"/>
          </w:tcPr>
          <w:p>
            <w:pPr>
              <w:jc w:val="center"/>
              <w:ind w:left="1160"/>
              <w:spacing w:after="0"/>
              <w:rPr>
                <w:sz w:val="20"/>
                <w:szCs w:val="20"/>
                <w:color w:val="auto"/>
              </w:rPr>
            </w:pPr>
            <w:r>
              <w:rPr>
                <w:rFonts w:ascii="Times New Roman" w:cs="Times New Roman" w:eastAsia="Times New Roman" w:hAnsi="Times New Roman"/>
                <w:sz w:val="20"/>
                <w:szCs w:val="20"/>
                <w:color w:val="auto"/>
                <w:w w:val="99"/>
              </w:rPr>
              <w:t>181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135</w:t>
            </w:r>
          </w:p>
        </w:tc>
        <w:tc>
          <w:tcPr>
            <w:tcW w:w="0" w:type="dxa"/>
            <w:vAlign w:val="bottom"/>
          </w:tcPr>
          <w:p>
            <w:pPr>
              <w:spacing w:after="0"/>
              <w:rPr>
                <w:sz w:val="1"/>
                <w:szCs w:val="1"/>
                <w:color w:val="auto"/>
              </w:rPr>
            </w:pPr>
          </w:p>
        </w:tc>
      </w:tr>
      <w:tr>
        <w:trPr>
          <w:trHeight w:val="259"/>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Furniture and office equipment</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4"/>
          </w:tcPr>
          <w:p>
            <w:pPr>
              <w:jc w:val="center"/>
              <w:ind w:left="1160"/>
              <w:spacing w:after="0"/>
              <w:rPr>
                <w:sz w:val="20"/>
                <w:szCs w:val="20"/>
                <w:color w:val="auto"/>
              </w:rPr>
            </w:pPr>
            <w:r>
              <w:rPr>
                <w:rFonts w:ascii="Times New Roman" w:cs="Times New Roman" w:eastAsia="Times New Roman" w:hAnsi="Times New Roman"/>
                <w:sz w:val="20"/>
                <w:szCs w:val="20"/>
                <w:color w:val="auto"/>
                <w:w w:val="99"/>
              </w:rPr>
              <w:t>203</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189</w:t>
            </w:r>
          </w:p>
        </w:tc>
        <w:tc>
          <w:tcPr>
            <w:tcW w:w="0" w:type="dxa"/>
            <w:vAlign w:val="bottom"/>
          </w:tcPr>
          <w:p>
            <w:pPr>
              <w:spacing w:after="0"/>
              <w:rPr>
                <w:sz w:val="1"/>
                <w:szCs w:val="1"/>
                <w:color w:val="auto"/>
              </w:rPr>
            </w:pPr>
          </w:p>
        </w:tc>
      </w:tr>
      <w:tr>
        <w:trPr>
          <w:trHeight w:val="240"/>
        </w:trPr>
        <w:tc>
          <w:tcPr>
            <w:tcW w:w="6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gridSpan w:val="3"/>
          </w:tcPr>
          <w:p>
            <w:pPr>
              <w:jc w:val="center"/>
              <w:ind w:left="1180"/>
              <w:spacing w:after="0"/>
              <w:rPr>
                <w:sz w:val="20"/>
                <w:szCs w:val="20"/>
                <w:color w:val="auto"/>
              </w:rPr>
            </w:pPr>
            <w:r>
              <w:rPr>
                <w:rFonts w:ascii="Times New Roman" w:cs="Times New Roman" w:eastAsia="Times New Roman" w:hAnsi="Times New Roman"/>
                <w:sz w:val="20"/>
                <w:szCs w:val="20"/>
                <w:color w:val="auto"/>
                <w:w w:val="99"/>
              </w:rPr>
              <w:t>493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80" w:type="dxa"/>
            <w:vAlign w:val="bottom"/>
            <w:tcBorders>
              <w:bottom w:val="single" w:sz="8" w:color="auto"/>
            </w:tcBorders>
            <w:gridSpan w:val="3"/>
          </w:tcPr>
          <w:p>
            <w:pPr>
              <w:jc w:val="center"/>
              <w:ind w:left="1180"/>
              <w:spacing w:after="0"/>
              <w:rPr>
                <w:sz w:val="20"/>
                <w:szCs w:val="20"/>
                <w:color w:val="auto"/>
              </w:rPr>
            </w:pPr>
            <w:r>
              <w:rPr>
                <w:rFonts w:ascii="Times New Roman" w:cs="Times New Roman" w:eastAsia="Times New Roman" w:hAnsi="Times New Roman"/>
                <w:sz w:val="20"/>
                <w:szCs w:val="20"/>
                <w:color w:val="auto"/>
                <w:w w:val="99"/>
              </w:rPr>
              <w:t>146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8 - ACCRUED LIABILITIES</w:t>
            </w: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1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Employee-related liabilities</w:t>
            </w:r>
          </w:p>
        </w:tc>
        <w:tc>
          <w:tcPr>
            <w:tcW w:w="700" w:type="dxa"/>
            <w:vAlign w:val="bottom"/>
            <w:gridSpan w:val="2"/>
          </w:tcPr>
          <w:p>
            <w:pPr>
              <w:jc w:val="right"/>
              <w:ind w:right="515"/>
              <w:spacing w:after="0"/>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tcPr>
          <w:p>
            <w:pPr>
              <w:spacing w:after="0"/>
              <w:rPr>
                <w:sz w:val="24"/>
                <w:szCs w:val="24"/>
                <w:color w:val="auto"/>
              </w:rPr>
            </w:pP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725</w:t>
            </w:r>
          </w:p>
        </w:tc>
        <w:tc>
          <w:tcPr>
            <w:tcW w:w="2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1,372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302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298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1,027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1,670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COMMITMENTS AND CONTINGENCIES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Government grants:</w:t>
      </w:r>
    </w:p>
    <w:p>
      <w:pPr>
        <w:spacing w:after="0" w:line="1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Microbot Israel has received grants from the IIA for participation in research and development since 2013 through December 31, 2023 totaling approximately $1,804. This amount includes amounts received in 2023 of approximately $304, which are a portion of an additional grant from the IIA in the amount of approximately NIS 1,620,000 (approximately $447) approved by the IIA on June 1,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further finance the development of the manufacturing process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w:t>
      </w:r>
    </w:p>
    <w:p>
      <w:pPr>
        <w:spacing w:after="0" w:line="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addition, as a result of the agreement with CardioSert Ltd. (“CardioSert”) on January 4, 2018, Microbot Israel took over the liability to repay CardioSert’s IIA grants in the aggregate amount of approximately $530.</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addition, as a result of the agreement with Nitiloop, on October 6, 2022, Microbot Israel took over the liability to repay Nitiloop’s IIA grants in the aggregate amount of approximately $925.</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relation to the IIA grants described above, the Company is obligated to pay royalties amounting to 3.0%-5% of its future sales of the products relating to such grants.</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grants are linked to the exchange rate of the dollar to the New Israeli Shekel and bears interest of SOFR per year (SOFR is a benchmark interest rate which replaced LIBOR).</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December 11, 2022, the Company received approval for a grant from the Ministry of Economy, in the amount of NIS 300,000</w:t>
      </w:r>
    </w:p>
    <w:p>
      <w:pPr>
        <w:spacing w:after="0" w:line="3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9"/>
          <w:szCs w:val="19"/>
          <w:color w:val="auto"/>
        </w:rPr>
        <w:t>(approximately $83), for participation in expenses related to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9"/>
          <w:szCs w:val="19"/>
          <w:color w:val="auto"/>
        </w:rPr>
        <w:t xml:space="preserve"> Endovascular Robotic Surgical System in the U.S. market. As of December 31, 2023, the Company received approximately $27 of such grant. In relation with the Ministry of Economy grant, the</w:t>
      </w:r>
    </w:p>
    <w:p>
      <w:pPr>
        <w:jc w:val="both"/>
        <w:spacing w:after="0" w:line="208" w:lineRule="auto"/>
        <w:rPr>
          <w:sz w:val="20"/>
          <w:szCs w:val="20"/>
          <w:color w:val="auto"/>
        </w:rPr>
      </w:pPr>
      <w:r>
        <w:rPr>
          <w:rFonts w:ascii="Times New Roman" w:cs="Times New Roman" w:eastAsia="Times New Roman" w:hAnsi="Times New Roman"/>
          <w:sz w:val="20"/>
          <w:szCs w:val="20"/>
          <w:color w:val="auto"/>
        </w:rPr>
        <w:t>Company is obligated to pay royalties amounting to 3% of future sales of the 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up to the grant amount plus interest.</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800"/>
          </w:cols>
          <w:pgMar w:left="720" w:top="696" w:right="720" w:bottom="186"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B. TRDF agreement:</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 (SCS) project and its TipCat assets in addition to certain technology relating to the Company’s</w:t>
      </w:r>
    </w:p>
    <w:p>
      <w:pPr>
        <w:jc w:val="both"/>
        <w:spacing w:after="0" w:line="208" w:lineRule="auto"/>
        <w:rPr>
          <w:sz w:val="20"/>
          <w:szCs w:val="20"/>
          <w:color w:val="auto"/>
        </w:rPr>
      </w:pPr>
      <w:r>
        <w:rPr>
          <w:rFonts w:ascii="Times New Roman" w:cs="Times New Roman" w:eastAsia="Times New Roman" w:hAnsi="Times New Roman"/>
          <w:sz w:val="20"/>
          <w:szCs w:val="20"/>
          <w:color w:val="auto"/>
        </w:rPr>
        <w:t>LIBERTY</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0"/>
          <w:szCs w:val="20"/>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 Agreement with CardioSert Ltd.:</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December 31, 2023, the 50 months period has expired and CardioSert can buy-back the Technology at any time.</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 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and maintaining, the Technology, which subsequent to the balance sheet date resulted in CardioSert triggering its right to reacquire the Technology for nominal consideration. See Note 16E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ATM agreement:</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June 10, 2021, the Company entered into an At-the- 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 Engagement letters with H.C. Wainwright:</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registered direct and private placement offerings referred to in Note 10 below,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 Acquisition of Nitiloop’s assets:</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consideration for the acquisition of the Assets, Microbot Israel shall pay royalties to Nitiloop, which shall not, in the aggregate, exceed $8,000, as follows: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2240" w:h="15840" w:orient="portrait"/>
          <w:cols w:equalWidth="0" w:num="1">
            <w:col w:w="10800"/>
          </w:cols>
          <w:pgMar w:left="720" w:top="696" w:right="720" w:bottom="175" w:gutter="0" w:footer="0" w:header="0"/>
        </w:sectPr>
      </w:pPr>
    </w:p>
    <w:bookmarkStart w:id="71" w:name="page72"/>
    <w:bookmarkEnd w:id="71"/>
    <w:p>
      <w:pPr>
        <w:ind w:left="720" w:hanging="360"/>
        <w:spacing w:after="0"/>
        <w:tabs>
          <w:tab w:leader="none" w:pos="720" w:val="left"/>
        </w:tabs>
        <w:numPr>
          <w:ilvl w:val="0"/>
          <w:numId w:val="4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Royalties at a rate of 3% of net revenue generated as a result of sales, license or other exploitation of the Devices; and</w:t>
      </w:r>
    </w:p>
    <w:p>
      <w:pPr>
        <w:spacing w:after="0" w:line="22" w:lineRule="exact"/>
        <w:rPr>
          <w:rFonts w:ascii="PMingLiU" w:cs="PMingLiU" w:eastAsia="PMingLiU" w:hAnsi="PMingLiU"/>
          <w:sz w:val="20"/>
          <w:szCs w:val="20"/>
          <w:color w:val="auto"/>
        </w:rPr>
      </w:pPr>
    </w:p>
    <w:p>
      <w:pPr>
        <w:ind w:left="720" w:hanging="360"/>
        <w:spacing w:after="0" w:line="241" w:lineRule="auto"/>
        <w:tabs>
          <w:tab w:leader="none" w:pos="720" w:val="left"/>
        </w:tabs>
        <w:numPr>
          <w:ilvl w:val="0"/>
          <w:numId w:val="4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Royalties at a rate of 1.5% of net revenue generated from the sale, license or other exploitation of commercialization of the technology as part of an integrated product.</w:t>
      </w:r>
    </w:p>
    <w:p>
      <w:pPr>
        <w:spacing w:after="0" w:line="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Based on the Company’s analysis, the Company concluded that the acquisition of the assets does not meet the definition of a business for the purpose of applying SEC Rules (S-X Rules of 3-05, 8-04 and 11-01).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 Litigation resulting from the 2017 financing:</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Lawsuit was settled in January 2024. Refer to Note 16C below.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 Mona litigation:</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March 31, 2021, the Court entered a judgment against Mona and in favor of the Company in the amount of approximately $485.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Collection of the judgment was deferred pending resolution of Mona’s counterclaim.</w:t>
      </w:r>
    </w:p>
    <w:p>
      <w:pPr>
        <w:spacing w:after="0" w:line="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 (the “Judgment”).</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Court has permitted the Company’s ongoing execution efforts to continue notwithstanding Mona’s purported appeal of the Court’s denial of his motion to vacate. On March 15, 2024, the Magistrate Judge issued an Order to Show Cause (“OTSC”) directing the liquidation of certain of Mona’s accounts, and the transfer of the sale proceeds to the Company in partial satisfaction of the Judgment. The OTSC hearing is scheduled to be held in the second quarter of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SHARE CAPITAL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Share capital developments: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As of December 31, 2023 and 2022, the Company has 11,707,317 and 7,890,628 shares of common stock issued and outstanding, respectively.</w:t>
      </w:r>
    </w:p>
    <w:p>
      <w:pPr>
        <w:spacing w:after="0" w:line="4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spacing w:after="0" w:line="6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On October 3, 2022 and in connection with the Offerings, the Company entered into an Engagement Letter with Wainwright as mentioned in Note 9E, as compensation for such placement agent services, the Company paid Wainwright aggregate cash fees and reimbursed Wainwright for its expenses aggregating approximately $565. The Company incurred other related offering expenses of $111. The Company also issued to Wainwright or its designees warrants to purchase 51,125 shares of common stock (the “Wainwright Warrants”). The Wainwright Warrants have a term of five years from the commencement of sales in the Offerings, and have an exercise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F-16</w:t>
      </w:r>
    </w:p>
    <w:p>
      <w:pPr>
        <w:sectPr>
          <w:pgSz w:w="12240" w:h="15840" w:orient="portrait"/>
          <w:cols w:equalWidth="0" w:num="1">
            <w:col w:w="10800"/>
          </w:cols>
          <w:pgMar w:left="720" w:top="714" w:right="720" w:bottom="171" w:gutter="0" w:footer="0" w:header="0"/>
        </w:sectPr>
      </w:pPr>
    </w:p>
    <w:bookmarkStart w:id="72" w:name="page73"/>
    <w:bookmarkEnd w:id="72"/>
    <w:p>
      <w:pPr>
        <w:jc w:val="both"/>
        <w:spacing w:after="0" w:line="277" w:lineRule="auto"/>
        <w:rPr>
          <w:sz w:val="20"/>
          <w:szCs w:val="20"/>
          <w:color w:val="auto"/>
        </w:rPr>
      </w:pPr>
      <w:r>
        <w:rPr>
          <w:rFonts w:ascii="Times New Roman" w:cs="Times New Roman" w:eastAsia="Times New Roman" w:hAnsi="Times New Roman"/>
          <w:sz w:val="20"/>
          <w:szCs w:val="20"/>
          <w:color w:val="auto"/>
        </w:rPr>
        <w:t>price of $6.11 per share. The Company estimated the fair value of the warrants using a Black-Scholes options pricing model and concluded it is approximately $138.</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On February 13, 2023, 240,000 of the Company’s outstanding pre-funded warrants were exercised into an equivalent number of shares of common stock, at an exercise price of $0.0001 per share.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Registered direct and private placement offerings:</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 The Company estimated the fair value of the warrants using a Black-Scholes options pricing model and concluded it is approximately $46.</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 (ii) pre-funded warrants exercisable for up to 234,500 shares of the Company’s common stock, at an offering price of $2.1999 per pre-funded warrant, for aggregate gross proceeds of $ 2,661 before deducting the placement agent fee and related offering expenses of approximately $345 (the “Second May Offering”). The pre-funded warrants are exercisable immediately and may be exercised at any time until the pre-funded warrants are exercised in full. The Second May Offering was consummated on May 24, 2023. All of such pre-funded warrants were subsequently immediately exercised in accordance with their terms at an exercise price per share of $0.0001 into an equivalent number of shares of common stock.</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also issued to Wainwright or its designees preferred investment options to purchase 60,476 shares of common stock, which have a term of three and one-half years from the closing of the Second May Offering, and have an exercise price of $2.75 per share. The Company estimated the fair value of the warrants using a Black-Scholes options pricing model and concluded it is approximately $72.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Registered Direct and Private Placement Offerings:</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Company estimated the fair value of the warrants using a Black-Scholes options pricing model and concluded it is approximately $ 58.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Company estimated the fair value of the warrants using a Black-Scholes options pricing model and concluded it is approximately $68.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stock of the Company are recognized as equity under the requirements of ASC Topic 505 Equity.</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analyzed the accounting treatment for the series A preferred investment option, the series B preferred investment option, the series C preferred investment option, the series D preferred investment option, and all of the pre-funded warrants issued to investors. Based on the Company’s analysis all such warrants were classified as equity.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analyzed the accounting treatment for all of the preferred investment options issued to Wainwright in the aforementioned offerings. Since the Company did not identify any features causing liability classification according to ASC 718, it concluded that all such preferred investment options are equity-classified awards.</w:t>
      </w:r>
    </w:p>
    <w:p>
      <w:pPr>
        <w:sectPr>
          <w:pgSz w:w="12240" w:h="15840" w:orient="portrait"/>
          <w:cols w:equalWidth="0" w:num="1">
            <w:col w:w="10800"/>
          </w:cols>
          <w:pgMar w:left="720" w:top="700" w:right="720" w:bottom="186"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0800"/>
          </w:cols>
          <w:pgMar w:left="720" w:top="700" w:right="720" w:bottom="186"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color w:val="auto"/>
        </w:rPr>
        <w:t>C. Preferred investment options amendment:</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Company estimated the amount of the effect of the modifications using a Black-Scholes option pricing model and concluded that is approximately $1,230. On June 16, 2023, the holder of the Series B Preferred Investment Options exercised all of such Series B Preferred Investment Options pursuant to its cashless exercise provision into 385,246 shares of common stock.</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grant date fair values of preferred investment options issued to Wainwright and preferred investment options issued to investors that were modified in the years ended December 31, 2023 and 2022 were estimated using the Black-Scholes valuation model with the following: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4240" w:type="dxa"/>
            <w:vAlign w:val="bottom"/>
            <w:gridSpan w:val="2"/>
          </w:tcPr>
          <w:p>
            <w:pPr>
              <w:jc w:val="center"/>
              <w:ind w:left="1160"/>
              <w:spacing w:after="0"/>
              <w:rPr>
                <w:sz w:val="20"/>
                <w:szCs w:val="20"/>
                <w:color w:val="auto"/>
              </w:rPr>
            </w:pPr>
            <w:r>
              <w:rPr>
                <w:rFonts w:ascii="Times New Roman" w:cs="Times New Roman" w:eastAsia="Times New Roman" w:hAnsi="Times New Roman"/>
                <w:sz w:val="20"/>
                <w:szCs w:val="20"/>
                <w:b w:val="1"/>
                <w:bCs w:val="1"/>
                <w:color w:val="auto"/>
                <w:w w:val="99"/>
              </w:rPr>
              <w:t>For the Years Ended</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60" w:type="dxa"/>
            <w:vAlign w:val="bottom"/>
          </w:tcPr>
          <w:p>
            <w:pPr>
              <w:spacing w:after="0"/>
              <w:rPr>
                <w:sz w:val="22"/>
                <w:szCs w:val="22"/>
                <w:color w:val="auto"/>
              </w:rPr>
            </w:pPr>
          </w:p>
        </w:tc>
        <w:tc>
          <w:tcPr>
            <w:tcW w:w="4240" w:type="dxa"/>
            <w:vAlign w:val="bottom"/>
            <w:tcBorders>
              <w:bottom w:val="single" w:sz="8" w:color="auto"/>
            </w:tcBorders>
            <w:gridSpan w:val="2"/>
          </w:tcPr>
          <w:p>
            <w:pPr>
              <w:jc w:val="center"/>
              <w:ind w:left="118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3980" w:type="dxa"/>
            <w:vAlign w:val="bottom"/>
            <w:tcBorders>
              <w:bottom w:val="single" w:sz="8" w:color="auto"/>
            </w:tcBorders>
          </w:tcPr>
          <w:p>
            <w:pPr>
              <w:jc w:val="right"/>
              <w:ind w:right="17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60" w:type="dxa"/>
            <w:vAlign w:val="bottom"/>
          </w:tcPr>
          <w:p>
            <w:pPr>
              <w:spacing w:after="0"/>
              <w:rPr>
                <w:sz w:val="24"/>
                <w:szCs w:val="24"/>
                <w:color w:val="auto"/>
              </w:rPr>
            </w:pPr>
          </w:p>
        </w:tc>
        <w:tc>
          <w:tcPr>
            <w:tcW w:w="12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60" w:type="dxa"/>
            <w:vAlign w:val="bottom"/>
            <w:vMerge w:val="continue"/>
          </w:tcPr>
          <w:p>
            <w:pPr>
              <w:spacing w:after="0"/>
              <w:rPr>
                <w:sz w:val="18"/>
                <w:szCs w:val="18"/>
                <w:color w:val="auto"/>
              </w:rPr>
            </w:pPr>
          </w:p>
        </w:tc>
        <w:tc>
          <w:tcPr>
            <w:tcW w:w="39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101.31%-122.39%</w:t>
            </w:r>
          </w:p>
        </w:tc>
        <w:tc>
          <w:tcPr>
            <w:tcW w:w="260" w:type="dxa"/>
            <w:vAlign w:val="bottom"/>
          </w:tcPr>
          <w:p>
            <w:pPr>
              <w:spacing w:after="0"/>
              <w:rPr>
                <w:sz w:val="18"/>
                <w:szCs w:val="18"/>
                <w:color w:val="auto"/>
              </w:rPr>
            </w:pPr>
          </w:p>
        </w:tc>
        <w:tc>
          <w:tcPr>
            <w:tcW w:w="144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20"/>
                <w:szCs w:val="20"/>
                <w:color w:val="auto"/>
              </w:rPr>
              <w:t>87.96%</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w:t>
            </w:r>
          </w:p>
        </w:tc>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3.85%- 4.93%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3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6"/>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terms (years)</w:t>
            </w:r>
          </w:p>
        </w:tc>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1.42-5</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4.99</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Employee stock option grants: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2022, the Company granted to Mr. Harel Gadot, the Company’s Chairman of the Board, President and CEO (the “CEO”), options to purchase an aggregate of 260,000 shares of the Company’s common stock, at an exercise price per share ranging from $3.73-$6.48. The stock options vest over a period of three years as outlined in the option agreements evidencing such grants.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2022, the Company granted to certain employees, consultants and directors, options to purchase an aggregate of 270,822 shares of the Company’s common stock, at an exercise price per share ranging from $3.73-$6.48. The stock options vest over a period of three years as outlined in the option agreements evidencing such grants.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the Company granted to the CEO, options to purchase an aggregate of 80,000 shares of the Company’s common stock, at an exercise price per share of $2.43. The stock options vest over a period of three years as outlined in the option agreements evidencing such grants.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the Company granted stock option awards to certain officers, directors and employees to purchase an aggregate of 631,308 shares of the Company’s common stock, at an exercise price per share ranging from $1.16-$3.48 with a vesting period of three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option activity related to options to employees and directors, and related information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Employee stock option grants:</w:t>
            </w:r>
          </w:p>
        </w:tc>
        <w:tc>
          <w:tcPr>
            <w:tcW w:w="2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06"/>
        </w:trPr>
        <w:tc>
          <w:tcPr>
            <w:tcW w:w="4100" w:type="dxa"/>
            <w:vAlign w:val="bottom"/>
          </w:tcPr>
          <w:p>
            <w:pPr>
              <w:spacing w:after="0"/>
              <w:rPr>
                <w:sz w:val="24"/>
                <w:szCs w:val="24"/>
                <w:color w:val="auto"/>
              </w:rPr>
            </w:pPr>
          </w:p>
        </w:tc>
        <w:tc>
          <w:tcPr>
            <w:tcW w:w="6680" w:type="dxa"/>
            <w:vAlign w:val="bottom"/>
            <w:gridSpan w:val="6"/>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For the Year Ended</w:t>
            </w:r>
          </w:p>
        </w:tc>
      </w:tr>
      <w:tr>
        <w:trPr>
          <w:trHeight w:val="263"/>
        </w:trPr>
        <w:tc>
          <w:tcPr>
            <w:tcW w:w="4100" w:type="dxa"/>
            <w:vAlign w:val="bottom"/>
          </w:tcPr>
          <w:p>
            <w:pPr>
              <w:spacing w:after="0"/>
              <w:rPr>
                <w:sz w:val="22"/>
                <w:szCs w:val="22"/>
                <w:color w:val="auto"/>
              </w:rPr>
            </w:pPr>
          </w:p>
        </w:tc>
        <w:tc>
          <w:tcPr>
            <w:tcW w:w="6680" w:type="dxa"/>
            <w:vAlign w:val="bottom"/>
            <w:gridSpan w:val="6"/>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December 31, 2023</w:t>
            </w:r>
          </w:p>
        </w:tc>
      </w:tr>
      <w:tr>
        <w:trPr>
          <w:trHeight w:val="240"/>
        </w:trPr>
        <w:tc>
          <w:tcPr>
            <w:tcW w:w="4100" w:type="dxa"/>
            <w:vAlign w:val="bottom"/>
          </w:tcPr>
          <w:p>
            <w:pPr>
              <w:spacing w:after="0"/>
              <w:rPr>
                <w:sz w:val="20"/>
                <w:szCs w:val="20"/>
                <w:color w:val="auto"/>
              </w:rPr>
            </w:pPr>
          </w:p>
        </w:tc>
        <w:tc>
          <w:tcPr>
            <w:tcW w:w="27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Number of stock options</w:t>
            </w:r>
          </w:p>
        </w:tc>
        <w:tc>
          <w:tcPr>
            <w:tcW w:w="20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338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Weighted average exercise price</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4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2022</w:t>
            </w: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1,507,137</w:t>
            </w:r>
          </w:p>
        </w:tc>
        <w:tc>
          <w:tcPr>
            <w:tcW w:w="20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34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7.31</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711,308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Forfeitures</w:t>
            </w:r>
          </w:p>
        </w:tc>
        <w:tc>
          <w:tcPr>
            <w:tcW w:w="2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(123,083)</w:t>
            </w:r>
          </w:p>
        </w:tc>
        <w:tc>
          <w:tcPr>
            <w:tcW w:w="280" w:type="dxa"/>
            <w:vAlign w:val="bottom"/>
          </w:tcPr>
          <w:p>
            <w:pPr>
              <w:spacing w:after="0"/>
              <w:rPr>
                <w:sz w:val="22"/>
                <w:szCs w:val="22"/>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2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2,095,362</w:t>
            </w:r>
          </w:p>
        </w:tc>
        <w:tc>
          <w:tcPr>
            <w:tcW w:w="2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3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40" w:type="dxa"/>
            <w:vAlign w:val="bottom"/>
            <w:gridSpan w:val="2"/>
          </w:tcPr>
          <w:p>
            <w:pPr>
              <w:spacing w:after="0"/>
              <w:rPr>
                <w:sz w:val="20"/>
                <w:szCs w:val="20"/>
                <w:color w:val="auto"/>
              </w:rPr>
            </w:pPr>
          </w:p>
        </w:tc>
      </w:tr>
      <w:tr>
        <w:trPr>
          <w:trHeight w:val="20"/>
        </w:trPr>
        <w:tc>
          <w:tcPr>
            <w:tcW w:w="410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Vested as of December 31, 2023</w:t>
            </w: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1,176,118</w:t>
            </w:r>
          </w:p>
        </w:tc>
        <w:tc>
          <w:tcPr>
            <w:tcW w:w="20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34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7.74</w:t>
            </w:r>
          </w:p>
        </w:tc>
      </w:tr>
      <w:tr>
        <w:trPr>
          <w:trHeight w:val="20"/>
        </w:trPr>
        <w:tc>
          <w:tcPr>
            <w:tcW w:w="4100" w:type="dxa"/>
            <w:vAlign w:val="bottom"/>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0800"/>
          </w:cols>
          <w:pgMar w:left="720" w:top="696" w:right="720" w:bottom="186"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6680" w:type="dxa"/>
            <w:vAlign w:val="bottom"/>
            <w:gridSpan w:val="6"/>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For the Year Ended</w:t>
            </w:r>
          </w:p>
        </w:tc>
      </w:tr>
      <w:tr>
        <w:trPr>
          <w:trHeight w:val="263"/>
        </w:trPr>
        <w:tc>
          <w:tcPr>
            <w:tcW w:w="4100" w:type="dxa"/>
            <w:vAlign w:val="bottom"/>
          </w:tcPr>
          <w:p>
            <w:pPr>
              <w:spacing w:after="0"/>
              <w:rPr>
                <w:sz w:val="22"/>
                <w:szCs w:val="22"/>
                <w:color w:val="auto"/>
              </w:rPr>
            </w:pPr>
          </w:p>
        </w:tc>
        <w:tc>
          <w:tcPr>
            <w:tcW w:w="6680" w:type="dxa"/>
            <w:vAlign w:val="bottom"/>
            <w:gridSpan w:val="6"/>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240"/>
        </w:trPr>
        <w:tc>
          <w:tcPr>
            <w:tcW w:w="4100" w:type="dxa"/>
            <w:vAlign w:val="bottom"/>
          </w:tcPr>
          <w:p>
            <w:pPr>
              <w:spacing w:after="0"/>
              <w:rPr>
                <w:sz w:val="20"/>
                <w:szCs w:val="20"/>
                <w:color w:val="auto"/>
              </w:rPr>
            </w:pPr>
          </w:p>
        </w:tc>
        <w:tc>
          <w:tcPr>
            <w:tcW w:w="27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Number of stock options</w:t>
            </w:r>
          </w:p>
        </w:tc>
        <w:tc>
          <w:tcPr>
            <w:tcW w:w="20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338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Weighted average exercise price</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2021</w:t>
            </w: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997,148</w:t>
            </w:r>
          </w:p>
        </w:tc>
        <w:tc>
          <w:tcPr>
            <w:tcW w:w="20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34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8.48</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530,822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Forfeitures</w:t>
            </w:r>
          </w:p>
        </w:tc>
        <w:tc>
          <w:tcPr>
            <w:tcW w:w="2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(20,833)</w:t>
            </w:r>
          </w:p>
        </w:tc>
        <w:tc>
          <w:tcPr>
            <w:tcW w:w="280" w:type="dxa"/>
            <w:vAlign w:val="bottom"/>
          </w:tcPr>
          <w:p>
            <w:pPr>
              <w:spacing w:after="0"/>
              <w:rPr>
                <w:sz w:val="22"/>
                <w:szCs w:val="22"/>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2022</w:t>
            </w:r>
          </w:p>
        </w:tc>
        <w:tc>
          <w:tcPr>
            <w:tcW w:w="2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1,507,137</w:t>
            </w:r>
          </w:p>
        </w:tc>
        <w:tc>
          <w:tcPr>
            <w:tcW w:w="2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3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w:t>
            </w:r>
          </w:p>
        </w:tc>
        <w:tc>
          <w:tcPr>
            <w:tcW w:w="40" w:type="dxa"/>
            <w:vAlign w:val="bottom"/>
            <w:gridSpan w:val="2"/>
          </w:tcPr>
          <w:p>
            <w:pPr>
              <w:spacing w:after="0"/>
              <w:rPr>
                <w:sz w:val="20"/>
                <w:szCs w:val="20"/>
                <w:color w:val="auto"/>
              </w:rPr>
            </w:pPr>
          </w:p>
        </w:tc>
      </w:tr>
      <w:tr>
        <w:trPr>
          <w:trHeight w:val="20"/>
        </w:trPr>
        <w:tc>
          <w:tcPr>
            <w:tcW w:w="410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Vested as of December 31, 2022</w:t>
            </w: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899,609</w:t>
            </w:r>
          </w:p>
        </w:tc>
        <w:tc>
          <w:tcPr>
            <w:tcW w:w="20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34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8.52</w:t>
            </w:r>
          </w:p>
        </w:tc>
      </w:tr>
      <w:tr>
        <w:trPr>
          <w:trHeight w:val="20"/>
        </w:trPr>
        <w:tc>
          <w:tcPr>
            <w:tcW w:w="4100" w:type="dxa"/>
            <w:vAlign w:val="bottom"/>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recognizes forfeitures of outstanding options as they occur.</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2023 and December 31, 2022, respectively.</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As of December 31, 2023, and 2022, the aggregate intrinsic value of the outstanding options is $277 and $185, respectively, and the aggregate intrinsic value of the exercisable options is $102 and $185, respectively.</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weighted average grant date fair value of options granted during the years ended December 31, 2023 and 2022 was $1.40 and $4.50, respectively.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option grants: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of December 31, 2023, there were approximately $1,918 of total unrecognized compensation costs related to unvested share-based compensation awards granted under the Share Incentive Plan. The costs are expected to be recognized over a weighted average period of 2.4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stock options outstanding as of December 31, 2023 and December 31, 2022, summarized by exercise prices,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Weighted average</w:t>
            </w:r>
          </w:p>
        </w:tc>
        <w:tc>
          <w:tcPr>
            <w:tcW w:w="10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Weighted average</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Stock options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Stock options</w:t>
            </w:r>
          </w:p>
        </w:tc>
        <w:tc>
          <w:tcPr>
            <w:tcW w:w="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100" w:type="dxa"/>
            <w:vAlign w:val="bottom"/>
          </w:tcPr>
          <w:p>
            <w:pPr>
              <w:spacing w:after="0"/>
              <w:rPr>
                <w:sz w:val="19"/>
                <w:szCs w:val="19"/>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Stock options</w:t>
            </w: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Stock options</w:t>
            </w:r>
          </w:p>
        </w:tc>
      </w:tr>
      <w:tr>
        <w:trPr>
          <w:trHeight w:val="230"/>
        </w:trPr>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outstanding as of</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outstanding as of</w:t>
            </w:r>
          </w:p>
        </w:tc>
        <w:tc>
          <w:tcPr>
            <w:tcW w:w="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contractual life -</w:t>
            </w:r>
          </w:p>
        </w:tc>
        <w:tc>
          <w:tcPr>
            <w:tcW w:w="10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contractual life -</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exercisable as of</w:t>
            </w: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exercisable as of</w:t>
            </w:r>
          </w:p>
        </w:tc>
      </w:tr>
      <w:tr>
        <w:trPr>
          <w:trHeight w:val="230"/>
        </w:trPr>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Exercise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years as of</w:t>
            </w:r>
          </w:p>
        </w:tc>
        <w:tc>
          <w:tcPr>
            <w:tcW w:w="10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years as of</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63"/>
        </w:trPr>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price $</w:t>
            </w: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00" w:type="dxa"/>
            <w:vAlign w:val="bottom"/>
          </w:tcPr>
          <w:p>
            <w:pPr>
              <w:spacing w:after="0"/>
              <w:rPr>
                <w:sz w:val="22"/>
                <w:szCs w:val="22"/>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20" w:type="dxa"/>
            <w:vAlign w:val="bottom"/>
          </w:tcPr>
          <w:p>
            <w:pPr>
              <w:spacing w:after="0"/>
              <w:rPr>
                <w:sz w:val="22"/>
                <w:szCs w:val="22"/>
                <w:color w:val="auto"/>
              </w:rPr>
            </w:pPr>
          </w:p>
        </w:tc>
      </w:tr>
      <w:tr>
        <w:trPr>
          <w:trHeight w:val="210"/>
        </w:trPr>
        <w:tc>
          <w:tcPr>
            <w:tcW w:w="820" w:type="dxa"/>
            <w:vAlign w:val="bottom"/>
            <w:tcBorders>
              <w:top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rPr>
              <w:t>0.00-0.01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61,577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61,577</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2.3</w:t>
            </w:r>
          </w:p>
        </w:tc>
        <w:tc>
          <w:tcPr>
            <w:tcW w:w="100" w:type="dxa"/>
            <w:vAlign w:val="bottom"/>
          </w:tcPr>
          <w:p>
            <w:pPr>
              <w:spacing w:after="0"/>
              <w:rPr>
                <w:sz w:val="18"/>
                <w:szCs w:val="18"/>
                <w:color w:val="auto"/>
              </w:rPr>
            </w:pPr>
          </w:p>
        </w:tc>
        <w:tc>
          <w:tcPr>
            <w:tcW w:w="178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3.3</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61,577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61,577</w:t>
            </w:r>
          </w:p>
        </w:tc>
        <w:tc>
          <w:tcPr>
            <w:tcW w:w="20" w:type="dxa"/>
            <w:vAlign w:val="bottom"/>
          </w:tcPr>
          <w:p>
            <w:pPr>
              <w:spacing w:after="0"/>
              <w:rPr>
                <w:sz w:val="18"/>
                <w:szCs w:val="18"/>
                <w:color w:val="auto"/>
              </w:rPr>
            </w:pPr>
          </w:p>
        </w:tc>
      </w:tr>
      <w:tr>
        <w:trPr>
          <w:trHeight w:val="230"/>
        </w:trPr>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1.00-3.73</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860,808</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211,000</w:t>
            </w:r>
          </w:p>
        </w:tc>
        <w:tc>
          <w:tcPr>
            <w:tcW w:w="2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95,925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4.2-7.26</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639,232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687,482</w:t>
            </w:r>
          </w:p>
        </w:tc>
        <w:tc>
          <w:tcPr>
            <w:tcW w:w="2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0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484,871</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315,807</w:t>
            </w:r>
          </w:p>
        </w:tc>
      </w:tr>
      <w:tr>
        <w:trPr>
          <w:trHeight w:val="230"/>
        </w:trPr>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8.16-9.64</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380,872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380,872</w:t>
            </w:r>
          </w:p>
        </w:tc>
        <w:tc>
          <w:tcPr>
            <w:tcW w:w="2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7.6</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380,872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356,019</w:t>
            </w:r>
          </w:p>
        </w:tc>
      </w:tr>
      <w:tr>
        <w:trPr>
          <w:trHeight w:val="230"/>
        </w:trPr>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15.75</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152,873</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166,206</w:t>
            </w:r>
          </w:p>
        </w:tc>
        <w:tc>
          <w:tcPr>
            <w:tcW w:w="20" w:type="dxa"/>
            <w:vAlign w:val="bottom"/>
          </w:tcPr>
          <w:p>
            <w:pPr>
              <w:spacing w:after="0"/>
              <w:rPr>
                <w:sz w:val="22"/>
                <w:szCs w:val="22"/>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00" w:type="dxa"/>
            <w:vAlign w:val="bottom"/>
          </w:tcPr>
          <w:p>
            <w:pPr>
              <w:spacing w:after="0"/>
              <w:rPr>
                <w:sz w:val="22"/>
                <w:szCs w:val="22"/>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152,873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166,206</w:t>
            </w:r>
          </w:p>
        </w:tc>
      </w:tr>
      <w:tr>
        <w:trPr>
          <w:trHeight w:val="230"/>
        </w:trPr>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2,095,362</w:t>
            </w:r>
          </w:p>
        </w:tc>
        <w:tc>
          <w:tcPr>
            <w:tcW w:w="100" w:type="dxa"/>
            <w:vAlign w:val="bottom"/>
          </w:tcPr>
          <w:p>
            <w:pPr>
              <w:spacing w:after="0"/>
              <w:rPr>
                <w:sz w:val="20"/>
                <w:szCs w:val="20"/>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1,507,137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1,176,118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899,609</w:t>
            </w:r>
          </w:p>
        </w:tc>
        <w:tc>
          <w:tcPr>
            <w:tcW w:w="2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option grants: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 date fair values of employee stock options granted in the years ended December 31, 2023 and 2022 were estimated using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Black-Scholes valuation model with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580" w:type="dxa"/>
            <w:vAlign w:val="bottom"/>
            <w:gridSpan w:val="3"/>
          </w:tcPr>
          <w:p>
            <w:pPr>
              <w:jc w:val="center"/>
              <w:ind w:left="300"/>
              <w:spacing w:after="0"/>
              <w:rPr>
                <w:sz w:val="20"/>
                <w:szCs w:val="20"/>
                <w:color w:val="auto"/>
              </w:rPr>
            </w:pPr>
            <w:r>
              <w:rPr>
                <w:rFonts w:ascii="Times New Roman" w:cs="Times New Roman" w:eastAsia="Times New Roman" w:hAnsi="Times New Roman"/>
                <w:sz w:val="20"/>
                <w:szCs w:val="20"/>
                <w:b w:val="1"/>
                <w:bCs w:val="1"/>
                <w:color w:val="auto"/>
                <w:w w:val="99"/>
              </w:rPr>
              <w:t>For the Years Ended</w:t>
            </w: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4500" w:type="dxa"/>
            <w:vAlign w:val="bottom"/>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3"/>
          </w:tcPr>
          <w:p>
            <w:pPr>
              <w:jc w:val="center"/>
              <w:ind w:left="30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0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40"/>
        </w:trPr>
        <w:tc>
          <w:tcPr>
            <w:tcW w:w="450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1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3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Pr>
          <w:p>
            <w:pPr>
              <w:spacing w:after="0"/>
              <w:rPr>
                <w:sz w:val="20"/>
                <w:szCs w:val="20"/>
                <w:color w:val="auto"/>
              </w:rPr>
            </w:pPr>
          </w:p>
        </w:tc>
      </w:tr>
      <w:tr>
        <w:trPr>
          <w:trHeight w:val="211"/>
        </w:trPr>
        <w:tc>
          <w:tcPr>
            <w:tcW w:w="45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Expected volatility</w:t>
            </w:r>
          </w:p>
        </w:tc>
        <w:tc>
          <w:tcPr>
            <w:tcW w:w="160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86.5%-98.2%</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111.2%-161.7%</w:t>
            </w:r>
          </w:p>
        </w:tc>
        <w:tc>
          <w:tcPr>
            <w:tcW w:w="20" w:type="dxa"/>
            <w:vAlign w:val="bottom"/>
          </w:tcPr>
          <w:p>
            <w:pPr>
              <w:spacing w:after="0"/>
              <w:rPr>
                <w:sz w:val="18"/>
                <w:szCs w:val="18"/>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Risk-free interest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3.3%- 4.7%</w:t>
            </w:r>
          </w:p>
        </w:tc>
        <w:tc>
          <w:tcPr>
            <w:tcW w:w="1200" w:type="dxa"/>
            <w:vAlign w:val="bottom"/>
          </w:tcPr>
          <w:p>
            <w:pPr>
              <w:spacing w:after="0"/>
              <w:rPr>
                <w:sz w:val="19"/>
                <w:szCs w:val="19"/>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1.7%- 3.7%</w:t>
            </w: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spacing w:after="0"/>
              <w:rPr>
                <w:sz w:val="19"/>
                <w:szCs w:val="19"/>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Expected terms (years)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5.8</w:t>
            </w:r>
          </w:p>
        </w:tc>
        <w:tc>
          <w:tcPr>
            <w:tcW w:w="1200" w:type="dxa"/>
            <w:vAlign w:val="bottom"/>
          </w:tcPr>
          <w:p>
            <w:pPr>
              <w:spacing w:after="0"/>
              <w:rPr>
                <w:sz w:val="23"/>
                <w:szCs w:val="23"/>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6.2</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 Warrants: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remaining outstanding warrants and terms as of December 31, 2023 and 2022 are as follows:</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0800"/>
          </w:cols>
          <w:pgMar w:left="720" w:top="696" w:right="720" w:bottom="186"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Outstanding and exercisable as of</w:t>
            </w:r>
          </w:p>
        </w:tc>
        <w:tc>
          <w:tcPr>
            <w:tcW w:w="3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Outstanding and exercisable as of</w:t>
            </w:r>
          </w:p>
        </w:tc>
        <w:tc>
          <w:tcPr>
            <w:tcW w:w="1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Exercisable</w:t>
            </w:r>
          </w:p>
        </w:tc>
      </w:tr>
      <w:tr>
        <w:trPr>
          <w:trHeight w:val="263"/>
        </w:trPr>
        <w:tc>
          <w:tcPr>
            <w:tcW w:w="222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Issuance date</w:t>
            </w:r>
          </w:p>
        </w:tc>
        <w:tc>
          <w:tcPr>
            <w:tcW w:w="40" w:type="dxa"/>
            <w:vAlign w:val="bottom"/>
          </w:tcPr>
          <w:p>
            <w:pPr>
              <w:spacing w:after="0"/>
              <w:rPr>
                <w:sz w:val="22"/>
                <w:szCs w:val="22"/>
                <w:color w:val="auto"/>
              </w:rPr>
            </w:pPr>
          </w:p>
        </w:tc>
        <w:tc>
          <w:tcPr>
            <w:tcW w:w="3040" w:type="dxa"/>
            <w:vAlign w:val="bottom"/>
            <w:gridSpan w:val="2"/>
          </w:tcPr>
          <w:p>
            <w:pPr>
              <w:jc w:val="right"/>
              <w:ind w:right="76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3040" w:type="dxa"/>
            <w:vAlign w:val="bottom"/>
            <w:gridSpan w:val="2"/>
          </w:tcPr>
          <w:p>
            <w:pPr>
              <w:jc w:val="right"/>
              <w:ind w:right="76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20" w:type="dxa"/>
            <w:vAlign w:val="bottom"/>
          </w:tcPr>
          <w:p>
            <w:pPr>
              <w:spacing w:after="0"/>
              <w:rPr>
                <w:sz w:val="22"/>
                <w:szCs w:val="22"/>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Price</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Through</w:t>
            </w:r>
          </w:p>
        </w:tc>
      </w:tr>
      <w:tr>
        <w:trPr>
          <w:trHeight w:val="211"/>
        </w:trPr>
        <w:tc>
          <w:tcPr>
            <w:tcW w:w="222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20"/>
                <w:szCs w:val="20"/>
                <w:color w:val="auto"/>
              </w:rPr>
              <w:t>Series A (2013)</w:t>
            </w:r>
          </w:p>
        </w:tc>
        <w:tc>
          <w:tcPr>
            <w:tcW w:w="40" w:type="dxa"/>
            <w:vAlign w:val="bottom"/>
          </w:tcPr>
          <w:p>
            <w:pPr>
              <w:spacing w:after="0"/>
              <w:rPr>
                <w:sz w:val="18"/>
                <w:szCs w:val="18"/>
                <w:color w:val="auto"/>
              </w:rPr>
            </w:pPr>
          </w:p>
        </w:tc>
        <w:tc>
          <w:tcPr>
            <w:tcW w:w="29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29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183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2,754.00</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rPr>
              <w:t>April 9, 2023</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December 2019</w:t>
            </w:r>
          </w:p>
        </w:tc>
        <w:tc>
          <w:tcPr>
            <w:tcW w:w="3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3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45,643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13.13</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25, 2023</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December 2019</w:t>
            </w:r>
          </w:p>
        </w:tc>
        <w:tc>
          <w:tcPr>
            <w:tcW w:w="3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3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47,619</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13.13</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27, 2023</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December 2019</w:t>
            </w:r>
          </w:p>
        </w:tc>
        <w:tc>
          <w:tcPr>
            <w:tcW w:w="3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3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45,045</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13.88</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30, 2023</w:t>
            </w:r>
          </w:p>
        </w:tc>
      </w:tr>
      <w:tr>
        <w:trPr>
          <w:trHeight w:val="230"/>
        </w:trPr>
        <w:tc>
          <w:tcPr>
            <w:tcW w:w="2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25,</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Series A October 2022</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1,022,495</w:t>
            </w:r>
          </w:p>
        </w:tc>
        <w:tc>
          <w:tcPr>
            <w:tcW w:w="10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1,022,495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2027</w:t>
            </w:r>
          </w:p>
        </w:tc>
      </w:tr>
      <w:tr>
        <w:trPr>
          <w:trHeight w:val="230"/>
        </w:trPr>
        <w:tc>
          <w:tcPr>
            <w:tcW w:w="2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25,</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Series B October 2022</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1,022,495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2027</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Prefunded warrants</w:t>
            </w:r>
          </w:p>
        </w:tc>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October 2022</w:t>
            </w:r>
          </w:p>
        </w:tc>
        <w:tc>
          <w:tcPr>
            <w:tcW w:w="3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3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240,000</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 limit</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October 2022</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51,125</w:t>
            </w:r>
          </w:p>
        </w:tc>
        <w:tc>
          <w:tcPr>
            <w:tcW w:w="10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2027</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November 23,</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May 2023</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32,778</w:t>
            </w:r>
          </w:p>
        </w:tc>
        <w:tc>
          <w:tcPr>
            <w:tcW w:w="100" w:type="dxa"/>
            <w:vAlign w:val="bottom"/>
          </w:tcPr>
          <w:p>
            <w:pPr>
              <w:spacing w:after="0"/>
              <w:rPr>
                <w:sz w:val="19"/>
                <w:szCs w:val="19"/>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November 24,</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May 2023</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60,476</w:t>
            </w:r>
          </w:p>
        </w:tc>
        <w:tc>
          <w:tcPr>
            <w:tcW w:w="100" w:type="dxa"/>
            <w:vAlign w:val="bottom"/>
          </w:tcPr>
          <w:p>
            <w:pPr>
              <w:spacing w:after="0"/>
              <w:rPr>
                <w:sz w:val="19"/>
                <w:szCs w:val="19"/>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June 2023</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35,088</w:t>
            </w:r>
          </w:p>
        </w:tc>
        <w:tc>
          <w:tcPr>
            <w:tcW w:w="100" w:type="dxa"/>
            <w:vAlign w:val="bottom"/>
          </w:tcPr>
          <w:p>
            <w:pPr>
              <w:spacing w:after="0"/>
              <w:rPr>
                <w:sz w:val="19"/>
                <w:szCs w:val="19"/>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 2028</w:t>
            </w:r>
          </w:p>
        </w:tc>
      </w:tr>
      <w:tr>
        <w:trPr>
          <w:trHeight w:val="230"/>
        </w:trPr>
        <w:tc>
          <w:tcPr>
            <w:tcW w:w="2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6,</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w w:val="99"/>
              </w:rPr>
              <w:t>Warrant series C June 2023</w:t>
            </w:r>
          </w:p>
        </w:tc>
        <w:tc>
          <w:tcPr>
            <w:tcW w:w="3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350,878</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2.08</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2028</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June 2023</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31,231</w:t>
            </w:r>
          </w:p>
        </w:tc>
        <w:tc>
          <w:tcPr>
            <w:tcW w:w="100" w:type="dxa"/>
            <w:vAlign w:val="bottom"/>
          </w:tcPr>
          <w:p>
            <w:pPr>
              <w:spacing w:after="0"/>
              <w:rPr>
                <w:sz w:val="19"/>
                <w:szCs w:val="19"/>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28, 2028</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Warrant series D June</w:t>
            </w:r>
          </w:p>
        </w:tc>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28,</w:t>
            </w:r>
          </w:p>
        </w:tc>
      </w:tr>
      <w:tr>
        <w:trPr>
          <w:trHeight w:val="266"/>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312,309</w:t>
            </w:r>
          </w:p>
        </w:tc>
        <w:tc>
          <w:tcPr>
            <w:tcW w:w="100" w:type="dxa"/>
            <w:vAlign w:val="bottom"/>
          </w:tcPr>
          <w:p>
            <w:pPr>
              <w:spacing w:after="0"/>
              <w:rPr>
                <w:sz w:val="23"/>
                <w:szCs w:val="23"/>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2028</w:t>
            </w:r>
          </w:p>
        </w:tc>
      </w:tr>
    </w:tbl>
    <w:p>
      <w:pPr>
        <w:spacing w:after="0" w:line="19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 Less than $0.01.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BASIC AND DILUTED NET LOSS PER SHARE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2023 and 2022.</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the calculation of the basic and diluted net loss, the Company included warrants that would be exercised for no or little consideration and are exercisable with no contingencies.</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Due to the net loss to common shareholders in each of the periods presented above, diluted loss per share was computed without consideration to potentially dilutive instruments as their inclusion would have been anti-dilutive. As of December 31, 2023 and 2022, potentially dilutive securities excluded from the diluted loss per share calculation are as follows:</w:t>
      </w:r>
    </w:p>
    <w:p>
      <w:pPr>
        <w:spacing w:after="0" w:line="64"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20"/>
          <w:szCs w:val="20"/>
          <w:b w:val="1"/>
          <w:bCs w:val="1"/>
          <w:color w:val="auto"/>
        </w:rPr>
        <w:t>For the Years Ended</w:t>
      </w:r>
    </w:p>
    <w:p>
      <w:pPr>
        <w:spacing w:after="0" w:line="23"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20"/>
          <w:szCs w:val="20"/>
          <w:b w:val="1"/>
          <w:bCs w:val="1"/>
          <w:color w:val="auto"/>
        </w:rPr>
        <w:t>December 31,</w:t>
      </w:r>
    </w:p>
    <w:tbl>
      <w:tblPr>
        <w:tblLayout w:type="fixed"/>
        <w:tblInd w:w="0" w:type="dxa"/>
        <w:tblCellMar>
          <w:top w:w="0" w:type="dxa"/>
          <w:left w:w="0" w:type="dxa"/>
          <w:bottom w:w="0" w:type="dxa"/>
          <w:right w:w="0" w:type="dxa"/>
        </w:tblCellMar>
      </w:tblPr>
      <w:tr>
        <w:trPr>
          <w:trHeight w:val="250"/>
        </w:trPr>
        <w:tc>
          <w:tcPr>
            <w:tcW w:w="5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44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Series A 2013</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December 2019</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45,643</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December 2019</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47,619</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December 2019</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45,045</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Series A and B warrants October 2022</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1,022,495</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2,044,990</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October 2022</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51,125</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51,125</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May 2023</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32,778</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May 2023</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60,476</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June 2023</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35,088</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Warrant series C June 2023</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350,878</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June 2023</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31,231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Warrant series D June 2023</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312,309</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9"/>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employee stock options to purchase common stock</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2,095,362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1,507,137</w:t>
            </w:r>
          </w:p>
        </w:tc>
      </w:tr>
      <w:tr>
        <w:trPr>
          <w:trHeight w:val="20"/>
        </w:trPr>
        <w:tc>
          <w:tcPr>
            <w:tcW w:w="5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18"/>
        </w:trPr>
        <w:tc>
          <w:tcPr>
            <w:tcW w:w="5160" w:type="dxa"/>
            <w:vAlign w:val="bottom"/>
          </w:tcPr>
          <w:p>
            <w:pPr>
              <w:spacing w:after="0"/>
              <w:rPr>
                <w:sz w:val="24"/>
                <w:szCs w:val="24"/>
                <w:color w:val="auto"/>
              </w:rPr>
            </w:pPr>
          </w:p>
        </w:tc>
        <w:tc>
          <w:tcPr>
            <w:tcW w:w="42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F-20</w:t>
            </w:r>
          </w:p>
        </w:tc>
        <w:tc>
          <w:tcPr>
            <w:tcW w:w="1300" w:type="dxa"/>
            <w:vAlign w:val="bottom"/>
          </w:tcPr>
          <w:p>
            <w:pPr>
              <w:spacing w:after="0"/>
              <w:rPr>
                <w:sz w:val="24"/>
                <w:szCs w:val="24"/>
                <w:color w:val="auto"/>
              </w:rPr>
            </w:pPr>
          </w:p>
        </w:tc>
      </w:tr>
    </w:tbl>
    <w:p>
      <w:pPr>
        <w:sectPr>
          <w:pgSz w:w="12240" w:h="15840" w:orient="portrait"/>
          <w:cols w:equalWidth="0" w:num="1">
            <w:col w:w="10800"/>
          </w:cols>
          <w:pgMar w:left="720" w:top="696" w:right="720" w:bottom="139"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NOTE 12 - RESEARCH AND DEVELOPMENT EXPENSES, NET</w:t>
            </w: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6"/>
        </w:trPr>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gridSpan w:val="5"/>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w w:val="98"/>
              </w:rPr>
              <w:t>For the Years Ended</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Payroll and related expenses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Borders>
              <w:top w:val="single" w:sz="8" w:color="auto"/>
            </w:tcBorders>
          </w:tcPr>
          <w:p>
            <w:pPr>
              <w:jc w:val="right"/>
              <w:ind w:right="96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auto"/>
              </w:rPr>
              <w:t>2,455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top w:val="single" w:sz="8" w:color="auto"/>
            </w:tcBorders>
          </w:tcPr>
          <w:p>
            <w:pPr>
              <w:jc w:val="right"/>
              <w:ind w:right="110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gridSpan w:val="2"/>
          </w:tcPr>
          <w:p>
            <w:pPr>
              <w:jc w:val="right"/>
              <w:ind w:right="20"/>
              <w:spacing w:after="0" w:line="210" w:lineRule="exact"/>
              <w:rPr>
                <w:sz w:val="20"/>
                <w:szCs w:val="20"/>
                <w:color w:val="auto"/>
              </w:rPr>
            </w:pPr>
            <w:r>
              <w:rPr>
                <w:rFonts w:ascii="Times New Roman" w:cs="Times New Roman" w:eastAsia="Times New Roman" w:hAnsi="Times New Roman"/>
                <w:sz w:val="20"/>
                <w:szCs w:val="20"/>
                <w:color w:val="auto"/>
              </w:rPr>
              <w:t>3,558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407</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387</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services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1,842</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2,097</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Materials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520</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559</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Patents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157</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341</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Rent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Office and maintenance expenses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55</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106</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Less - grants</w:t>
            </w: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(279)</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960"/>
              <w:spacing w:after="0"/>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5,724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ind w:right="110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7,736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13 - GENERAL AND ADMINISTRATIVE EXPENSES, NET</w:t>
            </w:r>
          </w:p>
        </w:tc>
        <w:tc>
          <w:tcPr>
            <w:tcW w:w="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02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Payroll and related expenses</w:t>
            </w:r>
          </w:p>
        </w:tc>
        <w:tc>
          <w:tcPr>
            <w:tcW w:w="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auto"/>
              </w:rPr>
              <w:t>1,223</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1,813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Government fees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58</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988</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services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1,204</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Insurance</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442</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Public and investor relations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148</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Office and maintenance expenses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95</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Travel</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160</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Less - insurance loss recoveries</w:t>
            </w: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4,131</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 RELATED PARTIES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There were no material related party transactions in each of the years ended December 31, 2023 and 2022 that were outside of the Company’s normal course of business.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TAXES ON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is subject to U.S. federal tax rate of 21% for the years ended December 31, 2023 and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not been audited by the Internal Revenue Service since its incorporation.</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of December 31, 2023 and 2022, the Company has generated accumulated net operating losses in the U.S. of approximately $506,317 and $502,053,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Microbot Israel is subject to Israeli corporate tax rate of 23% for the years ended 2023 and 2022. Microbot Israel has not received a final tax assessment since 2018.</w:t>
      </w:r>
    </w:p>
    <w:p>
      <w:pPr>
        <w:spacing w:after="0" w:line="4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As of December 31, 2023 and 2022, Microbot Israel has generated accumulated net operating losses in Israel of approximately $41,164 and $34,688, respectively, which may be carried forward and offset against taxable income in the future for an indefinite period.</w:t>
      </w: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ectPr>
          <w:pgSz w:w="12240" w:h="15840" w:orient="portrait"/>
          <w:cols w:equalWidth="0" w:num="1">
            <w:col w:w="10800"/>
          </w:cols>
          <w:pgMar w:left="720" w:top="92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800"/>
          </w:cols>
          <w:pgMar w:left="720" w:top="926" w:right="720" w:bottom="186"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63"/>
        </w:trPr>
        <w:tc>
          <w:tcPr>
            <w:tcW w:w="6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380" w:type="dxa"/>
            <w:vAlign w:val="bottom"/>
            <w:gridSpan w:val="6"/>
          </w:tcPr>
          <w:p>
            <w:pPr>
              <w:jc w:val="right"/>
              <w:ind w:right="108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40"/>
        </w:trPr>
        <w:tc>
          <w:tcPr>
            <w:tcW w:w="69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0"/>
                <w:szCs w:val="20"/>
                <w:color w:val="auto"/>
              </w:rPr>
            </w:pPr>
          </w:p>
        </w:tc>
      </w:tr>
      <w:tr>
        <w:trPr>
          <w:trHeight w:val="44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115,778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113,393</w:t>
            </w: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105</w:t>
            </w: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Accrued vacation pay</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71</w:t>
            </w: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Legal settlement accrual</w:t>
            </w:r>
          </w:p>
        </w:tc>
        <w:tc>
          <w:tcPr>
            <w:tcW w:w="3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464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Advance payment from IIA</w:t>
            </w: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11"/>
        </w:trPr>
        <w:tc>
          <w:tcPr>
            <w:tcW w:w="69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Total deferred tax assets</w:t>
            </w: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116,371</w:t>
            </w: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113,569</w:t>
            </w:r>
          </w:p>
        </w:tc>
        <w:tc>
          <w:tcPr>
            <w:tcW w:w="60" w:type="dxa"/>
            <w:vAlign w:val="bottom"/>
          </w:tcPr>
          <w:p>
            <w:pPr>
              <w:spacing w:after="0"/>
              <w:rPr>
                <w:sz w:val="18"/>
                <w:szCs w:val="18"/>
                <w:color w:val="auto"/>
              </w:rPr>
            </w:pPr>
          </w:p>
        </w:tc>
      </w:tr>
      <w:tr>
        <w:trPr>
          <w:trHeight w:val="259"/>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380" w:type="dxa"/>
            <w:vAlign w:val="bottom"/>
          </w:tcPr>
          <w:p>
            <w:pPr>
              <w:spacing w:after="0"/>
              <w:rPr>
                <w:sz w:val="22"/>
                <w:szCs w:val="22"/>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(116,014)</w:t>
            </w:r>
          </w:p>
        </w:tc>
        <w:tc>
          <w:tcPr>
            <w:tcW w:w="40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(113,455)</w:t>
            </w:r>
          </w:p>
        </w:tc>
      </w:tr>
      <w:tr>
        <w:trPr>
          <w:trHeight w:val="24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60" w:type="dxa"/>
            <w:vAlign w:val="bottom"/>
          </w:tcPr>
          <w:p>
            <w:pPr>
              <w:spacing w:after="0"/>
              <w:rPr>
                <w:sz w:val="20"/>
                <w:szCs w:val="20"/>
                <w:color w:val="auto"/>
              </w:rPr>
            </w:pPr>
          </w:p>
        </w:tc>
      </w:tr>
      <w:tr>
        <w:trPr>
          <w:trHeight w:val="44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right-of-use assets</w:t>
            </w:r>
          </w:p>
        </w:tc>
        <w:tc>
          <w:tcPr>
            <w:tcW w:w="380" w:type="dxa"/>
            <w:vAlign w:val="bottom"/>
          </w:tcPr>
          <w:p>
            <w:pPr>
              <w:spacing w:after="0"/>
              <w:rPr>
                <w:sz w:val="24"/>
                <w:szCs w:val="24"/>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(60)</w:t>
            </w:r>
          </w:p>
        </w:tc>
        <w:tc>
          <w:tcPr>
            <w:tcW w:w="4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Grant receivable (Ministry of Economy)</w:t>
            </w:r>
          </w:p>
        </w:tc>
        <w:tc>
          <w:tcPr>
            <w:tcW w:w="38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(5)</w:t>
            </w:r>
          </w:p>
        </w:tc>
        <w:tc>
          <w:tcPr>
            <w:tcW w:w="4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Insurance recovery receivable</w:t>
            </w:r>
          </w:p>
        </w:tc>
        <w:tc>
          <w:tcPr>
            <w:tcW w:w="38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(280)</w:t>
            </w:r>
          </w:p>
        </w:tc>
        <w:tc>
          <w:tcPr>
            <w:tcW w:w="4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380" w:type="dxa"/>
            <w:vAlign w:val="bottom"/>
          </w:tcPr>
          <w:p>
            <w:pPr>
              <w:spacing w:after="0"/>
              <w:rPr>
                <w:sz w:val="22"/>
                <w:szCs w:val="22"/>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(12)</w:t>
            </w:r>
          </w:p>
        </w:tc>
        <w:tc>
          <w:tcPr>
            <w:tcW w:w="40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60" w:type="dxa"/>
            <w:vAlign w:val="bottom"/>
          </w:tcPr>
          <w:p>
            <w:pPr>
              <w:spacing w:after="0"/>
              <w:rPr>
                <w:sz w:val="20"/>
                <w:szCs w:val="20"/>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Total net deferred tax assets</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Income Taxes: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 SUBSEQUENT EVENTS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Preferred investment options inducement:</w:t>
      </w:r>
    </w:p>
    <w:p>
      <w:pPr>
        <w:spacing w:after="0" w:line="1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payable by the Company.</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mentioned in Note 9E above, the Company engaged Wainwright to act as its exclusive placement agent in connection with the transactions summarized above pursuant to an Engagement Letter, dated October 24, 2023 and paid Wainwright a cash fee equal to 7.0% of the gross proceeds received from the exercise of the Existing Investment Options as well as a management fee equal to 1.0% of the gross proceeds from the exercise of the Existing Investment Options. The Company also paid Wainwright $60 for non-accountable expenses, and approximately $16 for certain administrative fees.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Closing of the preferred investment option exercise inducement offer letter, and the modification of the previous warrants, the issuance of the stock and the warrants, and the receipt of cash, all occurred after December 31, 2023.</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Reinstatement of annual compensation: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January 8, 2024, the Board of Directors of the Company authorized the reinstatement of the annual fees payable to the independent directors for their services, effective as of January 1, 2024. Such fees were suspended in May 2023 as a result of the Company’s cost reduction plan.</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0800"/>
          </w:cols>
          <w:pgMar w:left="720" w:top="696" w:right="720" w:bottom="186" w:gutter="0" w:footer="0" w:header="0"/>
          <w:type w:val="continuous"/>
        </w:sectPr>
      </w:pPr>
    </w:p>
    <w:bookmarkStart w:id="78" w:name="page79"/>
    <w:bookmarkEnd w:id="78"/>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also reinstated in full of the annual compensation of the CEO, effective as of January 1, 2024. Such compensation was reduced by 50% in May 2023 as a result of the Company’s cost reduction plan.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 Settlement of litigation resulting from the 2017 financing:</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January 26, 2024 (the “Effective Date”), the Company entered into a settlement agreement and release with the Plaintiffs (the “Settlement Agreement”), effectively resolving a lawsuit brought against the Company in 2020. The lawsuit stemmed from securities purchase agreements made between the Company and the third parties in 2017.</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the Settlement Agreement, the Company agreed to pay $2,154 consisting of a cash payment of $1,100, covered by the Company’s insurance company, and 1,005,965 shares of restricted common stock. Furthermore, the Company’s insurance company is responsible for covering legal expenses incurred by the Company in relation to the legal proceedings of the Lawsuit. As part of the Settlement Agreement, the Company is also obligated to register the restricted common stock. In February 2024, the Plaintiffs filed a stipulation discontinuing the Lawsuit with prejudice.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concluded the Settlement Agreement gave rise to loss contingencies in the scope of ASC Subtopic 450-20, Contingencies</w:t>
      </w:r>
    </w:p>
    <w:p>
      <w:pPr>
        <w:spacing w:after="0" w:line="40" w:lineRule="exact"/>
        <w:rPr>
          <w:sz w:val="20"/>
          <w:szCs w:val="20"/>
          <w:color w:val="auto"/>
        </w:rPr>
      </w:pPr>
    </w:p>
    <w:p>
      <w:pPr>
        <w:spacing w:after="0" w:line="248" w:lineRule="auto"/>
        <w:tabs>
          <w:tab w:leader="none" w:pos="13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Contingencies, and as of December 31, 2023, the Company recorded a contingent liability, as the Company deemed it both probable and reasonably estimable.</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20"/>
          <w:szCs w:val="20"/>
          <w:i w:val="1"/>
          <w:iCs w:val="1"/>
          <w:color w:val="auto"/>
        </w:rPr>
        <w:t>.</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Stock option grants and other compensation:</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 The Company also granted the CEO and other executives, options to purchase an aggregate of 132,500 shares of common stock at an exercise price per share of $1.25, with vesting based on meeting certain performance conditions in the year 2024.</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February 2024, the Company granted certain employees and advisors, options to purchase an aggregate of 77,500 shares of the Company’s common stock, at an exercise price per share of $1.2684, with a vesting period of three years.</w:t>
      </w:r>
    </w:p>
    <w:p>
      <w:pPr>
        <w:spacing w:after="0" w:line="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 The remaining 75% of the CEO’s bonus will be paid in cash contingent upon meeting certain conditions during 2024. As for other Company executives’ 2023 annual bonuses, in February 2024, the Company paid 50% of such bonuses in cash. The remaining 50% of such bonuses will be paid in cash contingent upon meeting certain conditions during 2024. As of December 31, 2023 and for the year then ended, the portions of the bonuses, which were paid in February 2024 in options and cash, were reflected as a liability in the Company’s balance sheet against payroll expenses in the Company’s statement of comprehensive loss, amounting to approximately $140.</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 Return of CardioSert intellectual property assets: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March 3, 2024, the Company received notice from CardioSert that it was triggering its right to reacquire the Technology, pursuant to its rights under the CardioSert Agreement. The Company expects the transfer of the Technology back to CardioSert will occur in the second fiscal quarter of 2024.</w:t>
      </w:r>
    </w:p>
    <w:p>
      <w:pPr>
        <w:sectPr>
          <w:pgSz w:w="12240" w:h="15840" w:orient="portrait"/>
          <w:cols w:equalWidth="0" w:num="1">
            <w:col w:w="10800"/>
          </w:cols>
          <w:pgMar w:left="720" w:top="700"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sectPr>
      <w:pgSz w:w="12240" w:h="15840" w:orient="portrait"/>
      <w:cols w:equalWidth="0" w:num="1">
        <w:col w:w="10800"/>
      </w:cols>
      <w:pgMar w:left="720" w:top="700" w:right="720" w:bottom="1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Emoji">
    <w:panose1 w:val="020B0502040204020203"/>
    <w:charset w:val="00"/>
    <w:family w:val="swiss"/>
    <w:pitch w:val="variable"/>
    <w:sig w:usb0="00000001" w:usb1="02000000" w:usb2="00000000" w:usb3="00000000" w:csb0="00000001" w:csb1="0000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4"/>
      <w:numFmt w:val="bullet"/>
      <w:start w:val="1"/>
    </w:lvl>
  </w:abstractNum>
  <w:abstractNum w:abstractNumId="3">
    <w:nsid w:val="B03E0C6"/>
    <w:multiLevelType w:val="hybridMultilevel"/>
    <w:lvl w:ilvl="0">
      <w:lvlJc w:val="left"/>
      <w:lvlText w:val="%4"/>
      <w:numFmt w:val="bullet"/>
      <w:start w:val="1"/>
    </w:lvl>
  </w:abstractNum>
  <w:abstractNum w:abstractNumId="4">
    <w:nsid w:val="189A769B"/>
    <w:multiLevelType w:val="hybridMultilevel"/>
    <w:lvl w:ilvl="0">
      <w:lvlJc w:val="left"/>
      <w:lvlText w:val="%4"/>
      <w:numFmt w:val="bullet"/>
      <w:start w:val="1"/>
    </w:lvl>
  </w:abstractNum>
  <w:abstractNum w:abstractNumId="5">
    <w:nsid w:val="54E49EB4"/>
    <w:multiLevelType w:val="hybridMultilevel"/>
    <w:lvl w:ilvl="0">
      <w:lvlJc w:val="left"/>
      <w:lvlText w:val="%4"/>
      <w:numFmt w:val="bullet"/>
      <w:start w:val="1"/>
    </w:lvl>
  </w:abstractNum>
  <w:abstractNum w:abstractNumId="6">
    <w:nsid w:val="71F32454"/>
    <w:multiLevelType w:val="hybridMultilevel"/>
    <w:lvl w:ilvl="0">
      <w:lvlJc w:val="left"/>
      <w:lvlText w:val="%4"/>
      <w:numFmt w:val="bullet"/>
      <w:start w:val="1"/>
    </w:lvl>
  </w:abstractNum>
  <w:abstractNum w:abstractNumId="7">
    <w:nsid w:val="2CA88611"/>
    <w:multiLevelType w:val="hybridMultilevel"/>
    <w:lvl w:ilvl="0">
      <w:lvlJc w:val="left"/>
      <w:lvlText w:val="%4"/>
      <w:numFmt w:val="bullet"/>
      <w:start w:val="1"/>
    </w:lvl>
  </w:abstractNum>
  <w:abstractNum w:abstractNumId="8">
    <w:nsid w:val="836C40E"/>
    <w:multiLevelType w:val="hybridMultilevel"/>
    <w:lvl w:ilvl="0">
      <w:lvlJc w:val="left"/>
      <w:lvlText w:val="%4"/>
      <w:numFmt w:val="bullet"/>
      <w:start w:val="1"/>
    </w:lvl>
  </w:abstractNum>
  <w:abstractNum w:abstractNumId="9">
    <w:nsid w:val="2901D82"/>
    <w:multiLevelType w:val="hybridMultilevel"/>
    <w:lvl w:ilvl="0">
      <w:lvlJc w:val="left"/>
      <w:lvlText w:val="%4"/>
      <w:numFmt w:val="bullet"/>
      <w:start w:val="1"/>
    </w:lvl>
  </w:abstractNum>
  <w:abstractNum w:abstractNumId="10">
    <w:nsid w:val="3A95F874"/>
    <w:multiLevelType w:val="hybridMultilevel"/>
    <w:lvl w:ilvl="0">
      <w:lvlJc w:val="left"/>
      <w:lvlText w:val="%4"/>
      <w:numFmt w:val="bullet"/>
      <w:start w:val="1"/>
    </w:lvl>
  </w:abstractNum>
  <w:abstractNum w:abstractNumId="11">
    <w:nsid w:val="8138641"/>
    <w:multiLevelType w:val="hybridMultilevel"/>
    <w:lvl w:ilvl="0">
      <w:lvlJc w:val="left"/>
      <w:lvlText w:val="%4"/>
      <w:numFmt w:val="bullet"/>
      <w:start w:val="1"/>
    </w:lvl>
  </w:abstractNum>
  <w:abstractNum w:abstractNumId="12">
    <w:nsid w:val="1E7FF521"/>
    <w:multiLevelType w:val="hybridMultilevel"/>
    <w:lvl w:ilvl="0">
      <w:lvlJc w:val="left"/>
      <w:lvlText w:val="%4"/>
      <w:numFmt w:val="bullet"/>
      <w:start w:val="1"/>
    </w:lvl>
  </w:abstractNum>
  <w:abstractNum w:abstractNumId="13">
    <w:nsid w:val="7C3DBD3D"/>
    <w:multiLevelType w:val="hybridMultilevel"/>
    <w:lvl w:ilvl="0">
      <w:lvlJc w:val="left"/>
      <w:lvlText w:val="%4"/>
      <w:numFmt w:val="bullet"/>
      <w:start w:val="1"/>
    </w:lvl>
  </w:abstractNum>
  <w:abstractNum w:abstractNumId="14">
    <w:nsid w:val="737B8DDC"/>
    <w:multiLevelType w:val="hybridMultilevel"/>
    <w:lvl w:ilvl="0">
      <w:lvlJc w:val="left"/>
      <w:lvlText w:val="%4"/>
      <w:numFmt w:val="bullet"/>
      <w:start w:val="1"/>
    </w:lvl>
  </w:abstractNum>
  <w:abstractNum w:abstractNumId="15">
    <w:nsid w:val="6CEAF087"/>
    <w:multiLevelType w:val="hybridMultilevel"/>
    <w:lvl w:ilvl="0">
      <w:lvlJc w:val="left"/>
      <w:lvlText w:val="%4"/>
      <w:numFmt w:val="bullet"/>
      <w:start w:val="1"/>
    </w:lvl>
  </w:abstractNum>
  <w:abstractNum w:abstractNumId="16">
    <w:nsid w:val="22221A70"/>
    <w:multiLevelType w:val="hybridMultilevel"/>
    <w:lvl w:ilvl="0">
      <w:lvlJc w:val="left"/>
      <w:lvlText w:val="%4"/>
      <w:numFmt w:val="bullet"/>
      <w:start w:val="1"/>
    </w:lvl>
  </w:abstractNum>
  <w:abstractNum w:abstractNumId="17">
    <w:nsid w:val="4516DDE9"/>
    <w:multiLevelType w:val="hybridMultilevel"/>
    <w:lvl w:ilvl="0">
      <w:lvlJc w:val="left"/>
      <w:lvlText w:val="%4"/>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4"/>
      <w:numFmt w:val="bullet"/>
      <w:start w:val="1"/>
    </w:lvl>
  </w:abstractNum>
  <w:abstractNum w:abstractNumId="20">
    <w:nsid w:val="419AC241"/>
    <w:multiLevelType w:val="hybridMultilevel"/>
    <w:lvl w:ilvl="0">
      <w:lvlJc w:val="left"/>
      <w:lvlText w:val="%4"/>
      <w:numFmt w:val="bullet"/>
      <w:start w:val="1"/>
    </w:lvl>
  </w:abstractNum>
  <w:abstractNum w:abstractNumId="21">
    <w:nsid w:val="5577F8E1"/>
    <w:multiLevelType w:val="hybridMultilevel"/>
    <w:lvl w:ilvl="0">
      <w:lvlJc w:val="left"/>
      <w:lvlText w:val="%4"/>
      <w:numFmt w:val="bullet"/>
      <w:start w:val="1"/>
    </w:lvl>
  </w:abstractNum>
  <w:abstractNum w:abstractNumId="22">
    <w:nsid w:val="440BADFC"/>
    <w:multiLevelType w:val="hybridMultilevel"/>
    <w:lvl w:ilvl="0">
      <w:lvlJc w:val="left"/>
      <w:lvlText w:val="%4"/>
      <w:numFmt w:val="bullet"/>
      <w:start w:val="1"/>
    </w:lvl>
  </w:abstractNum>
  <w:abstractNum w:abstractNumId="23">
    <w:nsid w:val="5072367"/>
    <w:multiLevelType w:val="hybridMultilevel"/>
    <w:lvl w:ilvl="0">
      <w:lvlJc w:val="left"/>
      <w:lvlText w:val="%4"/>
      <w:numFmt w:val="bullet"/>
      <w:start w:val="1"/>
    </w:lvl>
  </w:abstractNum>
  <w:abstractNum w:abstractNumId="24">
    <w:nsid w:val="3804823E"/>
    <w:multiLevelType w:val="hybridMultilevel"/>
    <w:lvl w:ilvl="0">
      <w:lvlJc w:val="left"/>
      <w:lvlText w:val="%4"/>
      <w:numFmt w:val="bullet"/>
      <w:start w:val="1"/>
    </w:lvl>
  </w:abstractNum>
  <w:abstractNum w:abstractNumId="25">
    <w:nsid w:val="77465F01"/>
    <w:multiLevelType w:val="hybridMultilevel"/>
    <w:lvl w:ilvl="0">
      <w:lvlJc w:val="left"/>
      <w:lvlText w:val="%4"/>
      <w:numFmt w:val="bullet"/>
      <w:start w:val="1"/>
    </w:lvl>
  </w:abstractNum>
  <w:abstractNum w:abstractNumId="26">
    <w:nsid w:val="7724C67E"/>
    <w:multiLevelType w:val="hybridMultilevel"/>
    <w:lvl w:ilvl="0">
      <w:lvlJc w:val="left"/>
      <w:lvlText w:val="%4"/>
      <w:numFmt w:val="bullet"/>
      <w:start w:val="1"/>
    </w:lvl>
  </w:abstractNum>
  <w:abstractNum w:abstractNumId="27">
    <w:nsid w:val="5C482A97"/>
    <w:multiLevelType w:val="hybridMultilevel"/>
    <w:lvl w:ilvl="0">
      <w:lvlJc w:val="left"/>
      <w:lvlText w:val="%4"/>
      <w:numFmt w:val="bullet"/>
      <w:start w:val="1"/>
    </w:lvl>
  </w:abstractNum>
  <w:abstractNum w:abstractNumId="28">
    <w:nsid w:val="2463B9EA"/>
    <w:multiLevelType w:val="hybridMultilevel"/>
    <w:lvl w:ilvl="0">
      <w:lvlJc w:val="left"/>
      <w:lvlText w:val="%4"/>
      <w:numFmt w:val="bullet"/>
      <w:start w:val="1"/>
    </w:lvl>
  </w:abstractNum>
  <w:abstractNum w:abstractNumId="29">
    <w:nsid w:val="5E884ADC"/>
    <w:multiLevelType w:val="hybridMultilevel"/>
    <w:lvl w:ilvl="0">
      <w:lvlJc w:val="left"/>
      <w:lvlText w:val="%4"/>
      <w:numFmt w:val="bullet"/>
      <w:start w:val="1"/>
    </w:lvl>
  </w:abstractNum>
  <w:abstractNum w:abstractNumId="30">
    <w:nsid w:val="51EAD36B"/>
    <w:multiLevelType w:val="hybridMultilevel"/>
    <w:lvl w:ilvl="0">
      <w:lvlJc w:val="left"/>
      <w:lvlText w:val="%4"/>
      <w:numFmt w:val="bullet"/>
      <w:start w:val="1"/>
    </w:lvl>
  </w:abstractNum>
  <w:abstractNum w:abstractNumId="31">
    <w:nsid w:val="2D517796"/>
    <w:multiLevelType w:val="hybridMultilevel"/>
    <w:lvl w:ilvl="0">
      <w:lvlJc w:val="left"/>
      <w:lvlText w:val="%4"/>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amp;"/>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5"/>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
      <w:numFmt w:val="bullet"/>
      <w:start w:val="1"/>
    </w:lvl>
    <w:lvl w:ilvl="1">
      <w:lvlJc w:val="left"/>
      <w:lvlText w:val="%2"/>
      <w:numFmt w:val="decimal"/>
      <w:start w:val="104"/>
    </w:lvl>
  </w:abstractNum>
  <w:abstractNum w:abstractNumId="42">
    <w:nsid w:val="7A6D8D3C"/>
    <w:multiLevelType w:val="hybridMultilevel"/>
    <w:lvl w:ilvl="0">
      <w:lvlJc w:val="left"/>
      <w:lvlText w:val="**"/>
      <w:numFmt w:val="bullet"/>
      <w:start w:val="1"/>
    </w:lvl>
    <w:lvl w:ilvl="1">
      <w:lvlJc w:val="left"/>
      <w:lvlText w:val="%2"/>
      <w:numFmt w:val="decimal"/>
      <w:start w:val="1"/>
    </w:lvl>
  </w:abstractNum>
  <w:abstractNum w:abstractNumId="43">
    <w:nsid w:val="4B588F54"/>
    <w:multiLevelType w:val="hybridMultilevel"/>
    <w:lvl w:ilvl="0">
      <w:lvlJc w:val="left"/>
      <w:lvlText w:val="%4"/>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4"/>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2024-11-06T08:08:21Z</dcterms:created>
  <dcterms:modified xsi:type="dcterms:W3CDTF">2024-11-06T08:08:21Z</dcterms:modified>
</cp:coreProperties>
</file>