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certain information reported by us with the Securities and Exchange Commission or otherwise publicly disclosed. Accordingly, we have included such information in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February 4, 2025, the closing price of our common stock was $2.06.</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7, 2025, after taking into account the issuance of all of the shares sold under the ATM Agreement and all of the shares sold to the investors in the January 2025 Offerings (excluding shares underlying the series G preferred investment options), we had 24,242,120 shares of our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supplement, although a cease fire with Hamas was declared on January 15, 2025 and there is currently a ceasefire with Hezbollah in Lebanon.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supplement, we have determined that there have not been any materially adverse effects on our business or operations, but we continue to monitor the situation, as any collapse of the cease-fire with Hamas or Hezbollah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This does not include or take into account any of the approximately $20.6 million we raised subsequent to September 30, 2024, discussed further below. Microbot anticipates that it will continue to incur net losses for the foreseeable future as it continues research and development efforts and ramps up commercialization of its primary product candidate and continues to incur costs associated with being a public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January 31, 2025, Microbot has raised cash proceeds of approximately $93.4 million. Since inception (November 2010) through September 30, 2024, Microbot incurred a total cumulative loss of approximately $87.5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aggregate amount of approximately $530,000. During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through January 31, 2025, we have raised the following amounts:</w:t>
      </w:r>
    </w:p>
    <w:p>
      <w:pPr>
        <w:spacing w:after="0" w:line="201"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and June 2023, Microbot raised aggregate gross proceeds of approximately $7.6 million, before fees and expenses of approximately $1.1 million, from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$5.08 million in gross proceeds, before fees and expenses of approximately $661,000, from financing activities through June 30,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$4.8 million in gross proceeds, before fees and expenses of $167,292, through our ATM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aggregate gross proceeds of approximately $15.6 million, before fees and expenses of approximately $1.4 million, from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approximately 915,000 in gross proceeds from the exercise of outstanding preferred investment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available, Microbot intends to continue to raise capital through future public and private issuances of debt and/or equity securities,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supplement,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NMPA, South Africa for PCI only), and we believe there are many other competitors in the endovascular robotics space. We believe these systems of our competitors that we have identified have drawbacks, such as limited maneuverability, the requirement to exchange and use multiple expensive surgical tools,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300" w:type="dxa"/>
            <w:vAlign w:val="bottom"/>
          </w:tcPr>
          <w:p>
            <w:pPr>
              <w:spacing w:after="0"/>
              <w:rPr>
                <w:sz w:val="20"/>
                <w:szCs w:val="20"/>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2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149,189(5)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501,304(9)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1,228,642</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470,302</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241,455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84,754(4)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114,425(9)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89,435(6)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530,069</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88,418</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15,246(9)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365,246</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14,808</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15,528</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162,793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40,816(4)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101,182(9)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53,694(8)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358,485</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76,533</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8"/>
        </w:trPr>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 For the 2023 fiscal year, Mr. Gadot received in 2024 $149,188.50 of a possible maximum of $298,377, and a bonus in the form of 79,567 stock options.</w:t>
      </w: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Diaz-Cartelle commenced employment on December 1, 2023.</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value of certain performance-based options granted to the executive in 2024 which remain subject to confirmation of performance vesting by the Company’s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26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09"/>
        </w:trPr>
        <w:tc>
          <w:tcPr>
            <w:tcW w:w="2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120,847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01/12/2033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2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Harel Gadot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As of the date of this prospectus supplement, the Compensation Committee has not yet reviewed Mr. Gadot’s 2025 salary to determine a potential increase.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are expected to have vested in accordance with their terms subject to Compensation Committee confirmation.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Rachel Vaknin Employment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 and did not change in 2024. As of the date of this prospectus supplement, the Compensation Committee has not yet reviewed Ms. Vaknin’s 2025 salary to determine a potential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are expected to have vested in accordance with their terms subject to Compensation Committee confirmation.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Simon Sharon Employment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 and did not change in 2024. As of the date of this prospectus supplement, the Compensation Committee has not yet reviewed Mr. Sharon’s 2025 salary to determine a potential increase.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are expected to have vested in accordance with their terms subject to Compensation Committee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 As of the date of this prospectus supplement, the Compensation Committee has not yet reviewed Dr. Diaz-Cartelle’s 2025 salary to determine a potential increase.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are expected to have vested in accordance with their terms subject to Compensation Committee confirmation.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Additionally, as a result of the Company’s May 2023 cost reduction plan, the independent members of the Board agreed to a suspension of their quarterly director fees, with reinstatement of such fees effective as of January 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 (2)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$ 39,375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106,266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$ 33,750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100,641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$ 31,875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jc w:val="both"/>
        <w:ind w:left="340" w:hanging="332"/>
        <w:spacing w:after="0" w:line="24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Bornstein’s term as a director expired in December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2024.</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23"/>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1,978,435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642,217</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2,584,991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-1134110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-850900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-576580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-302260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wp:posOffset>
            </wp:positionV>
            <wp:extent cx="1062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10801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4680" w:space="720"/>
            <w:col w:w="5840"/>
          </w:cols>
          <w:pgMar w:left="320" w:top="657"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-127635</wp:posOffset>
            </wp:positionV>
            <wp:extent cx="1062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-127635</wp:posOffset>
            </wp:positionV>
            <wp:extent cx="1080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January 31, 2025,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January 31, 2025. We calculated percentage ownership in accordance with the rules of the SEC. The percentage of common stock beneficially owned is based on 28,641,187 shares outstanding as of January 31, 2025. In addition, shares issuable pursuant to options or other convertible securities that may be acquired within 60 days of January 31, 2025 are deemed to be issued and outstanding and have been treated as outstanding in calculating and determining the beneficial ownership and percentage ownership of those persons possessing those securities, but not for any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160" w:type="dxa"/>
            <w:vAlign w:val="bottom"/>
            <w:tcBorders>
              <w:bottom w:val="single" w:sz="8" w:color="CCEEFF"/>
            </w:tcBorders>
          </w:tcPr>
          <w:p>
            <w:pPr>
              <w:spacing w:after="0"/>
              <w:rPr>
                <w:sz w:val="20"/>
                <w:szCs w:val="20"/>
                <w:color w:val="auto"/>
              </w:rPr>
            </w:pPr>
          </w:p>
        </w:tc>
      </w:tr>
      <w:tr>
        <w:trPr>
          <w:trHeight w:val="250"/>
        </w:trPr>
        <w:tc>
          <w:tcPr>
            <w:tcW w:w="71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1,073,927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69,458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107,795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67,867</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72,700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18,875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1,634,284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r>
      <w:tr>
        <w:trPr>
          <w:trHeight w:val="198"/>
        </w:trPr>
        <w:tc>
          <w:tcPr>
            <w:tcW w:w="71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__________</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937,080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performance-based options, the vesting of which remains subject to confirmation by the Company’s Compensation Committee. See “Executive Compensation—Executive Employment Agreements” above.</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2,584,991 shares of our common stock issuable upon the exercise of outstanding stock options granted to employees, directors and consultants, with exercise prices ranging from approximately $0.005 to $15.75 and having a weighted-average exercise price of $4.58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642,217 shares of our common stock reserved for future grant under our 2020 Omnibus Performance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2025-02-10T05:21:21Z</dcterms:created>
  <dcterms:modified xsi:type="dcterms:W3CDTF">2025-02-10T05:21:21Z</dcterms:modified>
</cp:coreProperties>
</file>