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January 14, 2019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MICROBOT MEDICAL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920" w:type="dxa"/>
        <w:tblCellMar>
          <w:top w:w="0" w:type="dxa"/>
          <w:left w:w="0" w:type="dxa"/>
          <w:bottom w:w="0" w:type="dxa"/>
          <w:right w:w="0" w:type="dxa"/>
        </w:tblCellMar>
      </w:tblPr>
      <w:tr>
        <w:trPr>
          <w:trHeight w:val="216"/>
        </w:trPr>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0"/>
              </w:rPr>
              <w:t>000-19871</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1"/>
              </w:rPr>
              <w:t>(State or other jurisdiction</w:t>
            </w:r>
          </w:p>
        </w:tc>
        <w:tc>
          <w:tcPr>
            <w:tcW w:w="550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(Commission</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1"/>
              </w:rPr>
              <w:t>of incorporation)</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4"/>
              </w:rPr>
              <w:t>File Number)</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40" w:type="dxa"/>
            <w:vAlign w:val="bottom"/>
          </w:tcPr>
          <w:p>
            <w:pPr>
              <w:spacing w:after="0"/>
              <w:rPr>
                <w:sz w:val="24"/>
                <w:szCs w:val="24"/>
                <w:color w:val="auto"/>
              </w:rPr>
            </w:pPr>
          </w:p>
        </w:tc>
        <w:tc>
          <w:tcPr>
            <w:tcW w:w="55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25 Recreation Park Drive, Unit 108</w:t>
            </w:r>
          </w:p>
        </w:tc>
        <w:tc>
          <w:tcPr>
            <w:tcW w:w="1680" w:type="dxa"/>
            <w:vAlign w:val="bottom"/>
          </w:tcPr>
          <w:p>
            <w:pPr>
              <w:spacing w:after="0"/>
              <w:rPr>
                <w:sz w:val="24"/>
                <w:szCs w:val="24"/>
                <w:color w:val="auto"/>
              </w:rPr>
            </w:pPr>
          </w:p>
        </w:tc>
      </w:tr>
      <w:tr>
        <w:trPr>
          <w:trHeight w:val="216"/>
        </w:trPr>
        <w:tc>
          <w:tcPr>
            <w:tcW w:w="2140" w:type="dxa"/>
            <w:vAlign w:val="bottom"/>
          </w:tcPr>
          <w:p>
            <w:pPr>
              <w:spacing w:after="0"/>
              <w:rPr>
                <w:sz w:val="18"/>
                <w:szCs w:val="18"/>
                <w:color w:val="auto"/>
              </w:rPr>
            </w:pPr>
          </w:p>
        </w:tc>
        <w:tc>
          <w:tcPr>
            <w:tcW w:w="55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Hingham, Massachusetts 02043</w:t>
            </w:r>
          </w:p>
        </w:tc>
        <w:tc>
          <w:tcPr>
            <w:tcW w:w="1680" w:type="dxa"/>
            <w:vAlign w:val="bottom"/>
          </w:tcPr>
          <w:p>
            <w:pPr>
              <w:spacing w:after="0"/>
              <w:rPr>
                <w:sz w:val="18"/>
                <w:szCs w:val="18"/>
                <w:color w:val="auto"/>
              </w:rPr>
            </w:pPr>
          </w:p>
        </w:tc>
      </w:tr>
      <w:tr>
        <w:trPr>
          <w:trHeight w:val="234"/>
        </w:trPr>
        <w:tc>
          <w:tcPr>
            <w:tcW w:w="2140" w:type="dxa"/>
            <w:vAlign w:val="bottom"/>
          </w:tcPr>
          <w:p>
            <w:pPr>
              <w:spacing w:after="0"/>
              <w:rPr>
                <w:sz w:val="20"/>
                <w:szCs w:val="20"/>
                <w:color w:val="auto"/>
              </w:rPr>
            </w:pPr>
          </w:p>
        </w:tc>
        <w:tc>
          <w:tcPr>
            <w:tcW w:w="55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680" w:type="dxa"/>
            <w:vAlign w:val="bottom"/>
          </w:tcPr>
          <w:p>
            <w:pPr>
              <w:spacing w:after="0"/>
              <w:rPr>
                <w:sz w:val="20"/>
                <w:szCs w:val="20"/>
                <w:color w:val="auto"/>
              </w:rPr>
            </w:pPr>
          </w:p>
        </w:tc>
      </w:tr>
      <w:tr>
        <w:trPr>
          <w:trHeight w:val="432"/>
        </w:trPr>
        <w:tc>
          <w:tcPr>
            <w:tcW w:w="2140" w:type="dxa"/>
            <w:vAlign w:val="bottom"/>
          </w:tcPr>
          <w:p>
            <w:pPr>
              <w:spacing w:after="0"/>
              <w:rPr>
                <w:sz w:val="24"/>
                <w:szCs w:val="24"/>
                <w:color w:val="auto"/>
              </w:rPr>
            </w:pPr>
          </w:p>
        </w:tc>
        <w:tc>
          <w:tcPr>
            <w:tcW w:w="55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(781)875-3605</w:t>
            </w:r>
          </w:p>
        </w:tc>
        <w:tc>
          <w:tcPr>
            <w:tcW w:w="168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January 14, 2019, Microbot Medical Inc. (the “Company”) entered into a Securities Purchase Agreement (the “Purchase Agreement”) with an accredited institutional investor (the “Purchaser”) providing for the issuance and sale by the Company to the Purchaser of an aggregate of (i) 330,000 shares (the “Shares”) of the Company’s common stock, par value $0.01 per share (the “Common Stock”), at a purchase price per share of $6.50 and (ii) 125,323 pre-funded warrants (“Pre-Funded Warrants”) to purchase one share of Common Stock, at a purchase price per Pre-Funded Warrant of $6.49 (the “Offering”). The gross proceeds to the Company will be approximately $2,958,346. The closing of the Offering took place on January 15, 2019.</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net proceeds of the Offering to the Company are estimated to be approximately $2.27 million, after deducting placement agent fees and other estimated offering expenses. The Company intends to use the net proceeds from this Offering for the continuous development of its SCS device for the treatment of hydrocephalus and NPH; to expand and develop additional applications deriving from its existing IP portfolio, including the potential addition of complementary assets to the CardioSert portfolio either through internal development, in-license or acquisition; and for working capital and other general corporate purposes.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Pre-Funded Warrants were offered and sold to the Purchaser as its purchase of Shares in the Offering would otherwise result in the Purchaser, together with its affiliates and certain related parties, beneficially owning more than 9.99% of the Company’s outstanding Common Stock immediately following the consummation of this Offering. The Pre-Funded Warrants are immediately exercisable for one share of Common Stock at an exercise price of $0.01 per Pre-Funded Warrant, subject to adjustment for stock splits, reverse splits, and similar capital transactions as described in the Pre-Funded Warrants. The Pre-Funded Warrants may be exercised at any time until all of the Pre-Funded Warrants are exercised in full.</w:t>
      </w:r>
    </w:p>
    <w:p>
      <w:pPr>
        <w:spacing w:after="0" w:line="17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October 12, 2018, the Company entered into an engagement letter, as amended (the “Engagement Letter”), with H.C. Wainwright &amp; Co., LLC (“Wainwright”), pursuant to which Wainwright agreed to serve as the exclusive placement agent for the issuance and sale of the securities pursuant to the Purchase Agreement. As compensation for such placement agent services, the Company has paid Wainwright an aggregate cash fee equal to 7.0% of the gross proceeds received by the Company from the sale of the Shares and Pre-Funded Warrants, plus (a) a management fee equal to 1.0% of the gross proceeds; (b) a non-accountable expense allowance of $25,000 for this Offering, (c) $75,000 for fees and expenses of legal counsel for this Offering and (d) certain other reimbursement amounts payable. The Company has also issued to Wainwright or its designees warrants to purchase up to 5.0% of the aggregate number of Shares and Pre-Funded Warrants sold under the Purchase Agreement (collectively, the “Wainwright Warrant”), or up to 22,767 shares of Common Stock underlying the Wainwright Warrants issued in connection with this Offering. The Wainwright Warrant has a term of 3.5 years, is not exercisable for a period of six month following the issuance, and has an exercise price of $8.125 per share (equal to 125% of the Offering price per share). The Engagement Letter also includes indemnification obligations of the Company and other provisions customary for transactions of this nature.</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and the Pre-Funded Warrants (but not the Wainwright Warrant, or the shares of Common Stock issuable upon the exercise of the Wainwright Warrant) were offered and sold by the Company through a shelf registration statement on Form S-3 (File No.: 333-217076), which was initially filed with the Securities and Exchange Commission (the “SEC”) on March 31, 2017 and declared effective by the SEC on April 14, 2017 and a prospectus supplement relating to the Offering dated January 14, 2019 filed with the SEC.</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Wainwright Warrant and the shares of Common Stock issuable upon exercise of the Wainwright Warrant are being offered and sold without registration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pursuant to the exemption provided in Section 4(a)(2) under the Securities Act and Regulation D promulgated thereunder and similar exemptions under applicable state laws in reliance on the following facts: no general solicitation was used in offer or sale of such securities; the recipients of the securities had adequate access to information about us, through pre-existing relationships or otherwise; and such securities were issued as restricted securities with restricted legends referring to the Securities Act. No such securities may be offered or sold in the United States in the absence of an effective registration statement or exemption from applicable registration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jc w:val="both"/>
        <w:spacing w:after="0" w:line="259" w:lineRule="auto"/>
        <w:rPr>
          <w:sz w:val="20"/>
          <w:szCs w:val="20"/>
          <w:color w:val="auto"/>
        </w:rPr>
      </w:pPr>
      <w:r>
        <w:rPr>
          <w:rFonts w:ascii="Arial" w:cs="Arial" w:eastAsia="Arial" w:hAnsi="Arial"/>
          <w:sz w:val="18"/>
          <w:szCs w:val="18"/>
          <w:color w:val="auto"/>
        </w:rPr>
        <w:t>The foregoing descriptions of the Pre-Funded Warrants, the Wainwright Warrant, the Purchase Agreement and the Engagement Letter do not purport to be complete and are qualified in their entirety by reference to the copy of each of the Form of Pre-Funded Warrant, Form of Wainwright Warrant, Form of Purchase Agreement and the Engagement Letter, which are attached hereto as Exhibits 4.1, 4.2, 10.2, and 10.1, respectively, and which are incorporated herein by reference.</w:t>
      </w:r>
    </w:p>
    <w:p>
      <w:pPr>
        <w:spacing w:after="0" w:line="187"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The representations, warranties and covenants contained in the Purchase Agreement were made solely for the benefit of the parties to the Purchase Agreement and may be subject to limitations agreed upon by the contracting parties. Accordingly, the Purchase Agreement is incorporated herein by reference only to provide investors with information regarding the terms of the Purchase Agreement and not to provide investors with any other factual information regarding the Company or its business, and should be read in conjunction with the disclosures in the Company’s periodic reports and other filings with the SEC.</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 of Equity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under Item 1.01 of this Current Report on Form 8-K regarding the Wainwright Warrant and the shares of Common Stock issuable upon exercise of the Wainwright Warrant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15, 2019, the Company issued a press release announcing the Offering, a copy of which is attached hereto as Exhibit 99.1 and is incorporated by reference into this Item 8.01 of this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2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2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53"/>
        </w:trPr>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9800" w:type="dxa"/>
            <w:vAlign w:val="bottom"/>
            <w:gridSpan w:val="8"/>
          </w:tcPr>
          <w:p>
            <w:pPr>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20" w:type="dxa"/>
            <w:vAlign w:val="bottom"/>
          </w:tcPr>
          <w:p>
            <w:pPr>
              <w:spacing w:after="0"/>
              <w:rPr>
                <w:sz w:val="15"/>
                <w:szCs w:val="15"/>
                <w:color w:val="auto"/>
              </w:rPr>
            </w:pPr>
          </w:p>
        </w:tc>
        <w:tc>
          <w:tcPr>
            <w:tcW w:w="136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4.1</w:t>
            </w:r>
          </w:p>
        </w:tc>
        <w:tc>
          <w:tcPr>
            <w:tcW w:w="240" w:type="dxa"/>
            <w:vAlign w:val="bottom"/>
          </w:tcPr>
          <w:p>
            <w:pPr>
              <w:spacing w:after="0"/>
              <w:rPr>
                <w:sz w:val="15"/>
                <w:szCs w:val="15"/>
                <w:color w:val="auto"/>
              </w:rPr>
            </w:pPr>
          </w:p>
        </w:tc>
        <w:tc>
          <w:tcPr>
            <w:tcW w:w="9800" w:type="dxa"/>
            <w:vAlign w:val="bottom"/>
            <w:tcBorders>
              <w:top w:val="single" w:sz="8" w:color="auto"/>
            </w:tcBorders>
            <w:gridSpan w:val="8"/>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Form of Pre-Funded Warrant</w:t>
              </w:r>
            </w:hyperlink>
          </w:p>
        </w:tc>
      </w:tr>
      <w:tr>
        <w:trPr>
          <w:trHeight w:val="20"/>
        </w:trPr>
        <w:tc>
          <w:tcPr>
            <w:tcW w:w="1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color w:val="auto"/>
              </w:rPr>
              <w:t>4.2</w:t>
            </w:r>
          </w:p>
        </w:tc>
        <w:tc>
          <w:tcPr>
            <w:tcW w:w="240" w:type="dxa"/>
            <w:vAlign w:val="bottom"/>
          </w:tcPr>
          <w:p>
            <w:pPr>
              <w:spacing w:after="0"/>
              <w:rPr>
                <w:sz w:val="17"/>
                <w:szCs w:val="17"/>
                <w:color w:val="auto"/>
              </w:rPr>
            </w:pPr>
          </w:p>
        </w:tc>
        <w:tc>
          <w:tcPr>
            <w:tcW w:w="210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27">
              <w:r>
                <w:rPr>
                  <w:rFonts w:ascii="Arial" w:cs="Arial" w:eastAsia="Arial" w:hAnsi="Arial"/>
                  <w:sz w:val="18"/>
                  <w:szCs w:val="18"/>
                  <w:color w:val="0000EE"/>
                  <w:w w:val="92"/>
                </w:rPr>
                <w:t>Form of Wainwright Warrant</w:t>
              </w:r>
            </w:hyperlink>
          </w:p>
        </w:tc>
        <w:tc>
          <w:tcPr>
            <w:tcW w:w="7700" w:type="dxa"/>
            <w:vAlign w:val="bottom"/>
            <w:gridSpan w:val="6"/>
          </w:tcPr>
          <w:p>
            <w:pPr>
              <w:spacing w:after="0"/>
              <w:rPr>
                <w:sz w:val="17"/>
                <w:szCs w:val="17"/>
                <w:color w:val="auto"/>
              </w:rPr>
            </w:pP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color w:val="auto"/>
              </w:rPr>
              <w:t>5.1</w:t>
            </w:r>
          </w:p>
        </w:tc>
        <w:tc>
          <w:tcPr>
            <w:tcW w:w="240" w:type="dxa"/>
            <w:vAlign w:val="bottom"/>
          </w:tcPr>
          <w:p>
            <w:pPr>
              <w:spacing w:after="0"/>
              <w:rPr>
                <w:sz w:val="17"/>
                <w:szCs w:val="17"/>
                <w:color w:val="auto"/>
              </w:rPr>
            </w:pPr>
          </w:p>
        </w:tc>
        <w:tc>
          <w:tcPr>
            <w:tcW w:w="46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47">
              <w:r>
                <w:rPr>
                  <w:rFonts w:ascii="Arial" w:cs="Arial" w:eastAsia="Arial" w:hAnsi="Arial"/>
                  <w:sz w:val="18"/>
                  <w:szCs w:val="18"/>
                  <w:color w:val="0000EE"/>
                  <w:w w:val="91"/>
                </w:rPr>
                <w:t>Opinion of Mintz, Levin, Cohn, Ferris, Glovsky and Popeo, P.C.</w:t>
              </w:r>
            </w:hyperlink>
          </w:p>
        </w:tc>
        <w:tc>
          <w:tcPr>
            <w:tcW w:w="5160" w:type="dxa"/>
            <w:vAlign w:val="bottom"/>
            <w:gridSpan w:val="4"/>
          </w:tcPr>
          <w:p>
            <w:pPr>
              <w:spacing w:after="0"/>
              <w:rPr>
                <w:sz w:val="17"/>
                <w:szCs w:val="17"/>
                <w:color w:val="auto"/>
              </w:rPr>
            </w:pP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color w:val="auto"/>
              </w:rPr>
              <w:t>10.1</w:t>
            </w:r>
          </w:p>
        </w:tc>
        <w:tc>
          <w:tcPr>
            <w:tcW w:w="240" w:type="dxa"/>
            <w:vAlign w:val="bottom"/>
          </w:tcPr>
          <w:p>
            <w:pPr>
              <w:spacing w:after="0"/>
              <w:rPr>
                <w:sz w:val="17"/>
                <w:szCs w:val="17"/>
                <w:color w:val="auto"/>
              </w:rPr>
            </w:pPr>
          </w:p>
        </w:tc>
        <w:tc>
          <w:tcPr>
            <w:tcW w:w="892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50">
              <w:r>
                <w:rPr>
                  <w:rFonts w:ascii="Arial" w:cs="Arial" w:eastAsia="Arial" w:hAnsi="Arial"/>
                  <w:sz w:val="18"/>
                  <w:szCs w:val="18"/>
                  <w:color w:val="0000EE"/>
                  <w:w w:val="91"/>
                </w:rPr>
                <w:t>Engagement Letter, dated as of October 12, 2018, by and between Microbot Medical Inc. and H.C. Wainwright &amp; Co., LLC</w:t>
              </w:r>
            </w:hyperlink>
          </w:p>
        </w:tc>
        <w:tc>
          <w:tcPr>
            <w:tcW w:w="880" w:type="dxa"/>
            <w:vAlign w:val="bottom"/>
            <w:gridSpan w:val="2"/>
          </w:tcPr>
          <w:p>
            <w:pPr>
              <w:spacing w:after="0"/>
              <w:rPr>
                <w:sz w:val="17"/>
                <w:szCs w:val="17"/>
                <w:color w:val="auto"/>
              </w:rPr>
            </w:pP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color w:val="auto"/>
              </w:rPr>
              <w:t>10.2</w:t>
            </w:r>
          </w:p>
        </w:tc>
        <w:tc>
          <w:tcPr>
            <w:tcW w:w="240" w:type="dxa"/>
            <w:vAlign w:val="bottom"/>
          </w:tcPr>
          <w:p>
            <w:pPr>
              <w:spacing w:after="0"/>
              <w:rPr>
                <w:sz w:val="17"/>
                <w:szCs w:val="17"/>
                <w:color w:val="auto"/>
              </w:rPr>
            </w:pPr>
          </w:p>
        </w:tc>
        <w:tc>
          <w:tcPr>
            <w:tcW w:w="91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Form of Securities Purchase Agreement, dated as of January 14, 2019, by and among Microbot Medical Inc., and the Purchaser</w:t>
              </w:r>
            </w:hyperlink>
          </w:p>
        </w:tc>
        <w:tc>
          <w:tcPr>
            <w:tcW w:w="620" w:type="dxa"/>
            <w:vAlign w:val="bottom"/>
          </w:tcPr>
          <w:p>
            <w:pPr>
              <w:spacing w:after="0"/>
              <w:rPr>
                <w:sz w:val="17"/>
                <w:szCs w:val="17"/>
                <w:color w:val="auto"/>
              </w:rPr>
            </w:pP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color w:val="auto"/>
              </w:rPr>
              <w:t>23.1</w:t>
            </w:r>
          </w:p>
        </w:tc>
        <w:tc>
          <w:tcPr>
            <w:tcW w:w="240" w:type="dxa"/>
            <w:vAlign w:val="bottom"/>
          </w:tcPr>
          <w:p>
            <w:pPr>
              <w:spacing w:after="0"/>
              <w:rPr>
                <w:sz w:val="17"/>
                <w:szCs w:val="17"/>
                <w:color w:val="auto"/>
              </w:rPr>
            </w:pPr>
          </w:p>
        </w:tc>
        <w:tc>
          <w:tcPr>
            <w:tcW w:w="65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47">
              <w:r>
                <w:rPr>
                  <w:rFonts w:ascii="Arial" w:cs="Arial" w:eastAsia="Arial" w:hAnsi="Arial"/>
                  <w:sz w:val="18"/>
                  <w:szCs w:val="18"/>
                  <w:color w:val="0000EE"/>
                  <w:w w:val="91"/>
                </w:rPr>
                <w:t>Consent of Mintz, Levin, Cohn, Ferris, Glovsky and Popeo, P.C. (included in Exhibit 5.1).</w:t>
              </w:r>
            </w:hyperlink>
          </w:p>
        </w:tc>
        <w:tc>
          <w:tcPr>
            <w:tcW w:w="3300" w:type="dxa"/>
            <w:vAlign w:val="bottom"/>
            <w:gridSpan w:val="3"/>
          </w:tcPr>
          <w:p>
            <w:pPr>
              <w:spacing w:after="0"/>
              <w:rPr>
                <w:sz w:val="17"/>
                <w:szCs w:val="17"/>
                <w:color w:val="auto"/>
              </w:rPr>
            </w:pP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color w:val="auto"/>
              </w:rPr>
              <w:t>99.1</w:t>
            </w:r>
          </w:p>
        </w:tc>
        <w:tc>
          <w:tcPr>
            <w:tcW w:w="240" w:type="dxa"/>
            <w:vAlign w:val="bottom"/>
          </w:tcPr>
          <w:p>
            <w:pPr>
              <w:spacing w:after="0"/>
              <w:rPr>
                <w:sz w:val="17"/>
                <w:szCs w:val="17"/>
                <w:color w:val="auto"/>
              </w:rPr>
            </w:pPr>
          </w:p>
        </w:tc>
        <w:tc>
          <w:tcPr>
            <w:tcW w:w="9800" w:type="dxa"/>
            <w:vAlign w:val="bottom"/>
            <w:gridSpan w:val="8"/>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Press Release dated January 15, 2019.</w:t>
              </w:r>
            </w:hyperlink>
          </w:p>
        </w:tc>
      </w:tr>
      <w:tr>
        <w:trPr>
          <w:trHeight w:val="460"/>
        </w:trPr>
        <w:tc>
          <w:tcPr>
            <w:tcW w:w="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MICROBOT MEDICAL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January 15,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60" w:type="dxa"/>
            <w:vAlign w:val="bottom"/>
            <w:gridSpan w:val="5"/>
          </w:tcPr>
          <w:p>
            <w:pPr>
              <w:ind w:left="460"/>
              <w:spacing w:after="0"/>
              <w:rPr>
                <w:sz w:val="20"/>
                <w:szCs w:val="20"/>
                <w:color w:val="auto"/>
              </w:rPr>
            </w:pPr>
            <w:r>
              <w:rPr>
                <w:rFonts w:ascii="Arial" w:cs="Arial" w:eastAsia="Arial" w:hAnsi="Arial"/>
                <w:sz w:val="18"/>
                <w:szCs w:val="18"/>
                <w:b w:val="1"/>
                <w:bCs w:val="1"/>
                <w:color w:val="auto"/>
              </w:rPr>
              <w:t>INDEX TO EXHIBITS</w:t>
            </w:r>
          </w:p>
        </w:tc>
      </w:tr>
      <w:tr>
        <w:trPr>
          <w:trHeight w:val="453"/>
        </w:trPr>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9800" w:type="dxa"/>
            <w:vAlign w:val="bottom"/>
            <w:gridSpan w:val="8"/>
          </w:tcPr>
          <w:p>
            <w:pPr>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20" w:type="dxa"/>
            <w:vAlign w:val="bottom"/>
          </w:tcPr>
          <w:p>
            <w:pPr>
              <w:spacing w:after="0"/>
              <w:rPr>
                <w:sz w:val="15"/>
                <w:szCs w:val="15"/>
                <w:color w:val="auto"/>
              </w:rPr>
            </w:pPr>
          </w:p>
        </w:tc>
        <w:tc>
          <w:tcPr>
            <w:tcW w:w="136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4.1</w:t>
            </w:r>
          </w:p>
        </w:tc>
        <w:tc>
          <w:tcPr>
            <w:tcW w:w="240" w:type="dxa"/>
            <w:vAlign w:val="bottom"/>
          </w:tcPr>
          <w:p>
            <w:pPr>
              <w:spacing w:after="0"/>
              <w:rPr>
                <w:sz w:val="15"/>
                <w:szCs w:val="15"/>
                <w:color w:val="auto"/>
              </w:rPr>
            </w:pPr>
          </w:p>
        </w:tc>
        <w:tc>
          <w:tcPr>
            <w:tcW w:w="9800" w:type="dxa"/>
            <w:vAlign w:val="bottom"/>
            <w:tcBorders>
              <w:top w:val="single" w:sz="8" w:color="auto"/>
            </w:tcBorders>
            <w:gridSpan w:val="8"/>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Form of Pre-Funded Warrant</w:t>
              </w:r>
            </w:hyperlink>
          </w:p>
        </w:tc>
      </w:tr>
      <w:tr>
        <w:trPr>
          <w:trHeight w:val="20"/>
        </w:trPr>
        <w:tc>
          <w:tcPr>
            <w:tcW w:w="1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color w:val="auto"/>
              </w:rPr>
              <w:t>4.2</w:t>
            </w:r>
          </w:p>
        </w:tc>
        <w:tc>
          <w:tcPr>
            <w:tcW w:w="240" w:type="dxa"/>
            <w:vAlign w:val="bottom"/>
          </w:tcPr>
          <w:p>
            <w:pPr>
              <w:spacing w:after="0"/>
              <w:rPr>
                <w:sz w:val="17"/>
                <w:szCs w:val="17"/>
                <w:color w:val="auto"/>
              </w:rPr>
            </w:pPr>
          </w:p>
        </w:tc>
        <w:tc>
          <w:tcPr>
            <w:tcW w:w="210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27">
              <w:r>
                <w:rPr>
                  <w:rFonts w:ascii="Arial" w:cs="Arial" w:eastAsia="Arial" w:hAnsi="Arial"/>
                  <w:sz w:val="18"/>
                  <w:szCs w:val="18"/>
                  <w:color w:val="0000EE"/>
                  <w:w w:val="92"/>
                </w:rPr>
                <w:t>Form of Wainwright Warrant</w:t>
              </w:r>
            </w:hyperlink>
          </w:p>
        </w:tc>
        <w:tc>
          <w:tcPr>
            <w:tcW w:w="7700" w:type="dxa"/>
            <w:vAlign w:val="bottom"/>
            <w:gridSpan w:val="6"/>
          </w:tcPr>
          <w:p>
            <w:pPr>
              <w:spacing w:after="0"/>
              <w:rPr>
                <w:sz w:val="17"/>
                <w:szCs w:val="17"/>
                <w:color w:val="auto"/>
              </w:rPr>
            </w:pP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color w:val="auto"/>
              </w:rPr>
              <w:t>5.1</w:t>
            </w:r>
          </w:p>
        </w:tc>
        <w:tc>
          <w:tcPr>
            <w:tcW w:w="240" w:type="dxa"/>
            <w:vAlign w:val="bottom"/>
          </w:tcPr>
          <w:p>
            <w:pPr>
              <w:spacing w:after="0"/>
              <w:rPr>
                <w:sz w:val="17"/>
                <w:szCs w:val="17"/>
                <w:color w:val="auto"/>
              </w:rPr>
            </w:pPr>
          </w:p>
        </w:tc>
        <w:tc>
          <w:tcPr>
            <w:tcW w:w="46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47">
              <w:r>
                <w:rPr>
                  <w:rFonts w:ascii="Arial" w:cs="Arial" w:eastAsia="Arial" w:hAnsi="Arial"/>
                  <w:sz w:val="18"/>
                  <w:szCs w:val="18"/>
                  <w:color w:val="0000EE"/>
                  <w:w w:val="91"/>
                </w:rPr>
                <w:t>Opinion of Mintz, Levin, Cohn, Ferris, Glovsky and Popeo, P.C.</w:t>
              </w:r>
            </w:hyperlink>
          </w:p>
        </w:tc>
        <w:tc>
          <w:tcPr>
            <w:tcW w:w="5160" w:type="dxa"/>
            <w:vAlign w:val="bottom"/>
            <w:gridSpan w:val="4"/>
          </w:tcPr>
          <w:p>
            <w:pPr>
              <w:spacing w:after="0"/>
              <w:rPr>
                <w:sz w:val="17"/>
                <w:szCs w:val="17"/>
                <w:color w:val="auto"/>
              </w:rPr>
            </w:pP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color w:val="auto"/>
              </w:rPr>
              <w:t>10.1</w:t>
            </w:r>
          </w:p>
        </w:tc>
        <w:tc>
          <w:tcPr>
            <w:tcW w:w="240" w:type="dxa"/>
            <w:vAlign w:val="bottom"/>
          </w:tcPr>
          <w:p>
            <w:pPr>
              <w:spacing w:after="0"/>
              <w:rPr>
                <w:sz w:val="17"/>
                <w:szCs w:val="17"/>
                <w:color w:val="auto"/>
              </w:rPr>
            </w:pPr>
          </w:p>
        </w:tc>
        <w:tc>
          <w:tcPr>
            <w:tcW w:w="892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50">
              <w:r>
                <w:rPr>
                  <w:rFonts w:ascii="Arial" w:cs="Arial" w:eastAsia="Arial" w:hAnsi="Arial"/>
                  <w:sz w:val="18"/>
                  <w:szCs w:val="18"/>
                  <w:color w:val="0000EE"/>
                  <w:w w:val="91"/>
                </w:rPr>
                <w:t>Engagement Letter, dated as of October 12, 2018, by and between Microbot Medical Inc. and H.C. Wainwright &amp; Co., LLC</w:t>
              </w:r>
            </w:hyperlink>
          </w:p>
        </w:tc>
        <w:tc>
          <w:tcPr>
            <w:tcW w:w="880" w:type="dxa"/>
            <w:vAlign w:val="bottom"/>
            <w:gridSpan w:val="2"/>
          </w:tcPr>
          <w:p>
            <w:pPr>
              <w:spacing w:after="0"/>
              <w:rPr>
                <w:sz w:val="17"/>
                <w:szCs w:val="17"/>
                <w:color w:val="auto"/>
              </w:rPr>
            </w:pP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color w:val="auto"/>
              </w:rPr>
              <w:t>10.2</w:t>
            </w:r>
          </w:p>
        </w:tc>
        <w:tc>
          <w:tcPr>
            <w:tcW w:w="240" w:type="dxa"/>
            <w:vAlign w:val="bottom"/>
          </w:tcPr>
          <w:p>
            <w:pPr>
              <w:spacing w:after="0"/>
              <w:rPr>
                <w:sz w:val="17"/>
                <w:szCs w:val="17"/>
                <w:color w:val="auto"/>
              </w:rPr>
            </w:pPr>
          </w:p>
        </w:tc>
        <w:tc>
          <w:tcPr>
            <w:tcW w:w="91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Form of Securities Purchase Agreement, dated as of January 14, 2019, by and among Microbot Medical Inc., and the Purchaser</w:t>
              </w:r>
            </w:hyperlink>
          </w:p>
        </w:tc>
        <w:tc>
          <w:tcPr>
            <w:tcW w:w="620" w:type="dxa"/>
            <w:vAlign w:val="bottom"/>
          </w:tcPr>
          <w:p>
            <w:pPr>
              <w:spacing w:after="0"/>
              <w:rPr>
                <w:sz w:val="17"/>
                <w:szCs w:val="17"/>
                <w:color w:val="auto"/>
              </w:rPr>
            </w:pP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color w:val="auto"/>
              </w:rPr>
              <w:t>23.1</w:t>
            </w:r>
          </w:p>
        </w:tc>
        <w:tc>
          <w:tcPr>
            <w:tcW w:w="240" w:type="dxa"/>
            <w:vAlign w:val="bottom"/>
          </w:tcPr>
          <w:p>
            <w:pPr>
              <w:spacing w:after="0"/>
              <w:rPr>
                <w:sz w:val="17"/>
                <w:szCs w:val="17"/>
                <w:color w:val="auto"/>
              </w:rPr>
            </w:pPr>
          </w:p>
        </w:tc>
        <w:tc>
          <w:tcPr>
            <w:tcW w:w="65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47">
              <w:r>
                <w:rPr>
                  <w:rFonts w:ascii="Arial" w:cs="Arial" w:eastAsia="Arial" w:hAnsi="Arial"/>
                  <w:sz w:val="18"/>
                  <w:szCs w:val="18"/>
                  <w:color w:val="0000EE"/>
                  <w:w w:val="91"/>
                </w:rPr>
                <w:t>Consent of Mintz, Levin, Cohn, Ferris, Glovsky and Popeo, P.C. (included in Exhibit 5.1).</w:t>
              </w:r>
            </w:hyperlink>
          </w:p>
        </w:tc>
        <w:tc>
          <w:tcPr>
            <w:tcW w:w="3300" w:type="dxa"/>
            <w:vAlign w:val="bottom"/>
            <w:gridSpan w:val="3"/>
          </w:tcPr>
          <w:p>
            <w:pPr>
              <w:spacing w:after="0"/>
              <w:rPr>
                <w:sz w:val="17"/>
                <w:szCs w:val="17"/>
                <w:color w:val="auto"/>
              </w:rPr>
            </w:pP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color w:val="auto"/>
              </w:rPr>
              <w:t>99.1</w:t>
            </w:r>
          </w:p>
        </w:tc>
        <w:tc>
          <w:tcPr>
            <w:tcW w:w="240" w:type="dxa"/>
            <w:vAlign w:val="bottom"/>
          </w:tcPr>
          <w:p>
            <w:pPr>
              <w:spacing w:after="0"/>
              <w:rPr>
                <w:sz w:val="17"/>
                <w:szCs w:val="17"/>
                <w:color w:val="auto"/>
              </w:rPr>
            </w:pPr>
          </w:p>
        </w:tc>
        <w:tc>
          <w:tcPr>
            <w:tcW w:w="9800" w:type="dxa"/>
            <w:vAlign w:val="bottom"/>
            <w:gridSpan w:val="8"/>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Press Release dated January 15, 2019.</w:t>
              </w:r>
            </w:hyperlink>
          </w:p>
        </w:tc>
      </w:tr>
      <w:tr>
        <w:trPr>
          <w:trHeight w:val="460"/>
        </w:trPr>
        <w:tc>
          <w:tcPr>
            <w:tcW w:w="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5" w:name="page6"/>
    <w:bookmarkEnd w:id="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ind w:left="10580"/>
        <w:spacing w:after="0"/>
        <w:rPr>
          <w:sz w:val="20"/>
          <w:szCs w:val="20"/>
          <w:color w:val="auto"/>
        </w:rPr>
      </w:pPr>
      <w:r>
        <w:rPr>
          <w:rFonts w:ascii="Arial" w:cs="Arial" w:eastAsia="Arial" w:hAnsi="Arial"/>
          <w:sz w:val="16"/>
          <w:szCs w:val="16"/>
          <w:b w:val="1"/>
          <w:bCs w:val="1"/>
          <w:color w:val="auto"/>
        </w:rPr>
        <w:t>Exhibit 4.1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PRE-FUNDED COMMON STOCK PURCHASE WARRANT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MICROBOT MEDICAL INC.</w:t>
      </w:r>
    </w:p>
    <w:p>
      <w:pPr>
        <w:sectPr>
          <w:pgSz w:w="11900" w:h="16838" w:orient="portrait"/>
          <w:cols w:equalWidth="0" w:num="1">
            <w:col w:w="11420"/>
          </w:cols>
          <w:pgMar w:left="240" w:top="337"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Warrant Shares: _______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Issue Date: ______, 2019</w:t>
      </w:r>
    </w:p>
    <w:p>
      <w:pPr>
        <w:spacing w:after="0" w:line="200" w:lineRule="exact"/>
        <w:rPr>
          <w:sz w:val="20"/>
          <w:szCs w:val="20"/>
          <w:color w:val="auto"/>
        </w:rPr>
      </w:pPr>
    </w:p>
    <w:p>
      <w:pPr>
        <w:sectPr>
          <w:pgSz w:w="11900" w:h="16838" w:orient="portrait"/>
          <w:cols w:equalWidth="0" w:num="2">
            <w:col w:w="7280" w:space="720"/>
            <w:col w:w="3420"/>
          </w:cols>
          <w:pgMar w:left="240" w:top="337" w:right="239" w:bottom="1440" w:gutter="0" w:footer="0" w:header="0"/>
          <w:type w:val="continuous"/>
        </w:sectPr>
      </w:pPr>
    </w:p>
    <w:p>
      <w:pPr>
        <w:spacing w:after="0" w:line="48" w:lineRule="exact"/>
        <w:rPr>
          <w:sz w:val="20"/>
          <w:szCs w:val="20"/>
          <w:color w:val="auto"/>
        </w:rPr>
      </w:pPr>
    </w:p>
    <w:p>
      <w:pPr>
        <w:ind w:left="8000"/>
        <w:spacing w:after="0"/>
        <w:rPr>
          <w:sz w:val="20"/>
          <w:szCs w:val="20"/>
          <w:color w:val="auto"/>
        </w:rPr>
      </w:pPr>
      <w:r>
        <w:rPr>
          <w:rFonts w:ascii="Arial" w:cs="Arial" w:eastAsia="Arial" w:hAnsi="Arial"/>
          <w:sz w:val="16"/>
          <w:szCs w:val="16"/>
          <w:color w:val="auto"/>
        </w:rPr>
        <w:t>Initial Exercise Date: _______, 2019</w:t>
      </w:r>
    </w:p>
    <w:p>
      <w:pPr>
        <w:sectPr>
          <w:pgSz w:w="11900" w:h="16838" w:orient="portrait"/>
          <w:cols w:equalWidth="0" w:num="1">
            <w:col w:w="11420"/>
          </w:cols>
          <w:pgMar w:left="240" w:top="337" w:right="239" w:bottom="1440" w:gutter="0" w:footer="0" w:header="0"/>
          <w:type w:val="continuous"/>
        </w:sectPr>
      </w:pP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THIS PRE-FUNDED COMMON STOCK PURCHASE WARRANT (the “</w:t>
      </w:r>
      <w:r>
        <w:rPr>
          <w:rFonts w:ascii="Arial" w:cs="Arial" w:eastAsia="Arial" w:hAnsi="Arial"/>
          <w:sz w:val="17"/>
          <w:szCs w:val="17"/>
          <w:u w:val="single" w:color="auto"/>
          <w:color w:val="auto"/>
        </w:rPr>
        <w:t>Warrant</w:t>
      </w:r>
      <w:r>
        <w:rPr>
          <w:rFonts w:ascii="Arial" w:cs="Arial" w:eastAsia="Arial" w:hAnsi="Arial"/>
          <w:sz w:val="17"/>
          <w:szCs w:val="17"/>
          <w:color w:val="auto"/>
        </w:rPr>
        <w:t>”) certifies that, for value received, _____________ or</w:t>
      </w:r>
    </w:p>
    <w:p>
      <w:pPr>
        <w:spacing w:after="0" w:line="3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its assigns (the “</w:t>
      </w:r>
      <w:r>
        <w:rPr>
          <w:rFonts w:ascii="Arial" w:cs="Arial" w:eastAsia="Arial" w:hAnsi="Arial"/>
          <w:sz w:val="17"/>
          <w:szCs w:val="17"/>
          <w:u w:val="single" w:color="auto"/>
          <w:color w:val="auto"/>
        </w:rPr>
        <w:t>Holder</w:t>
      </w:r>
      <w:r>
        <w:rPr>
          <w:rFonts w:ascii="Arial" w:cs="Arial" w:eastAsia="Arial" w:hAnsi="Arial"/>
          <w:sz w:val="17"/>
          <w:szCs w:val="17"/>
          <w:color w:val="auto"/>
        </w:rPr>
        <w:t>”) is entitled, upon the terms and subject to the limitations on exercise and the conditions hereinafter set forth, at any time on or after the date hereof (the “</w:t>
      </w:r>
      <w:r>
        <w:rPr>
          <w:rFonts w:ascii="Arial" w:cs="Arial" w:eastAsia="Arial" w:hAnsi="Arial"/>
          <w:sz w:val="17"/>
          <w:szCs w:val="17"/>
          <w:u w:val="single" w:color="auto"/>
          <w:color w:val="auto"/>
        </w:rPr>
        <w:t>Initial Exercise Date</w:t>
      </w:r>
      <w:r>
        <w:rPr>
          <w:rFonts w:ascii="Arial" w:cs="Arial" w:eastAsia="Arial" w:hAnsi="Arial"/>
          <w:sz w:val="17"/>
          <w:szCs w:val="17"/>
          <w:color w:val="auto"/>
        </w:rPr>
        <w:t>”) and until this Warrant is exercised in full (the “</w:t>
      </w:r>
      <w:r>
        <w:rPr>
          <w:rFonts w:ascii="Arial" w:cs="Arial" w:eastAsia="Arial" w:hAnsi="Arial"/>
          <w:sz w:val="17"/>
          <w:szCs w:val="17"/>
          <w:u w:val="single" w:color="auto"/>
          <w:color w:val="auto"/>
        </w:rPr>
        <w:t>Termination Date</w:t>
      </w:r>
      <w:r>
        <w:rPr>
          <w:rFonts w:ascii="Arial" w:cs="Arial" w:eastAsia="Arial" w:hAnsi="Arial"/>
          <w:sz w:val="17"/>
          <w:szCs w:val="17"/>
          <w:color w:val="auto"/>
        </w:rPr>
        <w:t>”), to subscribe for and purchase from Microbot Medical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up to ______ shares (as subject to adjustment hereunder, the “</w:t>
      </w:r>
      <w:r>
        <w:rPr>
          <w:rFonts w:ascii="Arial" w:cs="Arial" w:eastAsia="Arial" w:hAnsi="Arial"/>
          <w:sz w:val="17"/>
          <w:szCs w:val="17"/>
          <w:u w:val="single" w:color="auto"/>
          <w:color w:val="auto"/>
        </w:rPr>
        <w:t>Warrant Shares</w:t>
      </w:r>
      <w:r>
        <w:rPr>
          <w:rFonts w:ascii="Arial" w:cs="Arial" w:eastAsia="Arial" w:hAnsi="Arial"/>
          <w:sz w:val="17"/>
          <w:szCs w:val="17"/>
          <w:color w:val="auto"/>
        </w:rPr>
        <w:t>”) of Common Stock. The purchase price of one share of Common Stock under this Warrant shall be equal to the Exercise Price, as defined in Section 2(b).</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w:t>
      </w:r>
      <w:r>
        <w:rPr>
          <w:rFonts w:ascii="Arial" w:cs="Arial" w:eastAsia="Arial" w:hAnsi="Arial"/>
          <w:sz w:val="16"/>
          <w:szCs w:val="16"/>
          <w:u w:val="single" w:color="auto"/>
          <w:color w:val="auto"/>
        </w:rPr>
        <w:t>Definitions</w:t>
      </w:r>
      <w:r>
        <w:rPr>
          <w:rFonts w:ascii="Arial" w:cs="Arial" w:eastAsia="Arial" w:hAnsi="Arial"/>
          <w:sz w:val="16"/>
          <w:szCs w:val="16"/>
          <w:color w:val="auto"/>
        </w:rPr>
        <w:t>. In addition to the terms defined elsewhere in this Warrant, the following terms have the meanings indicated in this Section 1:</w:t>
      </w:r>
    </w:p>
    <w:p>
      <w:pPr>
        <w:spacing w:after="0" w:line="248"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70"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Bid Price</w:t>
      </w:r>
      <w:r>
        <w:rPr>
          <w:rFonts w:ascii="Arial" w:cs="Arial" w:eastAsia="Arial" w:hAnsi="Arial"/>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Sheets” published by OTC Markets Group,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95" w:lineRule="exact"/>
        <w:rPr>
          <w:sz w:val="20"/>
          <w:szCs w:val="20"/>
          <w:color w:val="auto"/>
        </w:rPr>
      </w:pPr>
    </w:p>
    <w:p>
      <w:pPr>
        <w:jc w:val="both"/>
        <w:ind w:left="6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7" w:name="page8"/>
    <w:bookmarkEnd w:id="7"/>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 par value $0.01 per share, and any other class of securities into which such securities may hereafter be reclassified or changed.</w:t>
      </w:r>
    </w:p>
    <w:p>
      <w:pPr>
        <w:spacing w:after="0" w:line="170"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 Equivalents</w:t>
      </w:r>
      <w:r>
        <w:rPr>
          <w:rFonts w:ascii="Arial" w:cs="Arial" w:eastAsia="Arial" w:hAnsi="Arial"/>
          <w:sz w:val="17"/>
          <w:szCs w:val="17"/>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 Agreement</w:t>
      </w:r>
      <w:r>
        <w:rPr>
          <w:rFonts w:ascii="Arial" w:cs="Arial" w:eastAsia="Arial" w:hAnsi="Arial"/>
          <w:sz w:val="16"/>
          <w:szCs w:val="16"/>
          <w:color w:val="auto"/>
        </w:rPr>
        <w:t>” means that certain Securities Purchase Agreement (the “</w:t>
      </w:r>
      <w:r>
        <w:rPr>
          <w:rFonts w:ascii="Arial" w:cs="Arial" w:eastAsia="Arial" w:hAnsi="Arial"/>
          <w:sz w:val="16"/>
          <w:szCs w:val="16"/>
          <w:u w:val="single" w:color="auto"/>
          <w:color w:val="auto"/>
        </w:rPr>
        <w:t>Purchase Agreement</w:t>
      </w:r>
      <w:r>
        <w:rPr>
          <w:rFonts w:ascii="Arial" w:cs="Arial" w:eastAsia="Arial" w:hAnsi="Arial"/>
          <w:sz w:val="16"/>
          <w:szCs w:val="16"/>
          <w:color w:val="auto"/>
        </w:rPr>
        <w:t>”), dated [_______, 2018, among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and the purchasers signatory thereto.</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Common Stock is traded on a Trading Market.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Agent</w:t>
      </w:r>
      <w:r>
        <w:rPr>
          <w:rFonts w:ascii="Arial" w:cs="Arial" w:eastAsia="Arial" w:hAnsi="Arial"/>
          <w:sz w:val="18"/>
          <w:szCs w:val="18"/>
          <w:color w:val="auto"/>
        </w:rPr>
        <w:t>” means Computershare Trust Company, with offices located at Meidinger Tower, 462 South 4th Street, Louisville, KY 40202, and any successor transfer agent of the Company.</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VWAP</w:t>
      </w:r>
      <w:r>
        <w:rPr>
          <w:rFonts w:ascii="Arial" w:cs="Arial" w:eastAsia="Arial" w:hAnsi="Arial"/>
          <w:sz w:val="17"/>
          <w:szCs w:val="17"/>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Sheets” published by OTC Markets Group,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7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5" w:right="239" w:bottom="1440" w:gutter="0" w:footer="0" w:header="0"/>
        </w:sectPr>
      </w:pPr>
    </w:p>
    <w:bookmarkStart w:id="8" w:name="page9"/>
    <w:bookmarkEnd w:id="8"/>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Warrants</w:t>
      </w:r>
      <w:r>
        <w:rPr>
          <w:rFonts w:ascii="Arial" w:cs="Arial" w:eastAsia="Arial" w:hAnsi="Arial"/>
          <w:sz w:val="16"/>
          <w:szCs w:val="16"/>
          <w:color w:val="auto"/>
        </w:rPr>
        <w:t>” means this Warrant and other Common Stock purchase warrants issued by the Company pursuant to the Purchase Agreement.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225" w:lineRule="exact"/>
        <w:rPr>
          <w:sz w:val="20"/>
          <w:szCs w:val="20"/>
          <w:color w:val="auto"/>
        </w:rPr>
      </w:pPr>
    </w:p>
    <w:p>
      <w:pPr>
        <w:jc w:val="both"/>
        <w:ind w:firstLine="645"/>
        <w:spacing w:after="0" w:line="285" w:lineRule="auto"/>
        <w:tabs>
          <w:tab w:leader="none" w:pos="833"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Exercise of Warrant</w:t>
      </w:r>
      <w:r>
        <w:rPr>
          <w:rFonts w:ascii="Arial" w:cs="Arial" w:eastAsia="Arial" w:hAnsi="Arial"/>
          <w:sz w:val="16"/>
          <w:szCs w:val="16"/>
          <w:color w:val="auto"/>
        </w:rPr>
        <w:t>. Exercise of the purchase rights represented by this Warrant may be made, in whole or in part, at any time or times on or after the Initial Exercise Date and on or before the Termination Date by delivery to the Company of a duly executed facsimile copy (or .pdf copy via e-mail attachment) of the Notice of Exercise in the form annexed hereto (the “</w:t>
      </w:r>
      <w:r>
        <w:rPr>
          <w:rFonts w:ascii="Arial" w:cs="Arial" w:eastAsia="Arial" w:hAnsi="Arial"/>
          <w:sz w:val="16"/>
          <w:szCs w:val="16"/>
          <w:u w:val="single" w:color="auto"/>
          <w:color w:val="auto"/>
        </w:rPr>
        <w:t>Notice of Exercise</w:t>
      </w:r>
      <w:r>
        <w:rPr>
          <w:rFonts w:ascii="Arial" w:cs="Arial" w:eastAsia="Arial" w:hAnsi="Arial"/>
          <w:sz w:val="16"/>
          <w:szCs w:val="16"/>
          <w:color w:val="auto"/>
        </w:rPr>
        <w:t xml:space="preserve">”). Within the earlier of (i) two (2) Trading Days and (ii) the number of Trading Days comprising the Standard Settlement Period (as defined in Section 2(d)(i) herein) following the date of exercise as aforesaid, the Holder shall deliver the unpaid portion of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Arial" w:cs="Arial" w:eastAsia="Arial" w:hAnsi="Arial"/>
          <w:sz w:val="16"/>
          <w:szCs w:val="16"/>
          <w:b w:val="1"/>
          <w:bCs w:val="1"/>
          <w:color w:val="auto"/>
        </w:rPr>
        <w:t>The Holder and any assignee, by acceptance of this Warrant, acknowledge and</w:t>
      </w:r>
      <w:r>
        <w:rPr>
          <w:rFonts w:ascii="Arial" w:cs="Arial" w:eastAsia="Arial" w:hAnsi="Arial"/>
          <w:sz w:val="16"/>
          <w:szCs w:val="16"/>
          <w:color w:val="auto"/>
        </w:rPr>
        <w:t xml:space="preserve"> </w:t>
      </w:r>
      <w:r>
        <w:rPr>
          <w:rFonts w:ascii="Arial" w:cs="Arial" w:eastAsia="Arial" w:hAnsi="Arial"/>
          <w:sz w:val="16"/>
          <w:szCs w:val="16"/>
          <w:b w:val="1"/>
          <w:bCs w:val="1"/>
          <w:color w:val="auto"/>
        </w:rPr>
        <w:t>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Without limiting the rights of a Holder to receive Warrant Shares on a “cashless exercise” and without limiting the liquidated damages provision in Section 2(d)(i) and the buy-in provision in Section 2(d)(iv), in no event will the Company be required to net cash settle a Warrant exercise.</w:t>
      </w:r>
    </w:p>
    <w:p>
      <w:pPr>
        <w:spacing w:after="0" w:line="18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5" w:right="239" w:bottom="1440" w:gutter="0" w:footer="0" w:header="0"/>
        </w:sectPr>
      </w:pPr>
    </w:p>
    <w:bookmarkStart w:id="9" w:name="page10"/>
    <w:bookmarkEnd w:id="9"/>
    <w:p>
      <w:pPr>
        <w:jc w:val="both"/>
        <w:ind w:firstLine="645"/>
        <w:spacing w:after="0" w:line="273" w:lineRule="auto"/>
        <w:tabs>
          <w:tab w:leader="none" w:pos="857"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The aggregate exercise price of this Warrant, except for a nominal exercise price of $0.01 per Warrant Share, was pre-funded to the Company on or prior to the Initial Exercise Date and, consequently, no additional consideration (other than the nominal exercise price of $0.01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including in the event this Warrant shall not have been exercised prior to the Termination Date. The remaining unpaid exercise price per share of Common Stock under this Warrant shall be $0.01, subject to adjustment hereunder (the “</w:t>
      </w:r>
      <w:r>
        <w:rPr>
          <w:rFonts w:ascii="Arial" w:cs="Arial" w:eastAsia="Arial" w:hAnsi="Arial"/>
          <w:sz w:val="17"/>
          <w:szCs w:val="17"/>
          <w:u w:val="single" w:color="auto"/>
          <w:color w:val="auto"/>
        </w:rPr>
        <w:t>Exercise Price</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jc w:val="both"/>
        <w:ind w:firstLine="645"/>
        <w:spacing w:after="0" w:line="259" w:lineRule="auto"/>
        <w:tabs>
          <w:tab w:leader="none" w:pos="846"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Cashless Exercise</w:t>
      </w:r>
      <w:r>
        <w:rPr>
          <w:rFonts w:ascii="Arial" w:cs="Arial" w:eastAsia="Arial" w:hAnsi="Arial"/>
          <w:sz w:val="18"/>
          <w:szCs w:val="18"/>
          <w:color w:val="auto"/>
        </w:rPr>
        <w:t>. If at the time of exercise hereof there is no effective registration statement registering, or the prospectus contained therein is not available for the issuance of the Warrant Shares to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187" w:lineRule="exact"/>
        <w:rPr>
          <w:sz w:val="20"/>
          <w:szCs w:val="20"/>
          <w:color w:val="auto"/>
        </w:rPr>
      </w:pPr>
    </w:p>
    <w:p>
      <w:pPr>
        <w:ind w:left="1220" w:hanging="575"/>
        <w:spacing w:after="0" w:line="269" w:lineRule="auto"/>
        <w:tabs>
          <w:tab w:leader="none" w:pos="963" w:val="left"/>
        </w:tabs>
        <w:numPr>
          <w:ilvl w:val="0"/>
          <w:numId w:val="4"/>
        </w:numPr>
        <w:rPr>
          <w:rFonts w:ascii="Arial" w:cs="Arial" w:eastAsia="Arial" w:hAnsi="Arial"/>
          <w:sz w:val="17"/>
          <w:szCs w:val="17"/>
          <w:color w:val="auto"/>
        </w:rPr>
      </w:pPr>
      <w:r>
        <w:rPr>
          <w:rFonts w:ascii="Arial" w:cs="Arial" w:eastAsia="Arial" w:hAnsi="Arial"/>
          <w:sz w:val="17"/>
          <w:szCs w:val="17"/>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600(b)(64)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82" w:lineRule="exact"/>
        <w:rPr>
          <w:rFonts w:ascii="Arial" w:cs="Arial" w:eastAsia="Arial" w:hAnsi="Arial"/>
          <w:sz w:val="17"/>
          <w:szCs w:val="17"/>
          <w:color w:val="auto"/>
        </w:rPr>
      </w:pPr>
    </w:p>
    <w:p>
      <w:pPr>
        <w:ind w:left="960" w:hanging="315"/>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the Exercise Price of this Warrant, as adjusted hereunder; and</w:t>
      </w:r>
    </w:p>
    <w:p>
      <w:pPr>
        <w:spacing w:after="0" w:line="225" w:lineRule="exact"/>
        <w:rPr>
          <w:sz w:val="20"/>
          <w:szCs w:val="20"/>
          <w:color w:val="auto"/>
        </w:rPr>
      </w:pPr>
    </w:p>
    <w:p>
      <w:pPr>
        <w:ind w:left="1220" w:hanging="575"/>
        <w:spacing w:after="0" w:line="277" w:lineRule="auto"/>
        <w:tabs>
          <w:tab w:leader="none" w:pos="963" w:val="left"/>
        </w:tabs>
        <w:numPr>
          <w:ilvl w:val="0"/>
          <w:numId w:val="5"/>
        </w:numPr>
        <w:rPr>
          <w:rFonts w:ascii="Arial" w:cs="Arial" w:eastAsia="Arial" w:hAnsi="Arial"/>
          <w:sz w:val="18"/>
          <w:szCs w:val="18"/>
          <w:color w:val="auto"/>
        </w:rPr>
      </w:pPr>
      <w:r>
        <w:rPr>
          <w:rFonts w:ascii="Arial" w:cs="Arial" w:eastAsia="Arial" w:hAnsi="Arial"/>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Warrant Shares are issued in such a cashless exercise, the parties acknowledge and agree that in accordance with Section 3(a)(9) of the Securities Act, the Warrant Shares shall take on the characteristics of the Warrants being exercised. The Company agrees not to take any position contrary to this Section 2(c).</w:t>
      </w:r>
    </w:p>
    <w:p>
      <w:pPr>
        <w:spacing w:after="0" w:line="18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5" w:right="239" w:bottom="1440" w:gutter="0" w:footer="0" w:header="0"/>
        </w:sectPr>
      </w:pPr>
    </w:p>
    <w:bookmarkStart w:id="10" w:name="page11"/>
    <w:bookmarkEnd w:id="10"/>
    <w:p>
      <w:pPr>
        <w:ind w:left="300" w:hanging="195"/>
        <w:spacing w:after="0"/>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Mechanics of Exercise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760" w:hanging="169"/>
        <w:spacing w:after="0" w:line="284" w:lineRule="auto"/>
        <w:tabs>
          <w:tab w:leader="none" w:pos="738"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Delivery of Warrant Shares Upon Exercise</w:t>
      </w:r>
      <w:r>
        <w:rPr>
          <w:rFonts w:ascii="Arial" w:cs="Arial" w:eastAsia="Arial" w:hAnsi="Arial"/>
          <w:sz w:val="16"/>
          <w:szCs w:val="16"/>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Arial" w:cs="Arial" w:eastAsia="Arial" w:hAnsi="Arial"/>
          <w:sz w:val="16"/>
          <w:szCs w:val="16"/>
          <w:u w:val="single" w:color="auto"/>
          <w:color w:val="auto"/>
        </w:rPr>
        <w:t>DWAC</w:t>
      </w:r>
      <w:r>
        <w:rPr>
          <w:rFonts w:ascii="Arial" w:cs="Arial" w:eastAsia="Arial" w:hAnsi="Arial"/>
          <w:sz w:val="16"/>
          <w:szCs w:val="16"/>
          <w:color w:val="auto"/>
        </w:rPr>
        <w:t>”) if the Company is then a participant in such system and either (A) there is an effective registration statement permitting the issuance of the Warrant Shares to or resale of the Warrant Shares by the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two (2) Trading Days and (ii) the number of days comprising the Standard Settlement Period, in each case after the delivery to the Company of the Notice of Exercise (such date, the “</w:t>
      </w:r>
      <w:r>
        <w:rPr>
          <w:rFonts w:ascii="Arial" w:cs="Arial" w:eastAsia="Arial" w:hAnsi="Arial"/>
          <w:sz w:val="16"/>
          <w:szCs w:val="16"/>
          <w:u w:val="single" w:color="auto"/>
          <w:color w:val="auto"/>
        </w:rPr>
        <w:t>Warrant Share Delivery Date</w:t>
      </w:r>
      <w:r>
        <w:rPr>
          <w:rFonts w:ascii="Arial" w:cs="Arial" w:eastAsia="Arial" w:hAnsi="Arial"/>
          <w:sz w:val="16"/>
          <w:szCs w:val="16"/>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by the Warrant Share Delivery Date.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such liquidated damages begin to accrue) for each Trading Day after such Warrant Share Delivery Date until such Warrant Shares are delivered or the Holder rescinds such exercise. The Company agrees to maintain a transfer agent that is a participant in the FAST program so long as this Warrant remains outstanding and exercisable. As used herein, “</w:t>
      </w:r>
      <w:r>
        <w:rPr>
          <w:rFonts w:ascii="Arial" w:cs="Arial" w:eastAsia="Arial" w:hAnsi="Arial"/>
          <w:sz w:val="16"/>
          <w:szCs w:val="16"/>
          <w:u w:val="single" w:color="auto"/>
          <w:color w:val="auto"/>
        </w:rPr>
        <w:t>Standard Settlement Period</w:t>
      </w:r>
      <w:r>
        <w:rPr>
          <w:rFonts w:ascii="Arial" w:cs="Arial" w:eastAsia="Arial" w:hAnsi="Arial"/>
          <w:sz w:val="16"/>
          <w:szCs w:val="16"/>
          <w:color w:val="auto"/>
        </w:rPr>
        <w:t>” means the standard settlement period, expressed in a number of Trading Days, on the Company’s primary Trading Market with respect to the Common Stock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Purchase Agreement, the Company agrees to deliver the Warrant Shares subject to such notice(s) by 4:00 p.m. (New York City time) on the Initial Exercise Date.</w:t>
      </w:r>
    </w:p>
    <w:p>
      <w:pPr>
        <w:spacing w:after="0" w:line="176" w:lineRule="exact"/>
        <w:rPr>
          <w:rFonts w:ascii="Arial" w:cs="Arial" w:eastAsia="Arial" w:hAnsi="Arial"/>
          <w:sz w:val="16"/>
          <w:szCs w:val="16"/>
          <w:color w:val="auto"/>
        </w:rPr>
      </w:pPr>
    </w:p>
    <w:p>
      <w:pPr>
        <w:jc w:val="both"/>
        <w:ind w:left="760" w:firstLine="641"/>
        <w:spacing w:after="0" w:line="259" w:lineRule="auto"/>
        <w:tabs>
          <w:tab w:leader="none" w:pos="1598" w:val="left"/>
        </w:tabs>
        <w:numPr>
          <w:ilvl w:val="2"/>
          <w:numId w:val="6"/>
        </w:numPr>
        <w:rPr>
          <w:rFonts w:ascii="Arial" w:cs="Arial" w:eastAsia="Arial" w:hAnsi="Arial"/>
          <w:sz w:val="18"/>
          <w:szCs w:val="18"/>
          <w:color w:val="auto"/>
        </w:rPr>
      </w:pPr>
      <w:r>
        <w:rPr>
          <w:rFonts w:ascii="Arial" w:cs="Arial" w:eastAsia="Arial" w:hAnsi="Arial"/>
          <w:sz w:val="18"/>
          <w:szCs w:val="18"/>
          <w:u w:val="single" w:color="auto"/>
          <w:color w:val="auto"/>
        </w:rPr>
        <w:t>Delivery of New Warrants Upon Exercise</w:t>
      </w:r>
      <w:r>
        <w:rPr>
          <w:rFonts w:ascii="Arial" w:cs="Arial" w:eastAsia="Arial" w:hAnsi="Arial"/>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8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11" w:name="page12"/>
    <w:bookmarkEnd w:id="11"/>
    <w:p>
      <w:pPr>
        <w:ind w:left="760" w:firstLine="641"/>
        <w:spacing w:after="0" w:line="308" w:lineRule="auto"/>
        <w:tabs>
          <w:tab w:leader="none" w:pos="1662" w:val="left"/>
        </w:tabs>
        <w:numPr>
          <w:ilvl w:val="1"/>
          <w:numId w:val="7"/>
        </w:numPr>
        <w:rPr>
          <w:rFonts w:ascii="Arial" w:cs="Arial" w:eastAsia="Arial" w:hAnsi="Arial"/>
          <w:sz w:val="17"/>
          <w:szCs w:val="17"/>
          <w:color w:val="auto"/>
        </w:rPr>
      </w:pPr>
      <w:r>
        <w:rPr>
          <w:rFonts w:ascii="Arial" w:cs="Arial" w:eastAsia="Arial" w:hAnsi="Arial"/>
          <w:sz w:val="17"/>
          <w:szCs w:val="17"/>
          <w:u w:val="single" w:color="auto"/>
          <w:color w:val="auto"/>
        </w:rPr>
        <w:t>Rescission Rights</w:t>
      </w:r>
      <w:r>
        <w:rPr>
          <w:rFonts w:ascii="Arial" w:cs="Arial" w:eastAsia="Arial" w:hAnsi="Arial"/>
          <w:sz w:val="17"/>
          <w:szCs w:val="17"/>
          <w:color w:val="auto"/>
        </w:rPr>
        <w:t>. If the Company fails to cause the Transfer Agent to transmit to the Holder the Warrant Shares pursuant to Section 2(d)(i) by the Warrant Share Delivery Date, then the Holder will have the right to rescind such exercise.</w:t>
      </w:r>
    </w:p>
    <w:p>
      <w:pPr>
        <w:spacing w:after="0" w:line="146" w:lineRule="exact"/>
        <w:rPr>
          <w:rFonts w:ascii="Arial" w:cs="Arial" w:eastAsia="Arial" w:hAnsi="Arial"/>
          <w:sz w:val="17"/>
          <w:szCs w:val="17"/>
          <w:color w:val="auto"/>
        </w:rPr>
      </w:pPr>
    </w:p>
    <w:p>
      <w:pPr>
        <w:jc w:val="both"/>
        <w:ind w:left="760" w:firstLine="641"/>
        <w:spacing w:after="0" w:line="283" w:lineRule="auto"/>
        <w:tabs>
          <w:tab w:leader="none" w:pos="1626" w:val="left"/>
        </w:tabs>
        <w:numPr>
          <w:ilvl w:val="1"/>
          <w:numId w:val="7"/>
        </w:numPr>
        <w:rPr>
          <w:rFonts w:ascii="Arial" w:cs="Arial" w:eastAsia="Arial" w:hAnsi="Arial"/>
          <w:sz w:val="16"/>
          <w:szCs w:val="16"/>
          <w:color w:val="auto"/>
        </w:rPr>
      </w:pPr>
      <w:r>
        <w:rPr>
          <w:rFonts w:ascii="Arial" w:cs="Arial" w:eastAsia="Arial" w:hAnsi="Arial"/>
          <w:sz w:val="16"/>
          <w:szCs w:val="16"/>
          <w:u w:val="single" w:color="auto"/>
          <w:color w:val="auto"/>
        </w:rPr>
        <w:t>Compensation for Buy-In on Failure to Timely Deliver Warrant Shares Upon Exercise</w:t>
      </w:r>
      <w:r>
        <w:rPr>
          <w:rFonts w:ascii="Arial" w:cs="Arial" w:eastAsia="Arial" w:hAnsi="Arial"/>
          <w:sz w:val="16"/>
          <w:szCs w:val="16"/>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but did not receive (a “</w:t>
      </w:r>
      <w:r>
        <w:rPr>
          <w:rFonts w:ascii="Arial" w:cs="Arial" w:eastAsia="Arial" w:hAnsi="Arial"/>
          <w:sz w:val="16"/>
          <w:szCs w:val="16"/>
          <w:u w:val="single" w:color="auto"/>
          <w:color w:val="auto"/>
        </w:rPr>
        <w:t>Buy-In</w:t>
      </w:r>
      <w:r>
        <w:rPr>
          <w:rFonts w:ascii="Arial" w:cs="Arial" w:eastAsia="Arial" w:hAnsi="Arial"/>
          <w:sz w:val="16"/>
          <w:szCs w:val="16"/>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but failed to deliver, to the Holder in connection with the exercise at issue times</w:t>
      </w:r>
    </w:p>
    <w:p>
      <w:pPr>
        <w:spacing w:after="0" w:line="6" w:lineRule="exact"/>
        <w:rPr>
          <w:rFonts w:ascii="Arial" w:cs="Arial" w:eastAsia="Arial" w:hAnsi="Arial"/>
          <w:sz w:val="16"/>
          <w:szCs w:val="16"/>
          <w:color w:val="auto"/>
        </w:rPr>
      </w:pPr>
    </w:p>
    <w:p>
      <w:pPr>
        <w:jc w:val="both"/>
        <w:ind w:left="760" w:hanging="7"/>
        <w:spacing w:after="0" w:line="286" w:lineRule="auto"/>
        <w:tabs>
          <w:tab w:leader="none" w:pos="1016"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6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12" w:name="page13"/>
    <w:bookmarkEnd w:id="12"/>
    <w:p>
      <w:pPr>
        <w:jc w:val="both"/>
        <w:ind w:left="760" w:firstLine="648"/>
        <w:spacing w:after="0" w:line="259" w:lineRule="auto"/>
        <w:rPr>
          <w:sz w:val="20"/>
          <w:szCs w:val="20"/>
          <w:color w:val="auto"/>
        </w:rPr>
      </w:pPr>
      <w:r>
        <w:rPr>
          <w:rFonts w:ascii="Arial" w:cs="Arial" w:eastAsia="Arial" w:hAnsi="Arial"/>
          <w:sz w:val="18"/>
          <w:szCs w:val="18"/>
          <w:color w:val="auto"/>
        </w:rPr>
        <w:t xml:space="preserve">v. </w:t>
      </w:r>
      <w:r>
        <w:rPr>
          <w:rFonts w:ascii="Arial" w:cs="Arial" w:eastAsia="Arial" w:hAnsi="Arial"/>
          <w:sz w:val="18"/>
          <w:szCs w:val="18"/>
          <w:u w:val="single" w:color="auto"/>
          <w:color w:val="auto"/>
        </w:rPr>
        <w:t>No Fractional Shares or Scrip</w:t>
      </w:r>
      <w:r>
        <w:rPr>
          <w:rFonts w:ascii="Arial" w:cs="Arial" w:eastAsia="Arial" w:hAnsi="Arial"/>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87" w:lineRule="exact"/>
        <w:rPr>
          <w:sz w:val="20"/>
          <w:szCs w:val="20"/>
          <w:color w:val="auto"/>
        </w:rPr>
      </w:pPr>
    </w:p>
    <w:p>
      <w:pPr>
        <w:jc w:val="both"/>
        <w:ind w:left="760" w:firstLine="641"/>
        <w:spacing w:after="0" w:line="270" w:lineRule="auto"/>
        <w:tabs>
          <w:tab w:leader="none" w:pos="1638"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Charges, Taxes and Expenses</w:t>
      </w:r>
      <w:r>
        <w:rPr>
          <w:rFonts w:ascii="Arial" w:cs="Arial" w:eastAsia="Arial" w:hAnsi="Arial"/>
          <w:sz w:val="17"/>
          <w:szCs w:val="17"/>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81" w:lineRule="exact"/>
        <w:rPr>
          <w:rFonts w:ascii="Arial" w:cs="Arial" w:eastAsia="Arial" w:hAnsi="Arial"/>
          <w:sz w:val="17"/>
          <w:szCs w:val="17"/>
          <w:color w:val="auto"/>
        </w:rPr>
      </w:pPr>
    </w:p>
    <w:p>
      <w:pPr>
        <w:ind w:left="760" w:firstLine="641"/>
        <w:spacing w:after="0" w:line="277" w:lineRule="auto"/>
        <w:tabs>
          <w:tab w:leader="none" w:pos="1702"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Closing of Books</w:t>
      </w:r>
      <w:r>
        <w:rPr>
          <w:rFonts w:ascii="Arial" w:cs="Arial" w:eastAsia="Arial" w:hAnsi="Arial"/>
          <w:sz w:val="18"/>
          <w:szCs w:val="18"/>
          <w:color w:val="auto"/>
        </w:rPr>
        <w:t>. The Company will not close its stockholder books or records in any manner which prevents the timely exercise of this Warrant, pursuant to the terms hereof.</w:t>
      </w:r>
    </w:p>
    <w:p>
      <w:pPr>
        <w:spacing w:after="0" w:line="17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13" w:name="page14"/>
    <w:bookmarkEnd w:id="13"/>
    <w:p>
      <w:pPr>
        <w:jc w:val="both"/>
        <w:ind w:firstLine="645"/>
        <w:spacing w:after="0" w:line="282" w:lineRule="auto"/>
        <w:tabs>
          <w:tab w:leader="none" w:pos="846"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Holder’s Exercise Limitations</w:t>
      </w:r>
      <w:r>
        <w:rPr>
          <w:rFonts w:ascii="Arial" w:cs="Arial" w:eastAsia="Arial" w:hAnsi="Arial"/>
          <w:sz w:val="16"/>
          <w:szCs w:val="16"/>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Arial" w:cs="Arial" w:eastAsia="Arial" w:hAnsi="Arial"/>
          <w:sz w:val="16"/>
          <w:szCs w:val="16"/>
          <w:u w:val="single" w:color="auto"/>
          <w:color w:val="auto"/>
        </w:rPr>
        <w:t>Attribution Parties</w:t>
      </w:r>
      <w:r>
        <w:rPr>
          <w:rFonts w:ascii="Arial" w:cs="Arial" w:eastAsia="Arial" w:hAnsi="Arial"/>
          <w:sz w:val="16"/>
          <w:szCs w:val="16"/>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(including any determination as to group status pursuant to the next sentence).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Arial" w:cs="Arial" w:eastAsia="Arial" w:hAnsi="Arial"/>
          <w:sz w:val="16"/>
          <w:szCs w:val="16"/>
          <w:u w:val="single" w:color="auto"/>
          <w:color w:val="auto"/>
        </w:rPr>
        <w:t>Beneficial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Ownership Limitation</w:t>
      </w:r>
      <w:r>
        <w:rPr>
          <w:rFonts w:ascii="Arial" w:cs="Arial" w:eastAsia="Arial" w:hAnsi="Arial"/>
          <w:sz w:val="16"/>
          <w:szCs w:val="16"/>
          <w:color w:val="auto"/>
        </w:rPr>
        <w:t>” shall be [4.99%/9.99%]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w:t>
      </w:r>
    </w:p>
    <w:p>
      <w:pPr>
        <w:spacing w:after="0" w:line="1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not be effective until the 61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18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Certain Adjustments</w:t>
      </w:r>
      <w:r>
        <w:rPr>
          <w:rFonts w:ascii="Arial" w:cs="Arial" w:eastAsia="Arial" w:hAnsi="Arial"/>
          <w:sz w:val="18"/>
          <w:szCs w:val="18"/>
          <w:color w:val="auto"/>
        </w:rPr>
        <w:t>.</w:t>
      </w:r>
    </w:p>
    <w:p>
      <w:pPr>
        <w:spacing w:after="0" w:line="225" w:lineRule="exact"/>
        <w:rPr>
          <w:sz w:val="20"/>
          <w:szCs w:val="20"/>
          <w:color w:val="auto"/>
        </w:rPr>
      </w:pPr>
    </w:p>
    <w:p>
      <w:pPr>
        <w:jc w:val="both"/>
        <w:ind w:firstLine="645"/>
        <w:spacing w:after="0" w:line="287" w:lineRule="auto"/>
        <w:tabs>
          <w:tab w:leader="none" w:pos="833"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Stock Dividends and Splits</w:t>
      </w:r>
      <w:r>
        <w:rPr>
          <w:rFonts w:ascii="Arial" w:cs="Arial" w:eastAsia="Arial" w:hAnsi="Arial"/>
          <w:sz w:val="16"/>
          <w:szCs w:val="16"/>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72" w:lineRule="exact"/>
        <w:rPr>
          <w:rFonts w:ascii="Arial" w:cs="Arial" w:eastAsia="Arial" w:hAnsi="Arial"/>
          <w:sz w:val="16"/>
          <w:szCs w:val="16"/>
          <w:color w:val="auto"/>
        </w:rPr>
      </w:pPr>
    </w:p>
    <w:p>
      <w:pPr>
        <w:jc w:val="both"/>
        <w:ind w:firstLine="645"/>
        <w:spacing w:after="0" w:line="287" w:lineRule="auto"/>
        <w:tabs>
          <w:tab w:leader="none" w:pos="843"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Subsequent Rights Offerings</w:t>
      </w:r>
      <w:r>
        <w:rPr>
          <w:rFonts w:ascii="Arial" w:cs="Arial" w:eastAsia="Arial" w:hAnsi="Arial"/>
          <w:sz w:val="16"/>
          <w:szCs w:val="16"/>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Arial" w:cs="Arial" w:eastAsia="Arial" w:hAnsi="Arial"/>
          <w:sz w:val="16"/>
          <w:szCs w:val="16"/>
          <w:u w:val="single" w:color="auto"/>
          <w:color w:val="auto"/>
        </w:rPr>
        <w:t>Purchase Rights</w:t>
      </w:r>
      <w:r>
        <w:rPr>
          <w:rFonts w:ascii="Arial" w:cs="Arial" w:eastAsia="Arial" w:hAnsi="Arial"/>
          <w:sz w:val="16"/>
          <w:szCs w:val="16"/>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72" w:lineRule="exact"/>
        <w:rPr>
          <w:rFonts w:ascii="Arial" w:cs="Arial" w:eastAsia="Arial" w:hAnsi="Arial"/>
          <w:sz w:val="16"/>
          <w:szCs w:val="16"/>
          <w:color w:val="auto"/>
        </w:rPr>
      </w:pPr>
    </w:p>
    <w:p>
      <w:pPr>
        <w:jc w:val="both"/>
        <w:ind w:firstLine="645"/>
        <w:spacing w:after="0" w:line="268" w:lineRule="auto"/>
        <w:tabs>
          <w:tab w:leader="none" w:pos="846"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Pro Rata Distributions</w:t>
      </w:r>
      <w:r>
        <w:rPr>
          <w:rFonts w:ascii="Arial" w:cs="Arial" w:eastAsia="Arial" w:hAnsi="Arial"/>
          <w:sz w:val="17"/>
          <w:szCs w:val="17"/>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7"/>
          <w:szCs w:val="17"/>
          <w:u w:val="single" w:color="auto"/>
          <w:color w:val="auto"/>
        </w:rPr>
        <w:t>Distribution</w:t>
      </w:r>
      <w:r>
        <w:rPr>
          <w:rFonts w:ascii="Arial" w:cs="Arial" w:eastAsia="Arial" w:hAnsi="Arial"/>
          <w:sz w:val="17"/>
          <w:szCs w:val="17"/>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8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5" w:right="239" w:bottom="1440" w:gutter="0" w:footer="0" w:header="0"/>
        </w:sectPr>
      </w:pPr>
    </w:p>
    <w:bookmarkStart w:id="15" w:name="page16"/>
    <w:bookmarkEnd w:id="15"/>
    <w:p>
      <w:pPr>
        <w:jc w:val="both"/>
        <w:ind w:left="-540" w:firstLine="645"/>
        <w:spacing w:after="0" w:line="283" w:lineRule="auto"/>
        <w:tabs>
          <w:tab w:leader="none" w:pos="303"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Fundamental Transaction</w:t>
      </w:r>
      <w:r>
        <w:rPr>
          <w:rFonts w:ascii="Arial" w:cs="Arial" w:eastAsia="Arial" w:hAnsi="Arial"/>
          <w:sz w:val="16"/>
          <w:szCs w:val="16"/>
          <w:color w:val="auto"/>
        </w:rPr>
        <w:t>. If, at any time while this Warrant is outstanding, (i) the Company, directly or indirectly, in one or more related transactions effects any merger or consolidation of the Company with or into another Person in which the Company is not the surviving entity or the stockholders of the Company immediately prior to such merger or consolidation do not own, directly or indirectly, at least 50% of the voting power of the surviving entity immediately after such merger or consolidation, (ii) the Company,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voting power of the outstanding shares of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more than 50% of the voting power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Arial" w:cs="Arial" w:eastAsia="Arial" w:hAnsi="Arial"/>
          <w:sz w:val="16"/>
          <w:szCs w:val="16"/>
          <w:u w:val="single" w:color="auto"/>
          <w:color w:val="auto"/>
        </w:rPr>
        <w:t>Alternate Consideration</w:t>
      </w:r>
      <w:r>
        <w:rPr>
          <w:rFonts w:ascii="Arial" w:cs="Arial" w:eastAsia="Arial" w:hAnsi="Arial"/>
          <w:sz w:val="16"/>
          <w:szCs w:val="16"/>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Arial" w:cs="Arial" w:eastAsia="Arial" w:hAnsi="Arial"/>
          <w:sz w:val="16"/>
          <w:szCs w:val="16"/>
          <w:u w:val="single" w:color="auto"/>
          <w:color w:val="auto"/>
        </w:rPr>
        <w:t>Successor Entity</w:t>
      </w:r>
      <w:r>
        <w:rPr>
          <w:rFonts w:ascii="Arial" w:cs="Arial" w:eastAsia="Arial" w:hAnsi="Arial"/>
          <w:sz w:val="16"/>
          <w:szCs w:val="16"/>
          <w:color w:val="auto"/>
        </w:rPr>
        <w:t>”) to assume in writing all of the obligations of the Company under this Warrant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w:t>
      </w:r>
    </w:p>
    <w:p>
      <w:pPr>
        <w:spacing w:after="0" w:line="18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16" w:name="page17"/>
    <w:bookmarkEnd w:id="16"/>
    <w:p>
      <w:pPr>
        <w:jc w:val="both"/>
        <w:ind w:left="-540" w:firstLine="645"/>
        <w:spacing w:after="0" w:line="264" w:lineRule="auto"/>
        <w:tabs>
          <w:tab w:leader="none" w:pos="293"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81" w:lineRule="exact"/>
        <w:rPr>
          <w:rFonts w:ascii="Arial" w:cs="Arial" w:eastAsia="Arial" w:hAnsi="Arial"/>
          <w:sz w:val="18"/>
          <w:szCs w:val="18"/>
          <w:color w:val="auto"/>
        </w:rPr>
      </w:pPr>
    </w:p>
    <w:p>
      <w:pPr>
        <w:ind w:left="260" w:hanging="155"/>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Notice to Holder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760" w:firstLine="641"/>
        <w:spacing w:after="0" w:line="259" w:lineRule="auto"/>
        <w:tabs>
          <w:tab w:leader="none" w:pos="1548"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Adjustment to Exercise Price</w:t>
      </w:r>
      <w:r>
        <w:rPr>
          <w:rFonts w:ascii="Arial" w:cs="Arial" w:eastAsia="Arial" w:hAnsi="Arial"/>
          <w:sz w:val="18"/>
          <w:szCs w:val="18"/>
          <w:color w:val="auto"/>
        </w:rPr>
        <w:t>. Whenever the Exercise Price is adjusted pursuant to any provision of this Section 3, the Company shall promptly deliver to the Holder pursuant to Section 5(h) a notice setting forth the Exercise Price after such adjustment and any resulting adjustment to the number of Warrant Shares and setting forth a brief statement of the facts requiring such adjustment.</w:t>
      </w:r>
    </w:p>
    <w:p>
      <w:pPr>
        <w:spacing w:after="0" w:line="1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17" w:name="page18"/>
    <w:bookmarkEnd w:id="17"/>
    <w:p>
      <w:pPr>
        <w:jc w:val="both"/>
        <w:ind w:left="1400" w:hanging="323"/>
        <w:spacing w:after="0" w:line="285" w:lineRule="auto"/>
        <w:tabs>
          <w:tab w:leader="none" w:pos="1400"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Notice to Allow Exercise by Holder</w:t>
      </w:r>
      <w:r>
        <w:rPr>
          <w:rFonts w:ascii="Arial" w:cs="Arial" w:eastAsia="Arial" w:hAnsi="Arial"/>
          <w:sz w:val="16"/>
          <w:szCs w:val="16"/>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pursuant to Section 5(h)to the Holder at its last facsimile number, email address or other contact information as shall appear upon the Warrant Register of the Company, at least 10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The Holder shall remain entitled to exercise this Warrant during the period commencing on the date of such notice to the effective date of the event triggering such notice except as may otherwise be expressly set forth herein.</w:t>
      </w:r>
    </w:p>
    <w:p>
      <w:pPr>
        <w:spacing w:after="0" w:line="38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Transfer of Warrant</w:t>
      </w:r>
      <w:r>
        <w:rPr>
          <w:rFonts w:ascii="Arial" w:cs="Arial" w:eastAsia="Arial" w:hAnsi="Arial"/>
          <w:sz w:val="18"/>
          <w:szCs w:val="18"/>
          <w:color w:val="auto"/>
        </w:rPr>
        <w:t>.</w:t>
      </w:r>
    </w:p>
    <w:p>
      <w:pPr>
        <w:spacing w:after="0" w:line="225" w:lineRule="exact"/>
        <w:rPr>
          <w:sz w:val="20"/>
          <w:szCs w:val="20"/>
          <w:color w:val="auto"/>
        </w:rPr>
      </w:pPr>
    </w:p>
    <w:p>
      <w:pPr>
        <w:jc w:val="both"/>
        <w:ind w:firstLine="645"/>
        <w:spacing w:after="0" w:line="288" w:lineRule="auto"/>
        <w:tabs>
          <w:tab w:leader="none" w:pos="833"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69" w:lineRule="exact"/>
        <w:rPr>
          <w:rFonts w:ascii="Arial" w:cs="Arial" w:eastAsia="Arial" w:hAnsi="Arial"/>
          <w:sz w:val="16"/>
          <w:szCs w:val="16"/>
          <w:color w:val="auto"/>
        </w:rPr>
      </w:pPr>
    </w:p>
    <w:p>
      <w:pPr>
        <w:jc w:val="both"/>
        <w:ind w:firstLine="645"/>
        <w:spacing w:after="0" w:line="255" w:lineRule="auto"/>
        <w:tabs>
          <w:tab w:leader="none" w:pos="857"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New Warrants</w:t>
      </w:r>
      <w:r>
        <w:rPr>
          <w:rFonts w:ascii="Arial" w:cs="Arial" w:eastAsia="Arial" w:hAnsi="Arial"/>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of this Warrant and shall be identical with this Warrant except as to the number of Warrant Shares issuable pursuant thereto.</w:t>
      </w:r>
    </w:p>
    <w:p>
      <w:pPr>
        <w:spacing w:after="0" w:line="193" w:lineRule="exact"/>
        <w:rPr>
          <w:rFonts w:ascii="Arial" w:cs="Arial" w:eastAsia="Arial" w:hAnsi="Arial"/>
          <w:sz w:val="18"/>
          <w:szCs w:val="18"/>
          <w:color w:val="auto"/>
        </w:rPr>
      </w:pPr>
    </w:p>
    <w:p>
      <w:pPr>
        <w:jc w:val="both"/>
        <w:ind w:firstLine="645"/>
        <w:spacing w:after="0" w:line="259" w:lineRule="auto"/>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Warrant Register</w:t>
      </w:r>
      <w:r>
        <w:rPr>
          <w:rFonts w:ascii="Arial" w:cs="Arial" w:eastAsia="Arial" w:hAnsi="Arial"/>
          <w:sz w:val="18"/>
          <w:szCs w:val="18"/>
          <w:color w:val="auto"/>
        </w:rPr>
        <w:t>. The Company shall register this Warrant, upon records to be maintained by the Company for that purpose (the “</w:t>
      </w:r>
      <w:r>
        <w:rPr>
          <w:rFonts w:ascii="Arial" w:cs="Arial" w:eastAsia="Arial" w:hAnsi="Arial"/>
          <w:sz w:val="18"/>
          <w:szCs w:val="18"/>
          <w:u w:val="single" w:color="auto"/>
          <w:color w:val="auto"/>
        </w:rPr>
        <w:t>Warrant Register</w:t>
      </w:r>
      <w:r>
        <w:rPr>
          <w:rFonts w:ascii="Arial" w:cs="Arial" w:eastAsia="Arial" w:hAnsi="Arial"/>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645"/>
        <w:spacing w:after="0" w:line="279" w:lineRule="auto"/>
        <w:tabs>
          <w:tab w:leader="none" w:pos="833"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No Rights as Stockholder Until Exercise; No Settlement in Cash</w:t>
      </w:r>
      <w:r>
        <w:rPr>
          <w:rFonts w:ascii="Arial" w:cs="Arial" w:eastAsia="Arial" w:hAnsi="Arial"/>
          <w:sz w:val="17"/>
          <w:szCs w:val="17"/>
          <w:color w:val="auto"/>
        </w:rPr>
        <w:t>. This Warrant does not entitle the Holder to any voting rights, dividends or other rights as a stockholder of the Company prior to the exercise hereof as set forth in Section 2(d)(i), except as expressly set forth in Section 3. Without limiting the rights of a Holder to receive Warrant Shares on a “cashless exercise,” and to receive the cash payments contemplated pursuant to Sections 2(d)(i) and 2(d)(iv), in no event will the Company be required to net cash settle a Warrant exercise.</w:t>
      </w:r>
    </w:p>
    <w:p>
      <w:pPr>
        <w:spacing w:after="0" w:line="171" w:lineRule="exact"/>
        <w:rPr>
          <w:rFonts w:ascii="Arial" w:cs="Arial" w:eastAsia="Arial" w:hAnsi="Arial"/>
          <w:sz w:val="17"/>
          <w:szCs w:val="17"/>
          <w:color w:val="auto"/>
        </w:rPr>
      </w:pPr>
    </w:p>
    <w:p>
      <w:pPr>
        <w:jc w:val="both"/>
        <w:ind w:firstLine="645"/>
        <w:spacing w:after="0" w:line="276" w:lineRule="auto"/>
        <w:tabs>
          <w:tab w:leader="none" w:pos="857"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Loss, Theft, Destruction or Mutilation of Warrant</w:t>
      </w:r>
      <w:r>
        <w:rPr>
          <w:rFonts w:ascii="Arial" w:cs="Arial" w:eastAsia="Arial" w:hAnsi="Arial"/>
          <w:sz w:val="17"/>
          <w:szCs w:val="17"/>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7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5" w:right="239" w:bottom="1440" w:gutter="0" w:footer="0" w:header="0"/>
        </w:sectPr>
      </w:pPr>
    </w:p>
    <w:bookmarkStart w:id="19" w:name="page20"/>
    <w:bookmarkEnd w:id="19"/>
    <w:p>
      <w:pPr>
        <w:ind w:left="-540" w:right="20" w:firstLine="645"/>
        <w:spacing w:after="0" w:line="342" w:lineRule="auto"/>
        <w:tabs>
          <w:tab w:leader="none" w:pos="306"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Saturdays, Sundays, Holidays, etc</w:t>
      </w:r>
      <w:r>
        <w:rPr>
          <w:rFonts w:ascii="Arial" w:cs="Arial" w:eastAsia="Arial" w:hAnsi="Arial"/>
          <w:sz w:val="16"/>
          <w:szCs w:val="16"/>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23" w:lineRule="exact"/>
        <w:rPr>
          <w:rFonts w:ascii="Arial" w:cs="Arial" w:eastAsia="Arial" w:hAnsi="Arial"/>
          <w:sz w:val="16"/>
          <w:szCs w:val="16"/>
          <w:color w:val="auto"/>
        </w:rPr>
      </w:pPr>
    </w:p>
    <w:p>
      <w:pPr>
        <w:ind w:left="300" w:hanging="195"/>
        <w:spacing w:after="0"/>
        <w:tabs>
          <w:tab w:leader="none" w:pos="30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Authorized Shares</w:t>
      </w:r>
      <w:r>
        <w:rPr>
          <w:rFonts w:ascii="Arial" w:cs="Arial" w:eastAsia="Arial" w:hAnsi="Arial"/>
          <w:sz w:val="18"/>
          <w:szCs w:val="18"/>
          <w:color w:val="auto"/>
        </w:rPr>
        <w:t>.</w:t>
      </w:r>
    </w:p>
    <w:p>
      <w:pPr>
        <w:spacing w:after="0" w:line="225" w:lineRule="exact"/>
        <w:rPr>
          <w:sz w:val="20"/>
          <w:szCs w:val="20"/>
          <w:color w:val="auto"/>
        </w:rPr>
      </w:pPr>
    </w:p>
    <w:p>
      <w:pPr>
        <w:jc w:val="both"/>
        <w:ind w:left="100" w:firstLine="1296"/>
        <w:spacing w:after="0" w:line="288" w:lineRule="auto"/>
        <w:rPr>
          <w:sz w:val="20"/>
          <w:szCs w:val="20"/>
          <w:color w:val="auto"/>
        </w:rPr>
      </w:pPr>
      <w:r>
        <w:rPr>
          <w:rFonts w:ascii="Arial" w:cs="Arial" w:eastAsia="Arial" w:hAnsi="Arial"/>
          <w:sz w:val="16"/>
          <w:szCs w:val="16"/>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69" w:lineRule="exact"/>
        <w:rPr>
          <w:sz w:val="20"/>
          <w:szCs w:val="20"/>
          <w:color w:val="auto"/>
        </w:rPr>
      </w:pPr>
    </w:p>
    <w:p>
      <w:pPr>
        <w:jc w:val="both"/>
        <w:ind w:left="100" w:firstLine="648"/>
        <w:spacing w:after="0" w:line="270" w:lineRule="auto"/>
        <w:rPr>
          <w:sz w:val="20"/>
          <w:szCs w:val="20"/>
          <w:color w:val="auto"/>
        </w:rPr>
      </w:pPr>
      <w:r>
        <w:rPr>
          <w:rFonts w:ascii="Arial" w:cs="Arial" w:eastAsia="Arial" w:hAnsi="Arial"/>
          <w:sz w:val="17"/>
          <w:szCs w:val="17"/>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78" w:lineRule="exact"/>
        <w:rPr>
          <w:sz w:val="20"/>
          <w:szCs w:val="20"/>
          <w:color w:val="auto"/>
        </w:rPr>
      </w:pPr>
    </w:p>
    <w:p>
      <w:pPr>
        <w:jc w:val="both"/>
        <w:ind w:left="100" w:firstLine="648"/>
        <w:spacing w:after="0" w:line="264" w:lineRule="auto"/>
        <w:rPr>
          <w:sz w:val="20"/>
          <w:szCs w:val="20"/>
          <w:color w:val="auto"/>
        </w:rPr>
      </w:pPr>
      <w:r>
        <w:rPr>
          <w:rFonts w:ascii="Arial" w:cs="Arial" w:eastAsia="Arial" w:hAnsi="Arial"/>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8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20" w:name="page21"/>
    <w:bookmarkEnd w:id="20"/>
    <w:p>
      <w:pPr>
        <w:jc w:val="both"/>
        <w:ind w:left="-540" w:firstLine="645"/>
        <w:spacing w:after="0" w:line="268" w:lineRule="auto"/>
        <w:tabs>
          <w:tab w:leader="none" w:pos="293"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Jurisdiction</w:t>
      </w:r>
      <w:r>
        <w:rPr>
          <w:rFonts w:ascii="Arial" w:cs="Arial" w:eastAsia="Arial" w:hAnsi="Arial"/>
          <w:sz w:val="17"/>
          <w:szCs w:val="17"/>
          <w:color w:val="auto"/>
        </w:rPr>
        <w:t>. All questions concerning the construction, validity, enforcement and interpretation of this Warrant shall be governed by and construed and enforced in accordance with the internal laws of the State of New York, without regard to the principles of conflict of laws thereof. Each party agrees that all legal proceedings concerning the interpretation, enforcement and defense of this Warrant shall be commenced in the state and federal courts sitting in the City of New York, Borough of Manhattan (the “</w:t>
      </w:r>
      <w:r>
        <w:rPr>
          <w:rFonts w:ascii="Arial" w:cs="Arial" w:eastAsia="Arial" w:hAnsi="Arial"/>
          <w:sz w:val="17"/>
          <w:szCs w:val="17"/>
          <w:u w:val="single" w:color="auto"/>
          <w:color w:val="auto"/>
        </w:rPr>
        <w:t>New York Courts</w:t>
      </w:r>
      <w:r>
        <w:rPr>
          <w:rFonts w:ascii="Arial" w:cs="Arial" w:eastAsia="Arial" w:hAnsi="Arial"/>
          <w:sz w:val="17"/>
          <w:szCs w:val="17"/>
          <w:color w:val="auto"/>
        </w:rPr>
        <w:t>”). Each party hereto hereby irrevocably submits to the exclusive jurisdiction of the New York Courts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such New York Courts, or such New York Courts are improper or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spacing w:after="0" w:line="187" w:lineRule="exact"/>
        <w:rPr>
          <w:rFonts w:ascii="Arial" w:cs="Arial" w:eastAsia="Arial" w:hAnsi="Arial"/>
          <w:sz w:val="17"/>
          <w:szCs w:val="17"/>
          <w:color w:val="auto"/>
        </w:rPr>
      </w:pPr>
    </w:p>
    <w:p>
      <w:pPr>
        <w:ind w:left="-540" w:firstLine="645"/>
        <w:spacing w:after="0" w:line="277" w:lineRule="auto"/>
        <w:tabs>
          <w:tab w:leader="none" w:pos="287"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70" w:lineRule="exact"/>
        <w:rPr>
          <w:rFonts w:ascii="Arial" w:cs="Arial" w:eastAsia="Arial" w:hAnsi="Arial"/>
          <w:sz w:val="18"/>
          <w:szCs w:val="18"/>
          <w:color w:val="auto"/>
        </w:rPr>
      </w:pPr>
    </w:p>
    <w:p>
      <w:pPr>
        <w:jc w:val="both"/>
        <w:ind w:left="-540" w:firstLine="645"/>
        <w:spacing w:after="0" w:line="273" w:lineRule="auto"/>
        <w:tabs>
          <w:tab w:leader="none" w:pos="303"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Nonwaiver and Expenses</w:t>
      </w:r>
      <w:r>
        <w:rPr>
          <w:rFonts w:ascii="Arial" w:cs="Arial" w:eastAsia="Arial" w:hAnsi="Arial"/>
          <w:sz w:val="17"/>
          <w:szCs w:val="17"/>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7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21" w:name="page22"/>
    <w:bookmarkEnd w:id="21"/>
    <w:p>
      <w:pPr>
        <w:jc w:val="both"/>
        <w:ind w:firstLine="645"/>
        <w:spacing w:after="0" w:line="268" w:lineRule="auto"/>
        <w:tabs>
          <w:tab w:leader="none" w:pos="884"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and all notices or other communications or deliveries to be provided by the Holders hereunder including, without limitation, any Notice of Exercise, shall be in writing and delivered personally, by facsimile or e-mail, or sent by a nationally recognized overnight courier service, addressed to the Company, at the address set forth above Attention: Chief Executive Officer, facsimile number 781-556-5347, email address info@microbotmedical.com, or such other facsimile number, email address or address as the Company may specify for such purposes by notice to the Holders. Any and all notices or other communications or deliveries to be provided by the Company hereunder shall be in writing and delivered personally, by facsimile or email, or sent by a nationally recognized overnight courier service addressed to each Holder at the facsimile number, email address or address of such Holder appearing on the books of the Company. Any notice or other communication or deliveries hereunder shall be deemed given and effective on the earliest of (i) the time of transmission, if such notice or communication is delivered via facsimile or email at the facsimile number or email address set forth in this Section prior to 5:30 p.m. (New York City time) on any date, (ii) the next Trading Day after the time of transmission, if such notice or communication is delivered via facsimile or email at the facsimile number or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spacing w:after="0" w:line="187" w:lineRule="exact"/>
        <w:rPr>
          <w:rFonts w:ascii="Arial" w:cs="Arial" w:eastAsia="Arial" w:hAnsi="Arial"/>
          <w:sz w:val="17"/>
          <w:szCs w:val="17"/>
          <w:color w:val="auto"/>
        </w:rPr>
      </w:pPr>
    </w:p>
    <w:p>
      <w:pPr>
        <w:jc w:val="both"/>
        <w:ind w:firstLine="645"/>
        <w:spacing w:after="0" w:line="312" w:lineRule="auto"/>
        <w:tabs>
          <w:tab w:leader="none" w:pos="803"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Limitation of Liability</w:t>
      </w:r>
      <w:r>
        <w:rPr>
          <w:rFonts w:ascii="Arial" w:cs="Arial" w:eastAsia="Arial" w:hAnsi="Arial"/>
          <w:sz w:val="16"/>
          <w:szCs w:val="16"/>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46" w:lineRule="exact"/>
        <w:rPr>
          <w:rFonts w:ascii="Arial" w:cs="Arial" w:eastAsia="Arial" w:hAnsi="Arial"/>
          <w:sz w:val="16"/>
          <w:szCs w:val="16"/>
          <w:color w:val="auto"/>
        </w:rPr>
      </w:pPr>
    </w:p>
    <w:p>
      <w:pPr>
        <w:jc w:val="both"/>
        <w:ind w:firstLine="645"/>
        <w:spacing w:after="0" w:line="259" w:lineRule="auto"/>
        <w:tabs>
          <w:tab w:leader="none" w:pos="803"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86" w:lineRule="exact"/>
        <w:rPr>
          <w:rFonts w:ascii="Arial" w:cs="Arial" w:eastAsia="Arial" w:hAnsi="Arial"/>
          <w:sz w:val="18"/>
          <w:szCs w:val="18"/>
          <w:color w:val="auto"/>
        </w:rPr>
      </w:pPr>
    </w:p>
    <w:p>
      <w:pPr>
        <w:jc w:val="both"/>
        <w:ind w:firstLine="645"/>
        <w:spacing w:after="0" w:line="259" w:lineRule="auto"/>
        <w:tabs>
          <w:tab w:leader="none" w:pos="843"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86" w:lineRule="exact"/>
        <w:rPr>
          <w:rFonts w:ascii="Arial" w:cs="Arial" w:eastAsia="Arial" w:hAnsi="Arial"/>
          <w:sz w:val="18"/>
          <w:szCs w:val="18"/>
          <w:color w:val="auto"/>
        </w:rPr>
      </w:pPr>
    </w:p>
    <w:p>
      <w:pPr>
        <w:ind w:left="800" w:hanging="155"/>
        <w:spacing w:after="0"/>
        <w:tabs>
          <w:tab w:leader="none" w:pos="800"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This Warrant may be modified or amended or the provisions hereof waived with the written consent of the Company and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Holder.</w:t>
      </w:r>
    </w:p>
    <w:p>
      <w:pPr>
        <w:spacing w:after="0" w:line="210" w:lineRule="exact"/>
        <w:rPr>
          <w:rFonts w:ascii="Arial" w:cs="Arial" w:eastAsia="Arial" w:hAnsi="Arial"/>
          <w:sz w:val="16"/>
          <w:szCs w:val="16"/>
          <w:color w:val="auto"/>
        </w:rPr>
      </w:pPr>
    </w:p>
    <w:p>
      <w:pPr>
        <w:jc w:val="both"/>
        <w:ind w:firstLine="645"/>
        <w:spacing w:after="0" w:line="312" w:lineRule="auto"/>
        <w:tabs>
          <w:tab w:leader="none" w:pos="907"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46" w:lineRule="exact"/>
        <w:rPr>
          <w:rFonts w:ascii="Arial" w:cs="Arial" w:eastAsia="Arial" w:hAnsi="Arial"/>
          <w:sz w:val="16"/>
          <w:szCs w:val="16"/>
          <w:color w:val="auto"/>
        </w:rPr>
      </w:pPr>
    </w:p>
    <w:p>
      <w:pPr>
        <w:jc w:val="both"/>
        <w:ind w:firstLine="645"/>
        <w:spacing w:after="0" w:line="286" w:lineRule="auto"/>
        <w:tabs>
          <w:tab w:leader="none" w:pos="843"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The headings used in this Warrant are for the convenience of reference only and shall not, for any purpose, be deemed a part of this Warrant. A signed copy of this Warrant delivered by facsimile, e-mail or other means of electronic transmission (to which a .pdf copy is attached) shall be deemed to have the same legal effect as delivery of an original signed copy of this Agreement.</w:t>
      </w:r>
    </w:p>
    <w:p>
      <w:pPr>
        <w:spacing w:after="0" w:line="166"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640"/>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5"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color w:val="auto"/>
        </w:rPr>
        <w:t>IN WITNESS WHEREOF, the Company has caused this Warrant to be executed by its officer thereunto duly authorized as of the date first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above indicated.</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MICROBOT MEDICAL INC.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NOTICE OF EXERCISE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MICROBOT MEDICAL INC.</w:t>
      </w:r>
    </w:p>
    <w:p>
      <w:pPr>
        <w:spacing w:after="0" w:line="225" w:lineRule="exact"/>
        <w:rPr>
          <w:sz w:val="20"/>
          <w:szCs w:val="20"/>
          <w:color w:val="auto"/>
        </w:rPr>
      </w:pPr>
    </w:p>
    <w:p>
      <w:pPr>
        <w:ind w:firstLine="1305"/>
        <w:spacing w:after="0" w:line="308" w:lineRule="auto"/>
        <w:tabs>
          <w:tab w:leader="none" w:pos="1568"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46" w:lineRule="exact"/>
        <w:rPr>
          <w:rFonts w:ascii="Arial" w:cs="Arial" w:eastAsia="Arial" w:hAnsi="Arial"/>
          <w:sz w:val="17"/>
          <w:szCs w:val="17"/>
          <w:color w:val="auto"/>
        </w:rPr>
      </w:pPr>
    </w:p>
    <w:p>
      <w:pPr>
        <w:ind w:left="1560" w:hanging="255"/>
        <w:spacing w:after="0"/>
        <w:tabs>
          <w:tab w:leader="none" w:pos="1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Payment shall take the form of (check applicable box):</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 in lawful money of the United States; or</w:t>
      </w:r>
    </w:p>
    <w:p>
      <w:pPr>
        <w:spacing w:after="0" w:line="225" w:lineRule="exact"/>
        <w:rPr>
          <w:sz w:val="20"/>
          <w:szCs w:val="20"/>
          <w:color w:val="auto"/>
        </w:rPr>
      </w:pPr>
    </w:p>
    <w:p>
      <w:pPr>
        <w:jc w:val="both"/>
        <w:ind w:left="1960"/>
        <w:spacing w:after="0" w:line="264" w:lineRule="auto"/>
        <w:rPr>
          <w:sz w:val="20"/>
          <w:szCs w:val="20"/>
          <w:color w:val="auto"/>
        </w:rPr>
      </w:pPr>
      <w:r>
        <w:rPr>
          <w:rFonts w:ascii="Arial" w:cs="Arial" w:eastAsia="Arial" w:hAnsi="Arial"/>
          <w:sz w:val="18"/>
          <w:szCs w:val="18"/>
          <w:color w:val="auto"/>
        </w:rPr>
        <w:t>[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81" w:lineRule="exact"/>
        <w:rPr>
          <w:sz w:val="20"/>
          <w:szCs w:val="20"/>
          <w:color w:val="auto"/>
        </w:rPr>
      </w:pPr>
    </w:p>
    <w:p>
      <w:pPr>
        <w:ind w:left="1560" w:hanging="255"/>
        <w:spacing w:after="0"/>
        <w:tabs>
          <w:tab w:leader="none" w:pos="1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Please issue said Warrant Shares in the name of the undersigned or in such other name as is specified below:</w:t>
      </w:r>
    </w:p>
    <w:p>
      <w:pPr>
        <w:spacing w:after="0" w:line="225"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Warrant Shares shall be delivered to the following DWAC Account Number: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Investing Entity: 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Investing Entity</w:t>
      </w:r>
      <w:r>
        <w:rPr>
          <w:rFonts w:ascii="Arial" w:cs="Arial" w:eastAsia="Arial" w:hAnsi="Arial"/>
          <w:sz w:val="18"/>
          <w:szCs w:val="18"/>
          <w:color w:val="auto"/>
        </w:rPr>
        <w:t>: 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ind w:left="200" w:right="2080"/>
        <w:spacing w:after="0" w:line="530" w:lineRule="auto"/>
        <w:rPr>
          <w:sz w:val="20"/>
          <w:szCs w:val="20"/>
          <w:color w:val="auto"/>
        </w:rPr>
      </w:pPr>
      <w:r>
        <w:rPr>
          <w:rFonts w:ascii="Arial" w:cs="Arial" w:eastAsia="Arial" w:hAnsi="Arial"/>
          <w:sz w:val="17"/>
          <w:szCs w:val="17"/>
          <w:i w:val="1"/>
          <w:iCs w:val="1"/>
          <w:color w:val="auto"/>
        </w:rPr>
        <w:t xml:space="preserve">(To assign the foregoing Warrant, execute this form and supply required information. Do not use this form to purchase shares.) </w:t>
      </w:r>
      <w:r>
        <w:rPr>
          <w:rFonts w:ascii="Arial" w:cs="Arial" w:eastAsia="Arial" w:hAnsi="Arial"/>
          <w:sz w:val="17"/>
          <w:szCs w:val="17"/>
          <w:color w:val="auto"/>
        </w:rPr>
        <w:t>FOR VALUE RECEIVED, the foregoing Warrant and all rights evidenced thereby are hereby assigned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23495</wp:posOffset>
            </wp:positionV>
            <wp:extent cx="355028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50285" cy="17145"/>
                    </a:xfrm>
                    <a:prstGeom prst="rect">
                      <a:avLst/>
                    </a:prstGeom>
                    <a:noFill/>
                  </pic:spPr>
                </pic:pic>
              </a:graphicData>
            </a:graphic>
          </wp:anchor>
        </w:drawing>
      </w:r>
    </w:p>
    <w:p>
      <w:pPr>
        <w:spacing w:after="0" w:line="3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(Please Print)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23495</wp:posOffset>
            </wp:positionV>
            <wp:extent cx="355028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50285" cy="17145"/>
                    </a:xfrm>
                    <a:prstGeom prst="rect">
                      <a:avLst/>
                    </a:prstGeom>
                    <a:noFill/>
                  </pic:spPr>
                </pic:pic>
              </a:graphicData>
            </a:graphic>
          </wp:anchor>
        </w:drawing>
      </w:r>
    </w:p>
    <w:p>
      <w:pPr>
        <w:spacing w:after="0" w:line="3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(Please Print)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23495</wp:posOffset>
            </wp:positionV>
            <wp:extent cx="355028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5028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23495</wp:posOffset>
            </wp:positionV>
            <wp:extent cx="355028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5028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 __, 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Holder’s Signature:_________________________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Holder’s Address:__________________________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5" w:name="page26"/>
    <w:bookmarkEnd w:id="2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6" w:name="page27"/>
    <w:bookmarkEnd w:id="26"/>
    <w:p>
      <w:pPr>
        <w:ind w:left="10580"/>
        <w:spacing w:after="0"/>
        <w:rPr>
          <w:sz w:val="20"/>
          <w:szCs w:val="20"/>
          <w:color w:val="auto"/>
        </w:rPr>
      </w:pPr>
      <w:r>
        <w:rPr>
          <w:rFonts w:ascii="Arial" w:cs="Arial" w:eastAsia="Arial" w:hAnsi="Arial"/>
          <w:sz w:val="16"/>
          <w:szCs w:val="16"/>
          <w:b w:val="1"/>
          <w:bCs w:val="1"/>
          <w:color w:val="auto"/>
        </w:rPr>
        <w:t>Exhibit 4.2</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PLACEMENT AGENT COMMON STOCK PURCHASE WARRANT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MICROBOT MEDICAL INC.</w:t>
      </w:r>
    </w:p>
    <w:p>
      <w:pPr>
        <w:sectPr>
          <w:pgSz w:w="11900" w:h="16838" w:orient="portrait"/>
          <w:cols w:equalWidth="0" w:num="1">
            <w:col w:w="11420"/>
          </w:cols>
          <w:pgMar w:left="240" w:top="337"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Warrant Shares: _______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Issue Date: ______, 2019</w:t>
      </w:r>
    </w:p>
    <w:p>
      <w:pPr>
        <w:spacing w:after="0" w:line="200" w:lineRule="exact"/>
        <w:rPr>
          <w:sz w:val="20"/>
          <w:szCs w:val="20"/>
          <w:color w:val="auto"/>
        </w:rPr>
      </w:pPr>
    </w:p>
    <w:p>
      <w:pPr>
        <w:sectPr>
          <w:pgSz w:w="11900" w:h="16838" w:orient="portrait"/>
          <w:cols w:equalWidth="0" w:num="2">
            <w:col w:w="7280" w:space="720"/>
            <w:col w:w="3420"/>
          </w:cols>
          <w:pgMar w:left="240" w:top="337" w:right="239" w:bottom="1440" w:gutter="0" w:footer="0" w:header="0"/>
          <w:type w:val="continuous"/>
        </w:sectPr>
      </w:pPr>
    </w:p>
    <w:p>
      <w:pPr>
        <w:spacing w:after="0" w:line="48" w:lineRule="exact"/>
        <w:rPr>
          <w:sz w:val="20"/>
          <w:szCs w:val="20"/>
          <w:color w:val="auto"/>
        </w:rPr>
      </w:pPr>
    </w:p>
    <w:p>
      <w:pPr>
        <w:ind w:left="8000"/>
        <w:spacing w:after="0"/>
        <w:rPr>
          <w:sz w:val="20"/>
          <w:szCs w:val="20"/>
          <w:color w:val="auto"/>
        </w:rPr>
      </w:pPr>
      <w:r>
        <w:rPr>
          <w:rFonts w:ascii="Arial" w:cs="Arial" w:eastAsia="Arial" w:hAnsi="Arial"/>
          <w:sz w:val="16"/>
          <w:szCs w:val="16"/>
          <w:color w:val="auto"/>
        </w:rPr>
        <w:t>Initial Exercise Date: _______, 2019</w:t>
      </w:r>
    </w:p>
    <w:p>
      <w:pPr>
        <w:sectPr>
          <w:pgSz w:w="11900" w:h="16838" w:orient="portrait"/>
          <w:cols w:equalWidth="0" w:num="1">
            <w:col w:w="11420"/>
          </w:cols>
          <w:pgMar w:left="240" w:top="337" w:right="239" w:bottom="1440" w:gutter="0" w:footer="0" w:header="0"/>
          <w:type w:val="continuous"/>
        </w:sectPr>
      </w:pP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PLACEMENT  AGENT  COMMON  STOCK  PURCHASE  WARRANT  (the  “</w:t>
      </w:r>
      <w:r>
        <w:rPr>
          <w:rFonts w:ascii="Arial" w:cs="Arial" w:eastAsia="Arial" w:hAnsi="Arial"/>
          <w:sz w:val="18"/>
          <w:szCs w:val="18"/>
          <w:u w:val="single" w:color="auto"/>
          <w:color w:val="auto"/>
        </w:rPr>
        <w:t>Warrant</w:t>
      </w:r>
      <w:r>
        <w:rPr>
          <w:rFonts w:ascii="Arial" w:cs="Arial" w:eastAsia="Arial" w:hAnsi="Arial"/>
          <w:sz w:val="18"/>
          <w:szCs w:val="18"/>
          <w:color w:val="auto"/>
        </w:rPr>
        <w:t>”) certifies that, for value received,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_____________ or its assigns (the “</w:t>
      </w:r>
      <w:r>
        <w:rPr>
          <w:rFonts w:ascii="Arial" w:cs="Arial" w:eastAsia="Arial" w:hAnsi="Arial"/>
          <w:sz w:val="16"/>
          <w:szCs w:val="16"/>
          <w:u w:val="single" w:color="auto"/>
          <w:color w:val="auto"/>
        </w:rPr>
        <w:t>Holder</w:t>
      </w:r>
      <w:r>
        <w:rPr>
          <w:rFonts w:ascii="Arial" w:cs="Arial" w:eastAsia="Arial" w:hAnsi="Arial"/>
          <w:sz w:val="16"/>
          <w:szCs w:val="16"/>
          <w:color w:val="auto"/>
        </w:rPr>
        <w:t>”) is entitled, upon the terms and subject to the limitations on exercise and the conditions hereinafter set forth, 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any time on or after the six-month anniversary of the date hereof (the “</w:t>
      </w:r>
      <w:r>
        <w:rPr>
          <w:rFonts w:ascii="Arial" w:cs="Arial" w:eastAsia="Arial" w:hAnsi="Arial"/>
          <w:sz w:val="17"/>
          <w:szCs w:val="17"/>
          <w:u w:val="single" w:color="auto"/>
          <w:color w:val="auto"/>
        </w:rPr>
        <w:t>Initial Exercise Date</w:t>
      </w:r>
      <w:r>
        <w:rPr>
          <w:rFonts w:ascii="Arial" w:cs="Arial" w:eastAsia="Arial" w:hAnsi="Arial"/>
          <w:sz w:val="17"/>
          <w:szCs w:val="17"/>
          <w:color w:val="auto"/>
        </w:rPr>
        <w:t>”) and until on or prior to 5:00 p.m. (New York City time) on</w:t>
      </w:r>
    </w:p>
    <w:p>
      <w:pPr>
        <w:spacing w:after="0" w:line="207" w:lineRule="auto"/>
        <w:rPr>
          <w:sz w:val="20"/>
          <w:szCs w:val="20"/>
          <w:color w:val="auto"/>
        </w:rPr>
      </w:pPr>
      <w:r>
        <w:rPr>
          <w:rFonts w:ascii="Arial" w:cs="Arial" w:eastAsia="Arial" w:hAnsi="Arial"/>
          <w:sz w:val="17"/>
          <w:szCs w:val="17"/>
          <w:color w:val="auto"/>
        </w:rPr>
        <w:t>______________</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Termination Date</w:t>
      </w:r>
      <w:r>
        <w:rPr>
          <w:rFonts w:ascii="Arial" w:cs="Arial" w:eastAsia="Arial" w:hAnsi="Arial"/>
          <w:sz w:val="17"/>
          <w:szCs w:val="17"/>
          <w:color w:val="auto"/>
        </w:rPr>
        <w:t>”) but not thereafter, to subscribe for and purchase from Microbot Medical Inc., a Delaware corporation (the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up to ______ shares (as subject to adjustment hereunder, the “</w:t>
      </w:r>
      <w:r>
        <w:rPr>
          <w:rFonts w:ascii="Arial" w:cs="Arial" w:eastAsia="Arial" w:hAnsi="Arial"/>
          <w:sz w:val="16"/>
          <w:szCs w:val="16"/>
          <w:u w:val="single" w:color="auto"/>
          <w:color w:val="auto"/>
        </w:rPr>
        <w:t>Warrant Shares</w:t>
      </w:r>
      <w:r>
        <w:rPr>
          <w:rFonts w:ascii="Arial" w:cs="Arial" w:eastAsia="Arial" w:hAnsi="Arial"/>
          <w:sz w:val="16"/>
          <w:szCs w:val="16"/>
          <w:color w:val="auto"/>
        </w:rPr>
        <w:t>”) of Common Stock. The purchase price of one share of Common</w:t>
      </w:r>
    </w:p>
    <w:p>
      <w:pPr>
        <w:spacing w:after="0" w:line="3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Stock under this Warrant shall be equal to the Exercise Price, as defined in Section 2(b). This Warrant is being issued pursuant to that certain engagement letter, dated as of October 12, 2018, by and between the Company and H.C. Wainwright &amp; Co., LLC.</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w:t>
      </w:r>
      <w:r>
        <w:rPr>
          <w:rFonts w:ascii="Arial" w:cs="Arial" w:eastAsia="Arial" w:hAnsi="Arial"/>
          <w:sz w:val="16"/>
          <w:szCs w:val="16"/>
          <w:u w:val="single" w:color="auto"/>
          <w:color w:val="auto"/>
        </w:rPr>
        <w:t>Definitions</w:t>
      </w:r>
      <w:r>
        <w:rPr>
          <w:rFonts w:ascii="Arial" w:cs="Arial" w:eastAsia="Arial" w:hAnsi="Arial"/>
          <w:sz w:val="16"/>
          <w:szCs w:val="16"/>
          <w:color w:val="auto"/>
        </w:rPr>
        <w:t>. In addition to the terms defined elsewhere in this Warrant, the following terms have the meanings indicated in this Section 1:</w:t>
      </w:r>
    </w:p>
    <w:p>
      <w:pPr>
        <w:spacing w:after="0" w:line="248"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8097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9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 The date that is the three (3) year anniversary of the Initial Exercise Date, provided that, if such date is not a Trading Day, insert the immediately following Trading Day.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27" w:name="page28"/>
    <w:bookmarkEnd w:id="27"/>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Bid Price</w:t>
      </w:r>
      <w:r>
        <w:rPr>
          <w:rFonts w:ascii="Arial" w:cs="Arial" w:eastAsia="Arial" w:hAnsi="Arial"/>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Sheets” published by OTC Markets Group,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9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 par value $0.01 per share, and any other class of securities into which such securities may hereafter be reclassified or changed.</w:t>
      </w:r>
    </w:p>
    <w:p>
      <w:pPr>
        <w:spacing w:after="0" w:line="170"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 Equivalents</w:t>
      </w:r>
      <w:r>
        <w:rPr>
          <w:rFonts w:ascii="Arial" w:cs="Arial" w:eastAsia="Arial" w:hAnsi="Arial"/>
          <w:sz w:val="17"/>
          <w:szCs w:val="17"/>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Agreement</w:t>
      </w:r>
      <w:r>
        <w:rPr>
          <w:rFonts w:ascii="Arial" w:cs="Arial" w:eastAsia="Arial" w:hAnsi="Arial"/>
          <w:sz w:val="18"/>
          <w:szCs w:val="18"/>
          <w:color w:val="auto"/>
        </w:rPr>
        <w:t>” means that certain Securities Purchase Agreement (the “</w:t>
      </w:r>
      <w:r>
        <w:rPr>
          <w:rFonts w:ascii="Arial" w:cs="Arial" w:eastAsia="Arial" w:hAnsi="Arial"/>
          <w:sz w:val="18"/>
          <w:szCs w:val="18"/>
          <w:u w:val="single" w:color="auto"/>
          <w:color w:val="auto"/>
        </w:rPr>
        <w:t>Purchase Agreement</w:t>
      </w:r>
      <w:r>
        <w:rPr>
          <w:rFonts w:ascii="Arial" w:cs="Arial" w:eastAsia="Arial" w:hAnsi="Arial"/>
          <w:sz w:val="18"/>
          <w:szCs w:val="18"/>
          <w:color w:val="auto"/>
        </w:rPr>
        <w:t>”), dated January 14, 2019, among the Company and the purchasers signatory thereto.</w:t>
      </w:r>
    </w:p>
    <w:p>
      <w:pPr>
        <w:spacing w:after="0" w:line="170"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92" w:right="239" w:bottom="1440" w:gutter="0" w:footer="0" w:header="0"/>
        </w:sectPr>
      </w:pPr>
    </w:p>
    <w:bookmarkStart w:id="28" w:name="page29"/>
    <w:bookmarkEnd w:id="28"/>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Common Stock is traded on a Trading Market.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Agent</w:t>
      </w:r>
      <w:r>
        <w:rPr>
          <w:rFonts w:ascii="Arial" w:cs="Arial" w:eastAsia="Arial" w:hAnsi="Arial"/>
          <w:sz w:val="18"/>
          <w:szCs w:val="18"/>
          <w:color w:val="auto"/>
        </w:rPr>
        <w:t>” means Computershare Trust Company, with offices located at Meidinger Tower, 462 South 4th Street, Louisville, KY 40202, and any successor transfer agent of the Company.</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VWAP</w:t>
      </w:r>
      <w:r>
        <w:rPr>
          <w:rFonts w:ascii="Arial" w:cs="Arial" w:eastAsia="Arial" w:hAnsi="Arial"/>
          <w:sz w:val="17"/>
          <w:szCs w:val="17"/>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Sheets” published by OTC Markets Group,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225" w:lineRule="exact"/>
        <w:rPr>
          <w:sz w:val="20"/>
          <w:szCs w:val="20"/>
          <w:color w:val="auto"/>
        </w:rPr>
      </w:pPr>
    </w:p>
    <w:p>
      <w:pPr>
        <w:jc w:val="both"/>
        <w:ind w:firstLine="645"/>
        <w:spacing w:after="0" w:line="285" w:lineRule="auto"/>
        <w:tabs>
          <w:tab w:leader="none" w:pos="833"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Exercise of Warrant</w:t>
      </w:r>
      <w:r>
        <w:rPr>
          <w:rFonts w:ascii="Arial" w:cs="Arial" w:eastAsia="Arial" w:hAnsi="Arial"/>
          <w:sz w:val="16"/>
          <w:szCs w:val="16"/>
          <w:color w:val="auto"/>
        </w:rPr>
        <w:t>. Exercise of the purchase rights represented by this Warrant may be made, in whole or in part, at any time or times on or after the Initial Exercise Date and on or before the Termination Date by delivery to the Company of a duly executed facsimile copy (or .pdf copy via e-mail attachment) of the Notice of Exercise in the form annexed hereto (the “</w:t>
      </w:r>
      <w:r>
        <w:rPr>
          <w:rFonts w:ascii="Arial" w:cs="Arial" w:eastAsia="Arial" w:hAnsi="Arial"/>
          <w:sz w:val="16"/>
          <w:szCs w:val="16"/>
          <w:u w:val="single" w:color="auto"/>
          <w:color w:val="auto"/>
        </w:rPr>
        <w:t>Notice of Exercise</w:t>
      </w:r>
      <w:r>
        <w:rPr>
          <w:rFonts w:ascii="Arial" w:cs="Arial" w:eastAsia="Arial" w:hAnsi="Arial"/>
          <w:sz w:val="16"/>
          <w:szCs w:val="16"/>
          <w:color w:val="auto"/>
        </w:rPr>
        <w:t xml:space="preserve">”). Within the earlier of (i) two (2) Trading Days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Arial" w:cs="Arial" w:eastAsia="Arial" w:hAnsi="Arial"/>
          <w:sz w:val="16"/>
          <w:szCs w:val="16"/>
          <w:b w:val="1"/>
          <w:bCs w:val="1"/>
          <w:color w:val="auto"/>
        </w:rPr>
        <w:t>The Holder and any assignee, by acceptance of this Warrant, acknowledge and agree that, by reason of the</w:t>
      </w:r>
      <w:r>
        <w:rPr>
          <w:rFonts w:ascii="Arial" w:cs="Arial" w:eastAsia="Arial" w:hAnsi="Arial"/>
          <w:sz w:val="16"/>
          <w:szCs w:val="16"/>
          <w:color w:val="auto"/>
        </w:rPr>
        <w:t xml:space="preserve"> </w:t>
      </w:r>
      <w:r>
        <w:rPr>
          <w:rFonts w:ascii="Arial" w:cs="Arial" w:eastAsia="Arial" w:hAnsi="Arial"/>
          <w:sz w:val="16"/>
          <w:szCs w:val="16"/>
          <w:b w:val="1"/>
          <w:bCs w:val="1"/>
          <w:color w:val="auto"/>
        </w:rPr>
        <w:t>provisions of this paragraph, following the purchase of a portion of the Warrant Shares hereunder, the number of Warrant Shares available for purchase hereunder at any given time may be less than the amount stated on the face hereof.</w:t>
      </w:r>
    </w:p>
    <w:p>
      <w:pPr>
        <w:spacing w:after="0" w:line="17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92" w:right="239" w:bottom="1440" w:gutter="0" w:footer="0" w:header="0"/>
        </w:sectPr>
      </w:pPr>
    </w:p>
    <w:bookmarkStart w:id="29" w:name="page30"/>
    <w:bookmarkEnd w:id="29"/>
    <w:p>
      <w:pPr>
        <w:jc w:val="both"/>
        <w:ind w:firstLine="648"/>
        <w:spacing w:after="0" w:line="264" w:lineRule="auto"/>
        <w:rPr>
          <w:sz w:val="20"/>
          <w:szCs w:val="20"/>
          <w:color w:val="auto"/>
        </w:rPr>
      </w:pPr>
      <w:r>
        <w:rPr>
          <w:rFonts w:ascii="Arial" w:cs="Arial" w:eastAsia="Arial" w:hAnsi="Arial"/>
          <w:sz w:val="18"/>
          <w:szCs w:val="18"/>
          <w:color w:val="auto"/>
        </w:rPr>
        <w:t>Without limiting the rights of a Holder to receive Warrant Shares on a “cashless exercise” and without limiting the liquidated damages provision in Section 2(d)(i) and the buy-in provision in Section 2(d)(iv), in no event will the Company be required to net cash settle a Warrant exercise.</w:t>
      </w:r>
    </w:p>
    <w:p>
      <w:pPr>
        <w:spacing w:after="0" w:line="177" w:lineRule="exact"/>
        <w:rPr>
          <w:sz w:val="20"/>
          <w:szCs w:val="20"/>
          <w:color w:val="auto"/>
        </w:rPr>
      </w:pPr>
    </w:p>
    <w:p>
      <w:pPr>
        <w:ind w:firstLine="645"/>
        <w:spacing w:after="0" w:line="282" w:lineRule="auto"/>
        <w:tabs>
          <w:tab w:leader="none" w:pos="843"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per share of Common Stock under this Warrant shall be $</w:t>
      </w:r>
      <w:r>
        <w:rPr>
          <w:rFonts w:ascii="Arial" w:cs="Arial" w:eastAsia="Arial" w:hAnsi="Arial"/>
          <w:sz w:val="18"/>
          <w:szCs w:val="18"/>
          <w:b w:val="1"/>
          <w:bCs w:val="1"/>
          <w:color w:val="auto"/>
        </w:rPr>
        <w:t>8.125</w:t>
      </w:r>
      <w:r>
        <w:rPr>
          <w:rFonts w:ascii="Arial" w:cs="Arial" w:eastAsia="Arial" w:hAnsi="Arial"/>
          <w:sz w:val="18"/>
          <w:szCs w:val="18"/>
          <w:color w:val="auto"/>
        </w:rPr>
        <w:t>, subject to adjustment hereunder (the “</w:t>
      </w:r>
      <w:r>
        <w:rPr>
          <w:rFonts w:ascii="Arial" w:cs="Arial" w:eastAsia="Arial" w:hAnsi="Arial"/>
          <w:sz w:val="18"/>
          <w:szCs w:val="18"/>
          <w:u w:val="single" w:color="auto"/>
          <w:color w:val="auto"/>
        </w:rPr>
        <w:t>Exercise Price</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jc w:val="both"/>
        <w:ind w:firstLine="645"/>
        <w:spacing w:after="0" w:line="259" w:lineRule="auto"/>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Cashless Exercise</w:t>
      </w:r>
      <w:r>
        <w:rPr>
          <w:rFonts w:ascii="Arial" w:cs="Arial" w:eastAsia="Arial" w:hAnsi="Arial"/>
          <w:sz w:val="18"/>
          <w:szCs w:val="18"/>
          <w:color w:val="auto"/>
        </w:rPr>
        <w:t>. If at any time after the six-month anniversary of the Closing Date, there is no effective registration statement registering, or the prospectus contained therein is not available for the issuance of the Warrant Shares to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187" w:lineRule="exact"/>
        <w:rPr>
          <w:sz w:val="20"/>
          <w:szCs w:val="20"/>
          <w:color w:val="auto"/>
        </w:rPr>
      </w:pPr>
    </w:p>
    <w:p>
      <w:pPr>
        <w:ind w:left="1160" w:hanging="515"/>
        <w:spacing w:after="0" w:line="269" w:lineRule="auto"/>
        <w:tabs>
          <w:tab w:leader="none" w:pos="942" w:val="left"/>
        </w:tabs>
        <w:numPr>
          <w:ilvl w:val="0"/>
          <w:numId w:val="24"/>
        </w:numPr>
        <w:rPr>
          <w:rFonts w:ascii="Arial" w:cs="Arial" w:eastAsia="Arial" w:hAnsi="Arial"/>
          <w:sz w:val="17"/>
          <w:szCs w:val="17"/>
          <w:color w:val="auto"/>
        </w:rPr>
      </w:pPr>
      <w:r>
        <w:rPr>
          <w:rFonts w:ascii="Arial" w:cs="Arial" w:eastAsia="Arial" w:hAnsi="Arial"/>
          <w:sz w:val="17"/>
          <w:szCs w:val="17"/>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600(b)(64)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8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92" w:right="239" w:bottom="1440" w:gutter="0" w:footer="0" w:header="0"/>
        </w:sectPr>
      </w:pPr>
    </w:p>
    <w:bookmarkStart w:id="30" w:name="page31"/>
    <w:bookmarkEnd w:id="30"/>
    <w:p>
      <w:pPr>
        <w:ind w:left="680"/>
        <w:spacing w:after="0"/>
        <w:rPr>
          <w:sz w:val="20"/>
          <w:szCs w:val="20"/>
          <w:color w:val="auto"/>
        </w:rPr>
      </w:pPr>
      <w:r>
        <w:rPr>
          <w:rFonts w:ascii="Arial" w:cs="Arial" w:eastAsia="Arial" w:hAnsi="Arial"/>
          <w:sz w:val="18"/>
          <w:szCs w:val="18"/>
          <w:color w:val="auto"/>
        </w:rPr>
        <w:t>(B) = the Exercise Price of this Warrant, as adjusted hereunder; and</w:t>
      </w:r>
    </w:p>
    <w:p>
      <w:pPr>
        <w:spacing w:after="0" w:line="225" w:lineRule="exact"/>
        <w:rPr>
          <w:sz w:val="20"/>
          <w:szCs w:val="20"/>
          <w:color w:val="auto"/>
        </w:rPr>
      </w:pPr>
    </w:p>
    <w:p>
      <w:pPr>
        <w:ind w:left="1160" w:hanging="488"/>
        <w:spacing w:after="0" w:line="277" w:lineRule="auto"/>
        <w:tabs>
          <w:tab w:leader="none" w:pos="969" w:val="left"/>
        </w:tabs>
        <w:numPr>
          <w:ilvl w:val="0"/>
          <w:numId w:val="25"/>
        </w:numPr>
        <w:rPr>
          <w:rFonts w:ascii="Arial" w:cs="Arial" w:eastAsia="Arial" w:hAnsi="Arial"/>
          <w:sz w:val="18"/>
          <w:szCs w:val="18"/>
          <w:color w:val="auto"/>
        </w:rPr>
      </w:pPr>
      <w:r>
        <w:rPr>
          <w:rFonts w:ascii="Arial" w:cs="Arial" w:eastAsia="Arial" w:hAnsi="Arial"/>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If Warrant Shares are issued in such a cashless exercise, the parties acknowledge and agree that in accordance with Section 3(a)(9) of the Securities Act, the Warrant Shares shall take on the characteristics of the Warrants being exercised, and the holding period of the Warrant Shares being issued may be tacked on to the holding period of this Warrant. The Company agrees not to take any position contrary to this Section 2(c).</w:t>
      </w:r>
    </w:p>
    <w:p>
      <w:pPr>
        <w:spacing w:after="0" w:line="147" w:lineRule="exact"/>
        <w:rPr>
          <w:sz w:val="20"/>
          <w:szCs w:val="20"/>
          <w:color w:val="auto"/>
        </w:rPr>
      </w:pPr>
    </w:p>
    <w:p>
      <w:pPr>
        <w:ind w:left="840" w:hanging="195"/>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Mechanics of Exercise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firstLine="382"/>
        <w:spacing w:after="0" w:line="284" w:lineRule="auto"/>
        <w:tabs>
          <w:tab w:leader="none" w:pos="1856" w:val="left"/>
        </w:tabs>
        <w:numPr>
          <w:ilvl w:val="1"/>
          <w:numId w:val="26"/>
        </w:numPr>
        <w:rPr>
          <w:rFonts w:ascii="Arial" w:cs="Arial" w:eastAsia="Arial" w:hAnsi="Arial"/>
          <w:sz w:val="16"/>
          <w:szCs w:val="16"/>
          <w:color w:val="auto"/>
        </w:rPr>
      </w:pPr>
      <w:r>
        <w:rPr>
          <w:rFonts w:ascii="Arial" w:cs="Arial" w:eastAsia="Arial" w:hAnsi="Arial"/>
          <w:sz w:val="16"/>
          <w:szCs w:val="16"/>
          <w:u w:val="single" w:color="auto"/>
          <w:color w:val="auto"/>
        </w:rPr>
        <w:t>Delivery of Warrant Shares Upon Exercise</w:t>
      </w:r>
      <w:r>
        <w:rPr>
          <w:rFonts w:ascii="Arial" w:cs="Arial" w:eastAsia="Arial" w:hAnsi="Arial"/>
          <w:sz w:val="16"/>
          <w:szCs w:val="16"/>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Arial" w:cs="Arial" w:eastAsia="Arial" w:hAnsi="Arial"/>
          <w:sz w:val="16"/>
          <w:szCs w:val="16"/>
          <w:u w:val="single" w:color="auto"/>
          <w:color w:val="auto"/>
        </w:rPr>
        <w:t>DWAC</w:t>
      </w:r>
      <w:r>
        <w:rPr>
          <w:rFonts w:ascii="Arial" w:cs="Arial" w:eastAsia="Arial" w:hAnsi="Arial"/>
          <w:sz w:val="16"/>
          <w:szCs w:val="16"/>
          <w:color w:val="auto"/>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two (2) Trading Days and (ii) the number of days comprising the Standard Settlement Period, in each case after the delivery to the Company of the Notice of Exercise (such date, the “</w:t>
      </w:r>
      <w:r>
        <w:rPr>
          <w:rFonts w:ascii="Arial" w:cs="Arial" w:eastAsia="Arial" w:hAnsi="Arial"/>
          <w:sz w:val="16"/>
          <w:szCs w:val="16"/>
          <w:u w:val="single" w:color="auto"/>
          <w:color w:val="auto"/>
        </w:rPr>
        <w:t>Warrant Share Delivery Date</w:t>
      </w:r>
      <w:r>
        <w:rPr>
          <w:rFonts w:ascii="Arial" w:cs="Arial" w:eastAsia="Arial" w:hAnsi="Arial"/>
          <w:sz w:val="16"/>
          <w:szCs w:val="16"/>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by the Warrant Share Delivery Date.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such liquidated damages begin to accrue) for each Trading Day after such Warrant Share Delivery Date until such Warrant Shares are delivered or the Holder rescinds such exercise. The Company agrees to maintain a transfer agent that is a participant in the FAST program so long as this Warrant remains outstanding and exercisable. As used herein, “</w:t>
      </w:r>
      <w:r>
        <w:rPr>
          <w:rFonts w:ascii="Arial" w:cs="Arial" w:eastAsia="Arial" w:hAnsi="Arial"/>
          <w:sz w:val="16"/>
          <w:szCs w:val="16"/>
          <w:u w:val="single" w:color="auto"/>
          <w:color w:val="auto"/>
        </w:rPr>
        <w:t>Standard Settlement Period</w:t>
      </w:r>
      <w:r>
        <w:rPr>
          <w:rFonts w:ascii="Arial" w:cs="Arial" w:eastAsia="Arial" w:hAnsi="Arial"/>
          <w:sz w:val="16"/>
          <w:szCs w:val="16"/>
          <w:color w:val="auto"/>
        </w:rPr>
        <w:t>” means the standard settlement period, expressed in a number of Trading Days, on the Company’s primary Trading Market with respect to the Common Stock as in effect on the date of delivery of the Notice of Exercise.</w:t>
      </w:r>
    </w:p>
    <w:p>
      <w:pPr>
        <w:spacing w:after="0" w:line="180"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92" w:right="239" w:bottom="1440" w:gutter="0" w:footer="0" w:header="0"/>
        </w:sectPr>
      </w:pPr>
    </w:p>
    <w:bookmarkStart w:id="31" w:name="page32"/>
    <w:bookmarkEnd w:id="31"/>
    <w:p>
      <w:pPr>
        <w:jc w:val="both"/>
        <w:ind w:left="760" w:firstLine="382"/>
        <w:spacing w:after="0" w:line="259" w:lineRule="auto"/>
        <w:tabs>
          <w:tab w:leader="none" w:pos="1352"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Delivery of New Warrants Upon Exercise</w:t>
      </w:r>
      <w:r>
        <w:rPr>
          <w:rFonts w:ascii="Arial" w:cs="Arial" w:eastAsia="Arial" w:hAnsi="Arial"/>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86" w:lineRule="exact"/>
        <w:rPr>
          <w:rFonts w:ascii="Arial" w:cs="Arial" w:eastAsia="Arial" w:hAnsi="Arial"/>
          <w:sz w:val="18"/>
          <w:szCs w:val="18"/>
          <w:color w:val="auto"/>
        </w:rPr>
      </w:pPr>
    </w:p>
    <w:p>
      <w:pPr>
        <w:ind w:left="760" w:firstLine="382"/>
        <w:spacing w:after="0" w:line="308" w:lineRule="auto"/>
        <w:tabs>
          <w:tab w:leader="none" w:pos="1389" w:val="left"/>
        </w:tabs>
        <w:numPr>
          <w:ilvl w:val="1"/>
          <w:numId w:val="27"/>
        </w:numPr>
        <w:rPr>
          <w:rFonts w:ascii="Arial" w:cs="Arial" w:eastAsia="Arial" w:hAnsi="Arial"/>
          <w:sz w:val="17"/>
          <w:szCs w:val="17"/>
          <w:color w:val="auto"/>
        </w:rPr>
      </w:pPr>
      <w:r>
        <w:rPr>
          <w:rFonts w:ascii="Arial" w:cs="Arial" w:eastAsia="Arial" w:hAnsi="Arial"/>
          <w:sz w:val="17"/>
          <w:szCs w:val="17"/>
          <w:u w:val="single" w:color="auto"/>
          <w:color w:val="auto"/>
        </w:rPr>
        <w:t>Rescission Rights</w:t>
      </w:r>
      <w:r>
        <w:rPr>
          <w:rFonts w:ascii="Arial" w:cs="Arial" w:eastAsia="Arial" w:hAnsi="Arial"/>
          <w:sz w:val="17"/>
          <w:szCs w:val="17"/>
          <w:color w:val="auto"/>
        </w:rPr>
        <w:t>. If the Company fails to cause the Transfer Agent to transmit to the Holder the Warrant Shares pursuant to Section 2(d)(i) by the Warrant Share Delivery Date, then the Holder will have the right to rescind such exercise.</w:t>
      </w:r>
    </w:p>
    <w:p>
      <w:pPr>
        <w:spacing w:after="0" w:line="146" w:lineRule="exact"/>
        <w:rPr>
          <w:rFonts w:ascii="Arial" w:cs="Arial" w:eastAsia="Arial" w:hAnsi="Arial"/>
          <w:sz w:val="17"/>
          <w:szCs w:val="17"/>
          <w:color w:val="auto"/>
        </w:rPr>
      </w:pPr>
    </w:p>
    <w:p>
      <w:pPr>
        <w:jc w:val="both"/>
        <w:ind w:left="760" w:firstLine="382"/>
        <w:spacing w:after="0" w:line="283" w:lineRule="auto"/>
        <w:tabs>
          <w:tab w:leader="none" w:pos="1381" w:val="left"/>
        </w:tabs>
        <w:numPr>
          <w:ilvl w:val="1"/>
          <w:numId w:val="27"/>
        </w:numPr>
        <w:rPr>
          <w:rFonts w:ascii="Arial" w:cs="Arial" w:eastAsia="Arial" w:hAnsi="Arial"/>
          <w:sz w:val="16"/>
          <w:szCs w:val="16"/>
          <w:color w:val="auto"/>
        </w:rPr>
      </w:pPr>
      <w:r>
        <w:rPr>
          <w:rFonts w:ascii="Arial" w:cs="Arial" w:eastAsia="Arial" w:hAnsi="Arial"/>
          <w:sz w:val="16"/>
          <w:szCs w:val="16"/>
          <w:u w:val="single" w:color="auto"/>
          <w:color w:val="auto"/>
        </w:rPr>
        <w:t>Compensation for Buy-In on Failure to Timely Deliver Warrant Shares Upon Exercise</w:t>
      </w:r>
      <w:r>
        <w:rPr>
          <w:rFonts w:ascii="Arial" w:cs="Arial" w:eastAsia="Arial" w:hAnsi="Arial"/>
          <w:sz w:val="16"/>
          <w:szCs w:val="16"/>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but did not receive (a “</w:t>
      </w:r>
      <w:r>
        <w:rPr>
          <w:rFonts w:ascii="Arial" w:cs="Arial" w:eastAsia="Arial" w:hAnsi="Arial"/>
          <w:sz w:val="16"/>
          <w:szCs w:val="16"/>
          <w:u w:val="single" w:color="auto"/>
          <w:color w:val="auto"/>
        </w:rPr>
        <w:t>Buy-In</w:t>
      </w:r>
      <w:r>
        <w:rPr>
          <w:rFonts w:ascii="Arial" w:cs="Arial" w:eastAsia="Arial" w:hAnsi="Arial"/>
          <w:sz w:val="16"/>
          <w:szCs w:val="16"/>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but failed to deliver, to the Holder in connection with the exercise at issue times</w:t>
      </w:r>
    </w:p>
    <w:p>
      <w:pPr>
        <w:spacing w:after="0" w:line="6" w:lineRule="exact"/>
        <w:rPr>
          <w:rFonts w:ascii="Arial" w:cs="Arial" w:eastAsia="Arial" w:hAnsi="Arial"/>
          <w:sz w:val="16"/>
          <w:szCs w:val="16"/>
          <w:color w:val="auto"/>
        </w:rPr>
      </w:pPr>
    </w:p>
    <w:p>
      <w:pPr>
        <w:jc w:val="both"/>
        <w:ind w:left="760" w:hanging="7"/>
        <w:spacing w:after="0" w:line="286" w:lineRule="auto"/>
        <w:tabs>
          <w:tab w:leader="none" w:pos="1016"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6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32" w:name="page33"/>
    <w:bookmarkEnd w:id="32"/>
    <w:p>
      <w:pPr>
        <w:jc w:val="both"/>
        <w:ind w:left="760" w:firstLine="389"/>
        <w:spacing w:after="0" w:line="259" w:lineRule="auto"/>
        <w:rPr>
          <w:sz w:val="20"/>
          <w:szCs w:val="20"/>
          <w:color w:val="auto"/>
        </w:rPr>
      </w:pPr>
      <w:r>
        <w:rPr>
          <w:rFonts w:ascii="Arial" w:cs="Arial" w:eastAsia="Arial" w:hAnsi="Arial"/>
          <w:sz w:val="18"/>
          <w:szCs w:val="18"/>
          <w:color w:val="auto"/>
        </w:rPr>
        <w:t xml:space="preserve">v. </w:t>
      </w:r>
      <w:r>
        <w:rPr>
          <w:rFonts w:ascii="Arial" w:cs="Arial" w:eastAsia="Arial" w:hAnsi="Arial"/>
          <w:sz w:val="18"/>
          <w:szCs w:val="18"/>
          <w:u w:val="single" w:color="auto"/>
          <w:color w:val="auto"/>
        </w:rPr>
        <w:t>No Fractional Shares or Scrip</w:t>
      </w:r>
      <w:r>
        <w:rPr>
          <w:rFonts w:ascii="Arial" w:cs="Arial" w:eastAsia="Arial" w:hAnsi="Arial"/>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87" w:lineRule="exact"/>
        <w:rPr>
          <w:sz w:val="20"/>
          <w:szCs w:val="20"/>
          <w:color w:val="auto"/>
        </w:rPr>
      </w:pPr>
    </w:p>
    <w:p>
      <w:pPr>
        <w:jc w:val="both"/>
        <w:ind w:left="760" w:firstLine="382"/>
        <w:spacing w:after="0" w:line="270" w:lineRule="auto"/>
        <w:tabs>
          <w:tab w:leader="none" w:pos="1392"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Charges, Taxes and Expenses</w:t>
      </w:r>
      <w:r>
        <w:rPr>
          <w:rFonts w:ascii="Arial" w:cs="Arial" w:eastAsia="Arial" w:hAnsi="Arial"/>
          <w:sz w:val="17"/>
          <w:szCs w:val="17"/>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81" w:lineRule="exact"/>
        <w:rPr>
          <w:rFonts w:ascii="Arial" w:cs="Arial" w:eastAsia="Arial" w:hAnsi="Arial"/>
          <w:sz w:val="17"/>
          <w:szCs w:val="17"/>
          <w:color w:val="auto"/>
        </w:rPr>
      </w:pPr>
    </w:p>
    <w:p>
      <w:pPr>
        <w:ind w:left="760" w:right="20" w:firstLine="382"/>
        <w:spacing w:after="0" w:line="277" w:lineRule="auto"/>
        <w:tabs>
          <w:tab w:leader="none" w:pos="1429"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Closing of Books</w:t>
      </w:r>
      <w:r>
        <w:rPr>
          <w:rFonts w:ascii="Arial" w:cs="Arial" w:eastAsia="Arial" w:hAnsi="Arial"/>
          <w:sz w:val="18"/>
          <w:szCs w:val="18"/>
          <w:color w:val="auto"/>
        </w:rPr>
        <w:t>. The Company will not close its stockholder books or records in any manner which prevents the timely exercise of this Warrant, pursuant to the terms hereof.</w:t>
      </w:r>
    </w:p>
    <w:p>
      <w:pPr>
        <w:spacing w:after="0" w:line="17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33" w:name="page34"/>
    <w:bookmarkEnd w:id="33"/>
    <w:p>
      <w:pPr>
        <w:jc w:val="both"/>
        <w:ind w:firstLine="645"/>
        <w:spacing w:after="0" w:line="282" w:lineRule="auto"/>
        <w:tabs>
          <w:tab w:leader="none" w:pos="846"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Holder’s Exercise Limitations</w:t>
      </w:r>
      <w:r>
        <w:rPr>
          <w:rFonts w:ascii="Arial" w:cs="Arial" w:eastAsia="Arial" w:hAnsi="Arial"/>
          <w:sz w:val="16"/>
          <w:szCs w:val="16"/>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Arial" w:cs="Arial" w:eastAsia="Arial" w:hAnsi="Arial"/>
          <w:sz w:val="16"/>
          <w:szCs w:val="16"/>
          <w:u w:val="single" w:color="auto"/>
          <w:color w:val="auto"/>
        </w:rPr>
        <w:t>Attribution Parties</w:t>
      </w:r>
      <w:r>
        <w:rPr>
          <w:rFonts w:ascii="Arial" w:cs="Arial" w:eastAsia="Arial" w:hAnsi="Arial"/>
          <w:sz w:val="16"/>
          <w:szCs w:val="16"/>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(including any determination as to group status pursuant to the next sentence).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Arial" w:cs="Arial" w:eastAsia="Arial" w:hAnsi="Arial"/>
          <w:sz w:val="16"/>
          <w:szCs w:val="16"/>
          <w:u w:val="single" w:color="auto"/>
          <w:color w:val="auto"/>
        </w:rPr>
        <w:t>Beneficial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Ownership Limitation</w:t>
      </w:r>
      <w:r>
        <w:rPr>
          <w:rFonts w:ascii="Arial" w:cs="Arial" w:eastAsia="Arial" w:hAnsi="Arial"/>
          <w:sz w:val="16"/>
          <w:szCs w:val="16"/>
          <w:color w:val="auto"/>
        </w:rPr>
        <w:t>” shall be [4.99%/9.99%]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w:t>
      </w:r>
    </w:p>
    <w:p>
      <w:pPr>
        <w:spacing w:after="0" w:line="1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not be effective until the 61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188"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92"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Certain Adjustments</w:t>
      </w:r>
      <w:r>
        <w:rPr>
          <w:rFonts w:ascii="Arial" w:cs="Arial" w:eastAsia="Arial" w:hAnsi="Arial"/>
          <w:sz w:val="18"/>
          <w:szCs w:val="18"/>
          <w:color w:val="auto"/>
        </w:rPr>
        <w:t>.</w:t>
      </w:r>
    </w:p>
    <w:p>
      <w:pPr>
        <w:spacing w:after="0" w:line="225" w:lineRule="exact"/>
        <w:rPr>
          <w:sz w:val="20"/>
          <w:szCs w:val="20"/>
          <w:color w:val="auto"/>
        </w:rPr>
      </w:pPr>
    </w:p>
    <w:p>
      <w:pPr>
        <w:jc w:val="both"/>
        <w:ind w:firstLine="645"/>
        <w:spacing w:after="0" w:line="287" w:lineRule="auto"/>
        <w:tabs>
          <w:tab w:leader="none" w:pos="833"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Stock Dividends and Splits</w:t>
      </w:r>
      <w:r>
        <w:rPr>
          <w:rFonts w:ascii="Arial" w:cs="Arial" w:eastAsia="Arial" w:hAnsi="Arial"/>
          <w:sz w:val="16"/>
          <w:szCs w:val="16"/>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72" w:lineRule="exact"/>
        <w:rPr>
          <w:rFonts w:ascii="Arial" w:cs="Arial" w:eastAsia="Arial" w:hAnsi="Arial"/>
          <w:sz w:val="16"/>
          <w:szCs w:val="16"/>
          <w:color w:val="auto"/>
        </w:rPr>
      </w:pPr>
    </w:p>
    <w:p>
      <w:pPr>
        <w:jc w:val="both"/>
        <w:ind w:firstLine="645"/>
        <w:spacing w:after="0" w:line="287" w:lineRule="auto"/>
        <w:tabs>
          <w:tab w:leader="none" w:pos="843"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Subsequent Rights Offerings</w:t>
      </w:r>
      <w:r>
        <w:rPr>
          <w:rFonts w:ascii="Arial" w:cs="Arial" w:eastAsia="Arial" w:hAnsi="Arial"/>
          <w:sz w:val="16"/>
          <w:szCs w:val="16"/>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Arial" w:cs="Arial" w:eastAsia="Arial" w:hAnsi="Arial"/>
          <w:sz w:val="16"/>
          <w:szCs w:val="16"/>
          <w:u w:val="single" w:color="auto"/>
          <w:color w:val="auto"/>
        </w:rPr>
        <w:t>Purchase Rights</w:t>
      </w:r>
      <w:r>
        <w:rPr>
          <w:rFonts w:ascii="Arial" w:cs="Arial" w:eastAsia="Arial" w:hAnsi="Arial"/>
          <w:sz w:val="16"/>
          <w:szCs w:val="16"/>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72" w:lineRule="exact"/>
        <w:rPr>
          <w:rFonts w:ascii="Arial" w:cs="Arial" w:eastAsia="Arial" w:hAnsi="Arial"/>
          <w:sz w:val="16"/>
          <w:szCs w:val="16"/>
          <w:color w:val="auto"/>
        </w:rPr>
      </w:pPr>
    </w:p>
    <w:p>
      <w:pPr>
        <w:jc w:val="both"/>
        <w:ind w:firstLine="645"/>
        <w:spacing w:after="0" w:line="268" w:lineRule="auto"/>
        <w:tabs>
          <w:tab w:leader="none" w:pos="833"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Pro Rata Distributions</w:t>
      </w:r>
      <w:r>
        <w:rPr>
          <w:rFonts w:ascii="Arial" w:cs="Arial" w:eastAsia="Arial" w:hAnsi="Arial"/>
          <w:sz w:val="17"/>
          <w:szCs w:val="17"/>
          <w:color w:val="auto"/>
        </w:rPr>
        <w:t>. During such time as this Warrant is outstanding, if the Company shall declare or make any dividend (other than cash) or other distribution of its assets (or rights to acquire its assets) to holders of shares of Common Stock, by way of return of capital or otherwise (including, without limitation, any distribution of stock or other securities, property or options by way of a dividend, spin off, reclassification, corporate rearrangement, scheme of arrangement or other similar transaction) (a “</w:t>
      </w:r>
      <w:r>
        <w:rPr>
          <w:rFonts w:ascii="Arial" w:cs="Arial" w:eastAsia="Arial" w:hAnsi="Arial"/>
          <w:sz w:val="17"/>
          <w:szCs w:val="17"/>
          <w:u w:val="single" w:color="auto"/>
          <w:color w:val="auto"/>
        </w:rPr>
        <w:t>Distribution</w:t>
      </w:r>
      <w:r>
        <w:rPr>
          <w:rFonts w:ascii="Arial" w:cs="Arial" w:eastAsia="Arial" w:hAnsi="Arial"/>
          <w:sz w:val="17"/>
          <w:szCs w:val="17"/>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88"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92" w:right="239" w:bottom="1440" w:gutter="0" w:footer="0" w:header="0"/>
        </w:sectPr>
      </w:pPr>
    </w:p>
    <w:bookmarkStart w:id="35" w:name="page36"/>
    <w:bookmarkEnd w:id="35"/>
    <w:p>
      <w:pPr>
        <w:jc w:val="both"/>
        <w:ind w:left="-540" w:firstLine="645"/>
        <w:spacing w:after="0" w:line="282" w:lineRule="auto"/>
        <w:tabs>
          <w:tab w:leader="none" w:pos="303"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Fundamental Transaction</w:t>
      </w:r>
      <w:r>
        <w:rPr>
          <w:rFonts w:ascii="Arial" w:cs="Arial" w:eastAsia="Arial" w:hAnsi="Arial"/>
          <w:sz w:val="16"/>
          <w:szCs w:val="16"/>
          <w:color w:val="auto"/>
        </w:rPr>
        <w:t>. If, at any time while this Warrant is outstanding, (i) the Company, directly or indirectly, in one or more related transactions effects any merger or consolidation of the Company with or into another Person in which the Company is not the surviving entity or the stockholders of the Company immediately prior to such merger or consolidation do not own, directly or indirectly, at least 50% of the voting power of the surviving entity immediately after such merger or consolidation, (ii) the Company,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voting power of the outstanding shares of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more than 50% of the voting power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Arial" w:cs="Arial" w:eastAsia="Arial" w:hAnsi="Arial"/>
          <w:sz w:val="16"/>
          <w:szCs w:val="16"/>
          <w:u w:val="single" w:color="auto"/>
          <w:color w:val="auto"/>
        </w:rPr>
        <w:t>Alternate Consideration</w:t>
      </w:r>
      <w:r>
        <w:rPr>
          <w:rFonts w:ascii="Arial" w:cs="Arial" w:eastAsia="Arial" w:hAnsi="Arial"/>
          <w:sz w:val="16"/>
          <w:szCs w:val="16"/>
          <w:color w:val="auto"/>
        </w:rPr>
        <w:t xml:space="preserve">”)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of the remaining unexercised portion of this Warrant on the date of the consummation of such Fundamental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the Fundamental Transaction is not within the Company’s control, including not approved by the Company’s Board of Directors, Holder shall only be entitled to receive from the Company or any Successor Entity, as of the date of consummation of such Fundamental Transaction, the same type or form of consideration (and in the same proportion), at the Black Scholes Value (as defined below)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w:t>
      </w:r>
      <w:r>
        <w:rPr>
          <w:rFonts w:ascii="Arial" w:cs="Arial" w:eastAsia="Arial" w:hAnsi="Arial"/>
          <w:sz w:val="16"/>
          <w:szCs w:val="16"/>
          <w:u w:val="single" w:color="auto"/>
          <w:color w:val="auto"/>
        </w:rPr>
        <w:t>Black Scholes Value</w:t>
      </w:r>
      <w:r>
        <w:rPr>
          <w:rFonts w:ascii="Arial" w:cs="Arial" w:eastAsia="Arial" w:hAnsi="Arial"/>
          <w:sz w:val="16"/>
          <w:szCs w:val="16"/>
          <w:color w:val="auto"/>
        </w:rPr>
        <w:t>” means the value of this Warrant based on the Black and Scholes Option Pricing Model obtained from the “OV” function on Bloomberg, L.P. (“</w:t>
      </w:r>
      <w:r>
        <w:rPr>
          <w:rFonts w:ascii="Arial" w:cs="Arial" w:eastAsia="Arial" w:hAnsi="Arial"/>
          <w:sz w:val="16"/>
          <w:szCs w:val="16"/>
          <w:u w:val="single" w:color="auto"/>
          <w:color w:val="auto"/>
        </w:rPr>
        <w:t>Bloomberg</w:t>
      </w:r>
      <w:r>
        <w:rPr>
          <w:rFonts w:ascii="Arial" w:cs="Arial" w:eastAsia="Arial" w:hAnsi="Arial"/>
          <w:sz w:val="16"/>
          <w:szCs w:val="16"/>
          <w:color w:val="auto"/>
        </w:rPr>
        <w:t>”)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greater of 100% and the 100 day volatility obtained from the HVT function on Bloomberg as of the Trading Day immediately following the public announcement of the applicable Fundamental Transaction, (C) the underlying price per share used in such calculation shall be the greater of (i) the sum of the price per share being offered in cash, if any, plus the value of any non-cash consideration, if any, being offered in such Fundamental Transaction and (ii) the greater of (x) the last VWAP immediately prior to the public announcement of such Fundamental Transaction and (y) the last VWAP immediately prior to the consummation of such Fundamental Transaction and (D) a remaining option time equal to the time between the date of the public announcement of the applicable Fundamental Transaction and the Termination Date. The payment of the Black Scholes Value will be made by wire transfer of immediately available funds within five Business Days of the Holder’s election (or, if later, on the effective date of the Fundamental Transaction). The Company shall cause any successor entity in a Fundamental Transaction in which the Company is not the survivor (the “</w:t>
      </w:r>
      <w:r>
        <w:rPr>
          <w:rFonts w:ascii="Arial" w:cs="Arial" w:eastAsia="Arial" w:hAnsi="Arial"/>
          <w:sz w:val="16"/>
          <w:szCs w:val="16"/>
          <w:u w:val="single" w:color="auto"/>
          <w:color w:val="auto"/>
        </w:rPr>
        <w:t>Successor Entity</w:t>
      </w:r>
      <w:r>
        <w:rPr>
          <w:rFonts w:ascii="Arial" w:cs="Arial" w:eastAsia="Arial" w:hAnsi="Arial"/>
          <w:sz w:val="16"/>
          <w:szCs w:val="16"/>
          <w:color w:val="auto"/>
        </w:rPr>
        <w:t>”) to assume in writing all of the obligations of the Company under this Warrant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w:t>
      </w:r>
    </w:p>
    <w:p>
      <w:pPr>
        <w:spacing w:after="0" w:line="200" w:lineRule="exact"/>
        <w:rPr>
          <w:sz w:val="20"/>
          <w:szCs w:val="20"/>
          <w:color w:val="auto"/>
        </w:rPr>
      </w:pPr>
    </w:p>
    <w:p>
      <w:pPr>
        <w:spacing w:after="0" w:line="226"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36" w:name="page37"/>
    <w:bookmarkEnd w:id="36"/>
    <w:p>
      <w:pPr>
        <w:jc w:val="both"/>
        <w:ind w:left="-540" w:firstLine="645"/>
        <w:spacing w:after="0" w:line="264" w:lineRule="auto"/>
        <w:tabs>
          <w:tab w:leader="none" w:pos="293"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81" w:lineRule="exact"/>
        <w:rPr>
          <w:rFonts w:ascii="Arial" w:cs="Arial" w:eastAsia="Arial" w:hAnsi="Arial"/>
          <w:sz w:val="18"/>
          <w:szCs w:val="18"/>
          <w:color w:val="auto"/>
        </w:rPr>
      </w:pPr>
    </w:p>
    <w:p>
      <w:pPr>
        <w:ind w:left="260" w:hanging="155"/>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Notice to Holder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760" w:firstLine="382"/>
        <w:spacing w:after="0" w:line="259" w:lineRule="auto"/>
        <w:tabs>
          <w:tab w:leader="none" w:pos="1302"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Adjustment to Exercise Price</w:t>
      </w:r>
      <w:r>
        <w:rPr>
          <w:rFonts w:ascii="Arial" w:cs="Arial" w:eastAsia="Arial" w:hAnsi="Arial"/>
          <w:sz w:val="18"/>
          <w:szCs w:val="18"/>
          <w:color w:val="auto"/>
        </w:rPr>
        <w:t>. Whenever the Exercise Price is adjusted pursuant to any provision of this Section 3, the Company shall promptly deliver to the Holder pursuant to Section 5(h) a notice setting forth the Exercise Price after such adjustment and any resulting adjustment to the number of Warrant Shares and setting forth a brief statement of the facts requiring such adjustment.</w:t>
      </w:r>
    </w:p>
    <w:p>
      <w:pPr>
        <w:spacing w:after="0" w:line="186" w:lineRule="exact"/>
        <w:rPr>
          <w:rFonts w:ascii="Arial" w:cs="Arial" w:eastAsia="Arial" w:hAnsi="Arial"/>
          <w:sz w:val="18"/>
          <w:szCs w:val="18"/>
          <w:color w:val="auto"/>
        </w:rPr>
      </w:pPr>
    </w:p>
    <w:p>
      <w:pPr>
        <w:jc w:val="both"/>
        <w:ind w:left="760" w:firstLine="382"/>
        <w:spacing w:after="0" w:line="267" w:lineRule="auto"/>
        <w:tabs>
          <w:tab w:leader="none" w:pos="1352"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Notice to Allow Exercise by Holder</w:t>
      </w:r>
      <w:r>
        <w:rPr>
          <w:rFonts w:ascii="Arial" w:cs="Arial" w:eastAsia="Arial" w:hAnsi="Arial"/>
          <w:sz w:val="17"/>
          <w:szCs w:val="17"/>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pursuant to Section 5(h) to the Holder at its last facsimile number, email address or other contact information as shall appear upon the Warrant Register of the Company, at least 10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The Holder shall remain entitled to exercise this Warrant during the period commencing on the date of such notice to the effective date of the event triggering such notice except as may otherwise be expressly set forth herein.</w:t>
      </w:r>
    </w:p>
    <w:p>
      <w:pPr>
        <w:spacing w:after="0" w:line="188"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37" w:name="page38"/>
    <w:bookmarkEnd w:id="37"/>
    <w:p>
      <w:pPr>
        <w:ind w:left="660"/>
        <w:spacing w:after="0"/>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Transfer of Warrant</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5"/>
        <w:spacing w:after="0" w:line="302" w:lineRule="auto"/>
        <w:tabs>
          <w:tab w:leader="none" w:pos="1506"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Pursuant to FINRA Rule 5110(g)(1), neither this Warrant nor any Warrant Shares issued upon exercise of this Warrant shall be sold, transferred, assigned, pledged, or hypothecated, or be the subject of any hedging, short sale, derivative, put, or call transaction that would result in the effective economic disposition of the securities by any person for a period of 180 days immediately following the date of effectiveness or commencement of sales of the offering pursuant to which this Warrant is being issued, except the transfer of any security:</w:t>
      </w:r>
    </w:p>
    <w:p>
      <w:pPr>
        <w:spacing w:after="0" w:line="154" w:lineRule="exact"/>
        <w:rPr>
          <w:rFonts w:ascii="Arial" w:cs="Arial" w:eastAsia="Arial" w:hAnsi="Arial"/>
          <w:sz w:val="16"/>
          <w:szCs w:val="16"/>
          <w:color w:val="auto"/>
        </w:rPr>
      </w:pPr>
    </w:p>
    <w:p>
      <w:pPr>
        <w:ind w:left="1120" w:hanging="140"/>
        <w:spacing w:after="0"/>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by operation of law or by reason of reorganization of the Company;</w:t>
      </w:r>
    </w:p>
    <w:p>
      <w:pPr>
        <w:spacing w:after="0" w:line="225" w:lineRule="exact"/>
        <w:rPr>
          <w:rFonts w:ascii="Arial" w:cs="Arial" w:eastAsia="Arial" w:hAnsi="Arial"/>
          <w:sz w:val="18"/>
          <w:szCs w:val="18"/>
          <w:color w:val="auto"/>
        </w:rPr>
      </w:pPr>
    </w:p>
    <w:p>
      <w:pPr>
        <w:ind w:left="720" w:firstLine="260"/>
        <w:spacing w:after="0" w:line="277" w:lineRule="auto"/>
        <w:tabs>
          <w:tab w:leader="none" w:pos="117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any FINRA member firm participating in the offering and the officers or partners thereof, if all securities so transferred remain subject to the lock-up restriction in this Section 4(a) for the remainder of the time period;</w:t>
      </w:r>
    </w:p>
    <w:p>
      <w:pPr>
        <w:spacing w:after="0" w:line="170" w:lineRule="exact"/>
        <w:rPr>
          <w:rFonts w:ascii="Arial" w:cs="Arial" w:eastAsia="Arial" w:hAnsi="Arial"/>
          <w:sz w:val="18"/>
          <w:szCs w:val="18"/>
          <w:color w:val="auto"/>
        </w:rPr>
      </w:pPr>
    </w:p>
    <w:p>
      <w:pPr>
        <w:ind w:left="720" w:firstLine="260"/>
        <w:spacing w:after="0" w:line="277" w:lineRule="auto"/>
        <w:tabs>
          <w:tab w:leader="none" w:pos="1234"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the aggregate amount of securities of the Company held by the underwriter or related persons do not exceed 1% of the securities being offered;</w:t>
      </w:r>
    </w:p>
    <w:p>
      <w:pPr>
        <w:spacing w:after="0" w:line="170" w:lineRule="exact"/>
        <w:rPr>
          <w:rFonts w:ascii="Arial" w:cs="Arial" w:eastAsia="Arial" w:hAnsi="Arial"/>
          <w:sz w:val="18"/>
          <w:szCs w:val="18"/>
          <w:color w:val="auto"/>
        </w:rPr>
      </w:pPr>
    </w:p>
    <w:p>
      <w:pPr>
        <w:ind w:left="720" w:firstLine="260"/>
        <w:spacing w:after="0" w:line="342" w:lineRule="auto"/>
        <w:tabs>
          <w:tab w:leader="none" w:pos="1203"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that is beneficially owned on a pro-rata basis by all equity owners of an investment fund, provided that no participating member manages or otherwise directs investments by the fund, and participating members in the aggregate do not own more than 10% of the equity in the fund; or</w:t>
      </w:r>
    </w:p>
    <w:p>
      <w:pPr>
        <w:spacing w:after="0" w:line="123" w:lineRule="exact"/>
        <w:rPr>
          <w:rFonts w:ascii="Arial" w:cs="Arial" w:eastAsia="Arial" w:hAnsi="Arial"/>
          <w:sz w:val="16"/>
          <w:szCs w:val="16"/>
          <w:color w:val="auto"/>
        </w:rPr>
      </w:pPr>
    </w:p>
    <w:p>
      <w:pPr>
        <w:ind w:left="720" w:right="20" w:firstLine="260"/>
        <w:spacing w:after="0" w:line="277" w:lineRule="auto"/>
        <w:tabs>
          <w:tab w:leader="none" w:pos="11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exercise or conversion of any security, if all securities received remain subject to the lock-up restriction in this Section 4(a) for the remainder of the time period.</w:t>
      </w:r>
    </w:p>
    <w:p>
      <w:pPr>
        <w:spacing w:after="0" w:line="170"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Subject to the foregoing restriction, and compliance with any applicable securities laws and the conditions set forth in Section 4(d) hereof,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83" w:lineRule="exact"/>
        <w:rPr>
          <w:sz w:val="20"/>
          <w:szCs w:val="20"/>
          <w:color w:val="auto"/>
        </w:rPr>
      </w:pPr>
    </w:p>
    <w:p>
      <w:pPr>
        <w:jc w:val="both"/>
        <w:ind w:left="660" w:firstLine="645"/>
        <w:spacing w:after="0" w:line="255" w:lineRule="auto"/>
        <w:tabs>
          <w:tab w:leader="none" w:pos="1517"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New Warrants</w:t>
      </w:r>
      <w:r>
        <w:rPr>
          <w:rFonts w:ascii="Arial" w:cs="Arial" w:eastAsia="Arial" w:hAnsi="Arial"/>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of this Warrant and shall be identical with this Warrant except as to the number of Warrant Shares issuable pursuant thereto.</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8" w:name="page39"/>
    <w:bookmarkEnd w:id="38"/>
    <w:p>
      <w:pPr>
        <w:jc w:val="both"/>
        <w:ind w:firstLine="645"/>
        <w:spacing w:after="0" w:line="259" w:lineRule="auto"/>
        <w:tabs>
          <w:tab w:leader="none" w:pos="86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Warrant Register</w:t>
      </w:r>
      <w:r>
        <w:rPr>
          <w:rFonts w:ascii="Arial" w:cs="Arial" w:eastAsia="Arial" w:hAnsi="Arial"/>
          <w:sz w:val="18"/>
          <w:szCs w:val="18"/>
          <w:color w:val="auto"/>
        </w:rPr>
        <w:t>. The Company shall register this Warrant, upon records to be maintained by the Company for that purpose (the “</w:t>
      </w:r>
      <w:r>
        <w:rPr>
          <w:rFonts w:ascii="Arial" w:cs="Arial" w:eastAsia="Arial" w:hAnsi="Arial"/>
          <w:sz w:val="18"/>
          <w:szCs w:val="18"/>
          <w:u w:val="single" w:color="auto"/>
          <w:color w:val="auto"/>
        </w:rPr>
        <w:t>Warrant Register</w:t>
      </w:r>
      <w:r>
        <w:rPr>
          <w:rFonts w:ascii="Arial" w:cs="Arial" w:eastAsia="Arial" w:hAnsi="Arial"/>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6" w:lineRule="exact"/>
        <w:rPr>
          <w:rFonts w:ascii="Arial" w:cs="Arial" w:eastAsia="Arial" w:hAnsi="Arial"/>
          <w:sz w:val="18"/>
          <w:szCs w:val="18"/>
          <w:color w:val="auto"/>
        </w:rPr>
      </w:pPr>
    </w:p>
    <w:p>
      <w:pPr>
        <w:jc w:val="both"/>
        <w:ind w:firstLine="645"/>
        <w:spacing w:after="0" w:line="259" w:lineRule="auto"/>
        <w:tabs>
          <w:tab w:leader="none" w:pos="843"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Transfer Restrictions</w:t>
      </w:r>
      <w:r>
        <w:rPr>
          <w:rFonts w:ascii="Arial" w:cs="Arial" w:eastAsia="Arial" w:hAnsi="Arial"/>
          <w:sz w:val="18"/>
          <w:szCs w:val="18"/>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w:t>
      </w:r>
    </w:p>
    <w:p>
      <w:pPr>
        <w:spacing w:after="0" w:line="186" w:lineRule="exact"/>
        <w:rPr>
          <w:rFonts w:ascii="Arial" w:cs="Arial" w:eastAsia="Arial" w:hAnsi="Arial"/>
          <w:sz w:val="18"/>
          <w:szCs w:val="18"/>
          <w:color w:val="auto"/>
        </w:rPr>
      </w:pPr>
    </w:p>
    <w:p>
      <w:pPr>
        <w:jc w:val="both"/>
        <w:ind w:firstLine="645"/>
        <w:spacing w:after="0" w:line="255" w:lineRule="auto"/>
        <w:tabs>
          <w:tab w:leader="none" w:pos="833"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Representation by the Holder</w:t>
      </w:r>
      <w:r>
        <w:rPr>
          <w:rFonts w:ascii="Arial" w:cs="Arial" w:eastAsia="Arial" w:hAnsi="Arial"/>
          <w:sz w:val="18"/>
          <w:szCs w:val="18"/>
          <w:color w:val="auto"/>
        </w:rPr>
        <w:t>. The Holder, by the acceptance hereof, represents and warrants that (i)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 and (ii) it is not purchasing the Securities as a result of any advertisement, article, notice, electronic mail, website or other communication regarding this Warrant or the underlying securities published in any newspaper, magazine, internet platform or similar media or broadcast over television or radio or presented at any seminar or, to the knowledge of the Holder, any other general solicitation or general advertisement.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645"/>
        <w:spacing w:after="0" w:line="279" w:lineRule="auto"/>
        <w:tabs>
          <w:tab w:leader="none" w:pos="833"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No Rights as Stockholder Until Exercise; No Settlement in Cash</w:t>
      </w:r>
      <w:r>
        <w:rPr>
          <w:rFonts w:ascii="Arial" w:cs="Arial" w:eastAsia="Arial" w:hAnsi="Arial"/>
          <w:sz w:val="17"/>
          <w:szCs w:val="17"/>
          <w:color w:val="auto"/>
        </w:rPr>
        <w:t>. This Warrant does not entitle the Holder to any voting rights, dividends or other rights as a stockholder of the Company prior to the exercise hereof as set forth in Section 2(d)(i), except as expressly set forth in Section 3. Without limiting the rights of a Holder to receive Warrant Shares on a “cashless exercise,” and to receive the cash payments contemplated pursuant to Sections 2(d)(i) and 2(d)(iv), in no event will the Company be required to net cash settle a Warrant exercise.</w:t>
      </w:r>
    </w:p>
    <w:p>
      <w:pPr>
        <w:spacing w:after="0" w:line="171" w:lineRule="exact"/>
        <w:rPr>
          <w:rFonts w:ascii="Arial" w:cs="Arial" w:eastAsia="Arial" w:hAnsi="Arial"/>
          <w:sz w:val="17"/>
          <w:szCs w:val="17"/>
          <w:color w:val="auto"/>
        </w:rPr>
      </w:pPr>
    </w:p>
    <w:p>
      <w:pPr>
        <w:jc w:val="both"/>
        <w:ind w:firstLine="645"/>
        <w:spacing w:after="0" w:line="276" w:lineRule="auto"/>
        <w:tabs>
          <w:tab w:leader="none" w:pos="857"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Loss, Theft, Destruction or Mutilation of Warrant</w:t>
      </w:r>
      <w:r>
        <w:rPr>
          <w:rFonts w:ascii="Arial" w:cs="Arial" w:eastAsia="Arial" w:hAnsi="Arial"/>
          <w:sz w:val="17"/>
          <w:szCs w:val="17"/>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72" w:lineRule="exact"/>
        <w:rPr>
          <w:rFonts w:ascii="Arial" w:cs="Arial" w:eastAsia="Arial" w:hAnsi="Arial"/>
          <w:sz w:val="17"/>
          <w:szCs w:val="17"/>
          <w:color w:val="auto"/>
        </w:rPr>
      </w:pPr>
    </w:p>
    <w:p>
      <w:pPr>
        <w:ind w:right="20" w:firstLine="645"/>
        <w:spacing w:after="0" w:line="342" w:lineRule="auto"/>
        <w:tabs>
          <w:tab w:leader="none" w:pos="846"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Saturdays, Sundays, Holidays, etc</w:t>
      </w:r>
      <w:r>
        <w:rPr>
          <w:rFonts w:ascii="Arial" w:cs="Arial" w:eastAsia="Arial" w:hAnsi="Arial"/>
          <w:sz w:val="16"/>
          <w:szCs w:val="16"/>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24"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92" w:right="239" w:bottom="1440" w:gutter="0" w:footer="0" w:header="0"/>
        </w:sectPr>
      </w:pPr>
    </w:p>
    <w:bookmarkStart w:id="39" w:name="page40"/>
    <w:bookmarkEnd w:id="39"/>
    <w:p>
      <w:pPr>
        <w:ind w:left="300" w:hanging="195"/>
        <w:spacing w:after="0"/>
        <w:tabs>
          <w:tab w:leader="none" w:pos="30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Authorized Shares</w:t>
      </w:r>
      <w:r>
        <w:rPr>
          <w:rFonts w:ascii="Arial" w:cs="Arial" w:eastAsia="Arial" w:hAnsi="Arial"/>
          <w:sz w:val="18"/>
          <w:szCs w:val="18"/>
          <w:color w:val="auto"/>
        </w:rPr>
        <w:t>.</w:t>
      </w:r>
    </w:p>
    <w:p>
      <w:pPr>
        <w:spacing w:after="0" w:line="225" w:lineRule="exact"/>
        <w:rPr>
          <w:sz w:val="20"/>
          <w:szCs w:val="20"/>
          <w:color w:val="auto"/>
        </w:rPr>
      </w:pPr>
    </w:p>
    <w:p>
      <w:pPr>
        <w:jc w:val="both"/>
        <w:ind w:left="100" w:firstLine="648"/>
        <w:spacing w:after="0" w:line="288" w:lineRule="auto"/>
        <w:rPr>
          <w:sz w:val="20"/>
          <w:szCs w:val="20"/>
          <w:color w:val="auto"/>
        </w:rPr>
      </w:pPr>
      <w:r>
        <w:rPr>
          <w:rFonts w:ascii="Arial" w:cs="Arial" w:eastAsia="Arial" w:hAnsi="Arial"/>
          <w:sz w:val="16"/>
          <w:szCs w:val="16"/>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69" w:lineRule="exact"/>
        <w:rPr>
          <w:sz w:val="20"/>
          <w:szCs w:val="20"/>
          <w:color w:val="auto"/>
        </w:rPr>
      </w:pPr>
    </w:p>
    <w:p>
      <w:pPr>
        <w:jc w:val="both"/>
        <w:ind w:left="100" w:firstLine="648"/>
        <w:spacing w:after="0" w:line="270" w:lineRule="auto"/>
        <w:rPr>
          <w:sz w:val="20"/>
          <w:szCs w:val="20"/>
          <w:color w:val="auto"/>
        </w:rPr>
      </w:pPr>
      <w:r>
        <w:rPr>
          <w:rFonts w:ascii="Arial" w:cs="Arial" w:eastAsia="Arial" w:hAnsi="Arial"/>
          <w:sz w:val="17"/>
          <w:szCs w:val="17"/>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78" w:lineRule="exact"/>
        <w:rPr>
          <w:sz w:val="20"/>
          <w:szCs w:val="20"/>
          <w:color w:val="auto"/>
        </w:rPr>
      </w:pPr>
    </w:p>
    <w:p>
      <w:pPr>
        <w:jc w:val="both"/>
        <w:ind w:left="100" w:firstLine="648"/>
        <w:spacing w:after="0" w:line="264" w:lineRule="auto"/>
        <w:rPr>
          <w:sz w:val="20"/>
          <w:szCs w:val="20"/>
          <w:color w:val="auto"/>
        </w:rPr>
      </w:pPr>
      <w:r>
        <w:rPr>
          <w:rFonts w:ascii="Arial" w:cs="Arial" w:eastAsia="Arial" w:hAnsi="Arial"/>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8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40" w:name="page41"/>
    <w:bookmarkEnd w:id="40"/>
    <w:p>
      <w:pPr>
        <w:jc w:val="both"/>
        <w:ind w:left="-540" w:firstLine="645"/>
        <w:spacing w:after="0" w:line="268" w:lineRule="auto"/>
        <w:tabs>
          <w:tab w:leader="none" w:pos="293"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Jurisdiction</w:t>
      </w:r>
      <w:r>
        <w:rPr>
          <w:rFonts w:ascii="Arial" w:cs="Arial" w:eastAsia="Arial" w:hAnsi="Arial"/>
          <w:sz w:val="17"/>
          <w:szCs w:val="17"/>
          <w:color w:val="auto"/>
        </w:rPr>
        <w:t>. All questions concerning the construction, validity, enforcement and interpretation of this Warrant shall be governed by and construed and enforced in accordance with the internal laws of the State of New York, without regard to the principles of conflict of laws thereof. Each party agrees that all legal proceedings concerning the interpretation, enforcement and defense of this Warrant shall be commenced in the state and federal courts sitting in the City of New York, Borough of Manhattan (the “</w:t>
      </w:r>
      <w:r>
        <w:rPr>
          <w:rFonts w:ascii="Arial" w:cs="Arial" w:eastAsia="Arial" w:hAnsi="Arial"/>
          <w:sz w:val="17"/>
          <w:szCs w:val="17"/>
          <w:u w:val="single" w:color="auto"/>
          <w:color w:val="auto"/>
        </w:rPr>
        <w:t>New York Courts</w:t>
      </w:r>
      <w:r>
        <w:rPr>
          <w:rFonts w:ascii="Arial" w:cs="Arial" w:eastAsia="Arial" w:hAnsi="Arial"/>
          <w:sz w:val="17"/>
          <w:szCs w:val="17"/>
          <w:color w:val="auto"/>
        </w:rPr>
        <w:t>”). Each party hereto hereby irrevocably submits to the exclusive jurisdiction of the New York Courts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such New York Courts, or such New York Courts are improper or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spacing w:after="0" w:line="187" w:lineRule="exact"/>
        <w:rPr>
          <w:rFonts w:ascii="Arial" w:cs="Arial" w:eastAsia="Arial" w:hAnsi="Arial"/>
          <w:sz w:val="17"/>
          <w:szCs w:val="17"/>
          <w:color w:val="auto"/>
        </w:rPr>
      </w:pPr>
    </w:p>
    <w:p>
      <w:pPr>
        <w:ind w:left="-540" w:firstLine="645"/>
        <w:spacing w:after="0" w:line="277" w:lineRule="auto"/>
        <w:tabs>
          <w:tab w:leader="none" w:pos="287"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70" w:lineRule="exact"/>
        <w:rPr>
          <w:rFonts w:ascii="Arial" w:cs="Arial" w:eastAsia="Arial" w:hAnsi="Arial"/>
          <w:sz w:val="18"/>
          <w:szCs w:val="18"/>
          <w:color w:val="auto"/>
        </w:rPr>
      </w:pPr>
    </w:p>
    <w:p>
      <w:pPr>
        <w:jc w:val="both"/>
        <w:ind w:left="-540" w:firstLine="645"/>
        <w:spacing w:after="0" w:line="255" w:lineRule="auto"/>
        <w:tabs>
          <w:tab w:leader="none" w:pos="303"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Nonwaiver and Expenses</w:t>
      </w:r>
      <w:r>
        <w:rPr>
          <w:rFonts w:ascii="Arial" w:cs="Arial" w:eastAsia="Arial" w:hAnsi="Arial"/>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93" w:lineRule="exact"/>
        <w:rPr>
          <w:rFonts w:ascii="Arial" w:cs="Arial" w:eastAsia="Arial" w:hAnsi="Arial"/>
          <w:sz w:val="18"/>
          <w:szCs w:val="18"/>
          <w:color w:val="auto"/>
        </w:rPr>
      </w:pPr>
    </w:p>
    <w:p>
      <w:pPr>
        <w:jc w:val="both"/>
        <w:ind w:left="-540" w:firstLine="645"/>
        <w:spacing w:after="0" w:line="268" w:lineRule="auto"/>
        <w:tabs>
          <w:tab w:leader="none" w:pos="344"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and all notices or other communications or deliveries to be provided by the Holders hereunder including, without limitation, any Notice of Exercise, shall be in writing and delivered personally, by facsimile or e-mail, or sent by a nationally recognized overnight courier service, addressed to the Company, at the address set forth above Attention: Chief Executive Officer, facsimile number 781-556-5347, email address info@microbotmedical.com, or such other facsimile number, email address or address as the Company may specify for such purposes by notice to the Holders. Any and all notices or other communications or deliveries to be provided by the Company hereunder shall be in writing and delivered personally, by facsimile or email, or sent by a nationally recognized overnight courier service addressed to each Holder at the facsimile number, email address or address of such Holder appearing on the books of the Company. Any notice or other communication or deliveries hereunder shall be deemed given and effective on the earliest of (i) the time of transmission, if such notice or communication is delivered via facsimile or email at the facsimile number or email address set forth in this Section prior to 5:30 p.m. (New York City time) on any date, (ii) the next Trading Day after the time of transmission, if such notice or communication is delivered via facsimile or email at the facsimile number or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spacing w:after="0" w:line="188"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41" w:name="page42"/>
    <w:bookmarkEnd w:id="41"/>
    <w:p>
      <w:pPr>
        <w:jc w:val="both"/>
        <w:ind w:firstLine="645"/>
        <w:spacing w:after="0" w:line="312" w:lineRule="auto"/>
        <w:tabs>
          <w:tab w:leader="none" w:pos="803"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Limitation of Liability</w:t>
      </w:r>
      <w:r>
        <w:rPr>
          <w:rFonts w:ascii="Arial" w:cs="Arial" w:eastAsia="Arial" w:hAnsi="Arial"/>
          <w:sz w:val="16"/>
          <w:szCs w:val="16"/>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46" w:lineRule="exact"/>
        <w:rPr>
          <w:rFonts w:ascii="Arial" w:cs="Arial" w:eastAsia="Arial" w:hAnsi="Arial"/>
          <w:sz w:val="16"/>
          <w:szCs w:val="16"/>
          <w:color w:val="auto"/>
        </w:rPr>
      </w:pPr>
    </w:p>
    <w:p>
      <w:pPr>
        <w:jc w:val="both"/>
        <w:ind w:firstLine="645"/>
        <w:spacing w:after="0" w:line="259" w:lineRule="auto"/>
        <w:tabs>
          <w:tab w:leader="none" w:pos="803"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86" w:lineRule="exact"/>
        <w:rPr>
          <w:rFonts w:ascii="Arial" w:cs="Arial" w:eastAsia="Arial" w:hAnsi="Arial"/>
          <w:sz w:val="18"/>
          <w:szCs w:val="18"/>
          <w:color w:val="auto"/>
        </w:rPr>
      </w:pPr>
    </w:p>
    <w:p>
      <w:pPr>
        <w:jc w:val="both"/>
        <w:ind w:firstLine="645"/>
        <w:spacing w:after="0" w:line="259" w:lineRule="auto"/>
        <w:tabs>
          <w:tab w:leader="none" w:pos="843"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86" w:lineRule="exact"/>
        <w:rPr>
          <w:rFonts w:ascii="Arial" w:cs="Arial" w:eastAsia="Arial" w:hAnsi="Arial"/>
          <w:sz w:val="18"/>
          <w:szCs w:val="18"/>
          <w:color w:val="auto"/>
        </w:rPr>
      </w:pPr>
    </w:p>
    <w:p>
      <w:pPr>
        <w:ind w:left="800" w:hanging="155"/>
        <w:spacing w:after="0"/>
        <w:tabs>
          <w:tab w:leader="none" w:pos="800"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This Warrant may be modified or amended or the provisions hereof waived with the written consent of the Company and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Holder.</w:t>
      </w:r>
    </w:p>
    <w:p>
      <w:pPr>
        <w:spacing w:after="0" w:line="210" w:lineRule="exact"/>
        <w:rPr>
          <w:rFonts w:ascii="Arial" w:cs="Arial" w:eastAsia="Arial" w:hAnsi="Arial"/>
          <w:sz w:val="16"/>
          <w:szCs w:val="16"/>
          <w:color w:val="auto"/>
        </w:rPr>
      </w:pPr>
    </w:p>
    <w:p>
      <w:pPr>
        <w:jc w:val="both"/>
        <w:ind w:firstLine="645"/>
        <w:spacing w:after="0" w:line="312" w:lineRule="auto"/>
        <w:tabs>
          <w:tab w:leader="none" w:pos="907"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46" w:lineRule="exact"/>
        <w:rPr>
          <w:rFonts w:ascii="Arial" w:cs="Arial" w:eastAsia="Arial" w:hAnsi="Arial"/>
          <w:sz w:val="16"/>
          <w:szCs w:val="16"/>
          <w:color w:val="auto"/>
        </w:rPr>
      </w:pPr>
    </w:p>
    <w:p>
      <w:pPr>
        <w:jc w:val="both"/>
        <w:ind w:firstLine="645"/>
        <w:spacing w:after="0" w:line="286" w:lineRule="auto"/>
        <w:tabs>
          <w:tab w:leader="none" w:pos="843"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The headings used in this Warrant are for the convenience of reference only and shall not, for any purpose, be deemed a part of this Warrant. A signed copy of this Warrant delivered by facsimile, e-mail or other means of electronic transmission (to which a .pdf copy is attached) shall be deemed to have the same legal effect as delivery of an original signed copy of this Agreement.</w:t>
      </w:r>
    </w:p>
    <w:p>
      <w:pPr>
        <w:spacing w:after="0" w:line="166"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640"/>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92"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IN WITNESS WHEREOF, the Company has caused this Warrant to be executed by its officer thereunto duly authorized as of the date first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above indicated.</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NOTICE OF EXERCISE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MICROBOT MEDICAL INC.</w:t>
      </w:r>
    </w:p>
    <w:p>
      <w:pPr>
        <w:spacing w:after="0" w:line="225" w:lineRule="exact"/>
        <w:rPr>
          <w:sz w:val="20"/>
          <w:szCs w:val="20"/>
          <w:color w:val="auto"/>
        </w:rPr>
      </w:pPr>
    </w:p>
    <w:p>
      <w:pPr>
        <w:ind w:firstLine="1305"/>
        <w:spacing w:after="0" w:line="308" w:lineRule="auto"/>
        <w:tabs>
          <w:tab w:leader="none" w:pos="1568"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46" w:lineRule="exact"/>
        <w:rPr>
          <w:rFonts w:ascii="Arial" w:cs="Arial" w:eastAsia="Arial" w:hAnsi="Arial"/>
          <w:sz w:val="17"/>
          <w:szCs w:val="17"/>
          <w:color w:val="auto"/>
        </w:rPr>
      </w:pPr>
    </w:p>
    <w:p>
      <w:pPr>
        <w:ind w:left="1560" w:hanging="255"/>
        <w:spacing w:after="0"/>
        <w:tabs>
          <w:tab w:leader="none" w:pos="1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Payment shall take the form of (check applicable box):</w:t>
      </w:r>
    </w:p>
    <w:p>
      <w:pPr>
        <w:spacing w:after="0" w:line="22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 ] in lawful money of the United States; or</w:t>
      </w:r>
    </w:p>
    <w:p>
      <w:pPr>
        <w:spacing w:after="0" w:line="225" w:lineRule="exact"/>
        <w:rPr>
          <w:sz w:val="20"/>
          <w:szCs w:val="20"/>
          <w:color w:val="auto"/>
        </w:rPr>
      </w:pPr>
    </w:p>
    <w:p>
      <w:pPr>
        <w:jc w:val="both"/>
        <w:ind w:left="1760"/>
        <w:spacing w:after="0" w:line="264" w:lineRule="auto"/>
        <w:rPr>
          <w:sz w:val="20"/>
          <w:szCs w:val="20"/>
          <w:color w:val="auto"/>
        </w:rPr>
      </w:pPr>
      <w:r>
        <w:rPr>
          <w:rFonts w:ascii="Arial" w:cs="Arial" w:eastAsia="Arial" w:hAnsi="Arial"/>
          <w:sz w:val="18"/>
          <w:szCs w:val="18"/>
          <w:color w:val="auto"/>
        </w:rPr>
        <w:t>[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81" w:lineRule="exact"/>
        <w:rPr>
          <w:sz w:val="20"/>
          <w:szCs w:val="20"/>
          <w:color w:val="auto"/>
        </w:rPr>
      </w:pPr>
    </w:p>
    <w:p>
      <w:pPr>
        <w:ind w:left="1560" w:hanging="255"/>
        <w:spacing w:after="0"/>
        <w:tabs>
          <w:tab w:leader="none" w:pos="1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Please issue said Warrant Shares in the name of the undersigned or in such other name as is specified below:</w:t>
      </w:r>
    </w:p>
    <w:p>
      <w:pPr>
        <w:spacing w:after="0" w:line="225"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Warrant Shares shall be delivered to the following DWAC Account Number:</w:t>
      </w:r>
    </w:p>
    <w:p>
      <w:pPr>
        <w:spacing w:after="0" w:line="22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ind w:left="1560" w:hanging="255"/>
        <w:spacing w:after="0"/>
        <w:tabs>
          <w:tab w:leader="none" w:pos="15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Accredited Investor. The undersigned is an “accredited investor” as defined in Regulation D promulgated under the Securities Act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1933,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Investing Entity: ________________________________________________________________________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Investing Entity</w:t>
      </w:r>
      <w:r>
        <w:rPr>
          <w:rFonts w:ascii="Arial" w:cs="Arial" w:eastAsia="Arial" w:hAnsi="Arial"/>
          <w:sz w:val="18"/>
          <w:szCs w:val="18"/>
          <w:color w:val="auto"/>
        </w:rPr>
        <w:t>: 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4" w:name="page45"/>
    <w:bookmarkEnd w:id="44"/>
    <w:p>
      <w:pPr>
        <w:ind w:left="10480"/>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ind w:left="200" w:right="2080"/>
        <w:spacing w:after="0" w:line="530" w:lineRule="auto"/>
        <w:rPr>
          <w:sz w:val="20"/>
          <w:szCs w:val="20"/>
          <w:color w:val="auto"/>
        </w:rPr>
      </w:pPr>
      <w:r>
        <w:rPr>
          <w:rFonts w:ascii="Arial" w:cs="Arial" w:eastAsia="Arial" w:hAnsi="Arial"/>
          <w:sz w:val="17"/>
          <w:szCs w:val="17"/>
          <w:i w:val="1"/>
          <w:iCs w:val="1"/>
          <w:color w:val="auto"/>
        </w:rPr>
        <w:t xml:space="preserve">(To assign the foregoing Warrant, execute this form and supply required information. Do not use this form to purchase shares.) </w:t>
      </w:r>
      <w:r>
        <w:rPr>
          <w:rFonts w:ascii="Arial" w:cs="Arial" w:eastAsia="Arial" w:hAnsi="Arial"/>
          <w:sz w:val="17"/>
          <w:szCs w:val="17"/>
          <w:color w:val="auto"/>
        </w:rPr>
        <w:t>FOR VALUE RECEIVED, the foregoing Warrant and all rights evidenced thereby are hereby assigned to</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Name:</w:t>
            </w:r>
          </w:p>
        </w:tc>
        <w:tc>
          <w:tcPr>
            <w:tcW w:w="6800" w:type="dxa"/>
            <w:vAlign w:val="bottom"/>
          </w:tcPr>
          <w:p>
            <w:pPr>
              <w:ind w:left="1100"/>
              <w:spacing w:after="0"/>
              <w:rPr>
                <w:sz w:val="20"/>
                <w:szCs w:val="20"/>
                <w:color w:val="auto"/>
              </w:rPr>
            </w:pPr>
            <w:r>
              <w:rPr>
                <w:rFonts w:ascii="Arial" w:cs="Arial" w:eastAsia="Arial" w:hAnsi="Arial"/>
                <w:sz w:val="18"/>
                <w:szCs w:val="18"/>
                <w:color w:val="auto"/>
              </w:rPr>
              <w:t>____________________________________________</w:t>
            </w:r>
          </w:p>
        </w:tc>
      </w:tr>
      <w:tr>
        <w:trPr>
          <w:trHeight w:val="230"/>
        </w:trPr>
        <w:tc>
          <w:tcPr>
            <w:tcW w:w="4620" w:type="dxa"/>
            <w:vAlign w:val="bottom"/>
          </w:tcPr>
          <w:p>
            <w:pPr>
              <w:spacing w:after="0"/>
              <w:rPr>
                <w:sz w:val="20"/>
                <w:szCs w:val="20"/>
                <w:color w:val="auto"/>
              </w:rPr>
            </w:pPr>
          </w:p>
        </w:tc>
        <w:tc>
          <w:tcPr>
            <w:tcW w:w="6800" w:type="dxa"/>
            <w:vAlign w:val="bottom"/>
          </w:tcPr>
          <w:p>
            <w:pPr>
              <w:ind w:left="1100"/>
              <w:spacing w:after="0"/>
              <w:rPr>
                <w:sz w:val="20"/>
                <w:szCs w:val="20"/>
                <w:color w:val="auto"/>
              </w:rPr>
            </w:pPr>
            <w:r>
              <w:rPr>
                <w:rFonts w:ascii="Arial" w:cs="Arial" w:eastAsia="Arial" w:hAnsi="Arial"/>
                <w:sz w:val="18"/>
                <w:szCs w:val="18"/>
                <w:color w:val="auto"/>
              </w:rPr>
              <w:t>(Please Print)</w:t>
            </w: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Address:</w:t>
            </w:r>
          </w:p>
        </w:tc>
        <w:tc>
          <w:tcPr>
            <w:tcW w:w="6800" w:type="dxa"/>
            <w:vAlign w:val="bottom"/>
          </w:tcPr>
          <w:p>
            <w:pPr>
              <w:ind w:left="1100"/>
              <w:spacing w:after="0"/>
              <w:rPr>
                <w:sz w:val="20"/>
                <w:szCs w:val="20"/>
                <w:color w:val="auto"/>
              </w:rPr>
            </w:pPr>
            <w:r>
              <w:rPr>
                <w:rFonts w:ascii="Arial" w:cs="Arial" w:eastAsia="Arial" w:hAnsi="Arial"/>
                <w:sz w:val="18"/>
                <w:szCs w:val="18"/>
                <w:color w:val="auto"/>
              </w:rPr>
              <w:t>____________________________________________</w:t>
            </w:r>
          </w:p>
        </w:tc>
      </w:tr>
      <w:tr>
        <w:trPr>
          <w:trHeight w:val="230"/>
        </w:trPr>
        <w:tc>
          <w:tcPr>
            <w:tcW w:w="4620" w:type="dxa"/>
            <w:vAlign w:val="bottom"/>
          </w:tcPr>
          <w:p>
            <w:pPr>
              <w:spacing w:after="0"/>
              <w:rPr>
                <w:sz w:val="20"/>
                <w:szCs w:val="20"/>
                <w:color w:val="auto"/>
              </w:rPr>
            </w:pPr>
          </w:p>
        </w:tc>
        <w:tc>
          <w:tcPr>
            <w:tcW w:w="6800" w:type="dxa"/>
            <w:vAlign w:val="bottom"/>
          </w:tcPr>
          <w:p>
            <w:pPr>
              <w:ind w:left="1100"/>
              <w:spacing w:after="0"/>
              <w:rPr>
                <w:sz w:val="20"/>
                <w:szCs w:val="20"/>
                <w:color w:val="auto"/>
              </w:rPr>
            </w:pPr>
            <w:r>
              <w:rPr>
                <w:rFonts w:ascii="Arial" w:cs="Arial" w:eastAsia="Arial" w:hAnsi="Arial"/>
                <w:sz w:val="18"/>
                <w:szCs w:val="18"/>
                <w:color w:val="auto"/>
              </w:rPr>
              <w:t>(Please Print)</w:t>
            </w:r>
          </w:p>
        </w:tc>
      </w:tr>
      <w:tr>
        <w:trPr>
          <w:trHeight w:val="432"/>
        </w:trPr>
        <w:tc>
          <w:tcPr>
            <w:tcW w:w="4620" w:type="dxa"/>
            <w:vAlign w:val="bottom"/>
          </w:tcPr>
          <w:p>
            <w:pPr>
              <w:spacing w:after="0"/>
              <w:rPr>
                <w:sz w:val="20"/>
                <w:szCs w:val="20"/>
                <w:color w:val="auto"/>
              </w:rPr>
            </w:pPr>
            <w:r>
              <w:rPr>
                <w:rFonts w:ascii="Arial" w:cs="Arial" w:eastAsia="Arial" w:hAnsi="Arial"/>
                <w:sz w:val="18"/>
                <w:szCs w:val="18"/>
                <w:color w:val="auto"/>
              </w:rPr>
              <w:t>Phone Number:</w:t>
            </w:r>
          </w:p>
        </w:tc>
        <w:tc>
          <w:tcPr>
            <w:tcW w:w="6800" w:type="dxa"/>
            <w:vAlign w:val="bottom"/>
          </w:tcPr>
          <w:p>
            <w:pPr>
              <w:ind w:left="1100"/>
              <w:spacing w:after="0"/>
              <w:rPr>
                <w:sz w:val="20"/>
                <w:szCs w:val="20"/>
                <w:color w:val="auto"/>
              </w:rPr>
            </w:pPr>
            <w:r>
              <w:rPr>
                <w:rFonts w:ascii="Arial" w:cs="Arial" w:eastAsia="Arial" w:hAnsi="Arial"/>
                <w:sz w:val="18"/>
                <w:szCs w:val="18"/>
                <w:color w:val="auto"/>
              </w:rPr>
              <w:t>____________________________________________</w:t>
            </w:r>
          </w:p>
        </w:tc>
      </w:tr>
      <w:tr>
        <w:trPr>
          <w:trHeight w:val="432"/>
        </w:trPr>
        <w:tc>
          <w:tcPr>
            <w:tcW w:w="4620" w:type="dxa"/>
            <w:vAlign w:val="bottom"/>
          </w:tcPr>
          <w:p>
            <w:pPr>
              <w:spacing w:after="0"/>
              <w:rPr>
                <w:sz w:val="20"/>
                <w:szCs w:val="20"/>
                <w:color w:val="auto"/>
              </w:rPr>
            </w:pPr>
            <w:r>
              <w:rPr>
                <w:rFonts w:ascii="Arial" w:cs="Arial" w:eastAsia="Arial" w:hAnsi="Arial"/>
                <w:sz w:val="18"/>
                <w:szCs w:val="18"/>
                <w:color w:val="auto"/>
              </w:rPr>
              <w:t>Email Address:</w:t>
            </w:r>
          </w:p>
        </w:tc>
        <w:tc>
          <w:tcPr>
            <w:tcW w:w="6800" w:type="dxa"/>
            <w:vAlign w:val="bottom"/>
          </w:tcPr>
          <w:p>
            <w:pPr>
              <w:ind w:left="1100"/>
              <w:spacing w:after="0"/>
              <w:rPr>
                <w:sz w:val="20"/>
                <w:szCs w:val="20"/>
                <w:color w:val="auto"/>
              </w:rPr>
            </w:pPr>
            <w:r>
              <w:rPr>
                <w:rFonts w:ascii="Arial" w:cs="Arial" w:eastAsia="Arial" w:hAnsi="Arial"/>
                <w:sz w:val="18"/>
                <w:szCs w:val="18"/>
                <w:color w:val="auto"/>
              </w:rPr>
              <w:t>____________________________________________</w:t>
            </w:r>
          </w:p>
        </w:tc>
      </w:tr>
      <w:tr>
        <w:trPr>
          <w:trHeight w:val="432"/>
        </w:trPr>
        <w:tc>
          <w:tcPr>
            <w:tcW w:w="4620" w:type="dxa"/>
            <w:vAlign w:val="bottom"/>
          </w:tcPr>
          <w:p>
            <w:pPr>
              <w:spacing w:after="0"/>
              <w:rPr>
                <w:sz w:val="20"/>
                <w:szCs w:val="20"/>
                <w:color w:val="auto"/>
              </w:rPr>
            </w:pPr>
            <w:r>
              <w:rPr>
                <w:rFonts w:ascii="Arial" w:cs="Arial" w:eastAsia="Arial" w:hAnsi="Arial"/>
                <w:sz w:val="18"/>
                <w:szCs w:val="18"/>
                <w:color w:val="auto"/>
              </w:rPr>
              <w:t>Dated: _______________ __, ______</w:t>
            </w:r>
          </w:p>
        </w:tc>
        <w:tc>
          <w:tcPr>
            <w:tcW w:w="6800" w:type="dxa"/>
            <w:vAlign w:val="bottom"/>
          </w:tcPr>
          <w:p>
            <w:pPr>
              <w:spacing w:after="0"/>
              <w:rPr>
                <w:sz w:val="24"/>
                <w:szCs w:val="24"/>
                <w:color w:val="auto"/>
              </w:rPr>
            </w:pPr>
          </w:p>
        </w:tc>
      </w:tr>
      <w:tr>
        <w:trPr>
          <w:trHeight w:val="432"/>
        </w:trPr>
        <w:tc>
          <w:tcPr>
            <w:tcW w:w="4620" w:type="dxa"/>
            <w:vAlign w:val="bottom"/>
          </w:tcPr>
          <w:p>
            <w:pPr>
              <w:spacing w:after="0"/>
              <w:rPr>
                <w:sz w:val="20"/>
                <w:szCs w:val="20"/>
                <w:color w:val="auto"/>
              </w:rPr>
            </w:pPr>
            <w:r>
              <w:rPr>
                <w:rFonts w:ascii="Arial" w:cs="Arial" w:eastAsia="Arial" w:hAnsi="Arial"/>
                <w:sz w:val="18"/>
                <w:szCs w:val="18"/>
                <w:color w:val="auto"/>
              </w:rPr>
              <w:t>Holder’s Signature: _______________________</w:t>
            </w:r>
          </w:p>
        </w:tc>
        <w:tc>
          <w:tcPr>
            <w:tcW w:w="6800" w:type="dxa"/>
            <w:vAlign w:val="bottom"/>
          </w:tcPr>
          <w:p>
            <w:pPr>
              <w:spacing w:after="0"/>
              <w:rPr>
                <w:sz w:val="24"/>
                <w:szCs w:val="24"/>
                <w:color w:val="auto"/>
              </w:rPr>
            </w:pPr>
          </w:p>
        </w:tc>
      </w:tr>
      <w:tr>
        <w:trPr>
          <w:trHeight w:val="432"/>
        </w:trPr>
        <w:tc>
          <w:tcPr>
            <w:tcW w:w="4620" w:type="dxa"/>
            <w:vAlign w:val="bottom"/>
          </w:tcPr>
          <w:p>
            <w:pPr>
              <w:spacing w:after="0"/>
              <w:rPr>
                <w:sz w:val="20"/>
                <w:szCs w:val="20"/>
                <w:color w:val="auto"/>
              </w:rPr>
            </w:pPr>
            <w:r>
              <w:rPr>
                <w:rFonts w:ascii="Arial" w:cs="Arial" w:eastAsia="Arial" w:hAnsi="Arial"/>
                <w:sz w:val="18"/>
                <w:szCs w:val="18"/>
                <w:color w:val="auto"/>
              </w:rPr>
              <w:t>Holder’s Address: _______________________</w:t>
            </w:r>
          </w:p>
        </w:tc>
        <w:tc>
          <w:tcPr>
            <w:tcW w:w="6800" w:type="dxa"/>
            <w:vAlign w:val="bottom"/>
          </w:tcPr>
          <w:p>
            <w:pPr>
              <w:spacing w:after="0"/>
              <w:rPr>
                <w:sz w:val="24"/>
                <w:szCs w:val="24"/>
                <w:color w:val="auto"/>
              </w:rPr>
            </w:pPr>
          </w:p>
        </w:tc>
      </w:tr>
      <w:tr>
        <w:trPr>
          <w:trHeight w:val="439"/>
        </w:trPr>
        <w:tc>
          <w:tcPr>
            <w:tcW w:w="462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45" w:name="page46"/>
    <w:bookmarkEnd w:id="4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One Financial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-121920</wp:posOffset>
            </wp:positionV>
            <wp:extent cx="771525" cy="9347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1525" cy="93472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Boston, MA 02111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617-542-6000</w:t>
      </w:r>
    </w:p>
    <w:p>
      <w:pPr>
        <w:spacing w:after="0" w:line="9" w:lineRule="exact"/>
        <w:rPr>
          <w:sz w:val="20"/>
          <w:szCs w:val="20"/>
          <w:color w:val="auto"/>
        </w:rPr>
      </w:pPr>
    </w:p>
    <w:p>
      <w:pPr>
        <w:ind w:left="10120"/>
        <w:spacing w:after="0"/>
        <w:rPr>
          <w:sz w:val="20"/>
          <w:szCs w:val="20"/>
          <w:color w:val="auto"/>
        </w:rPr>
      </w:pPr>
      <w:r>
        <w:rPr>
          <w:rFonts w:ascii="Arial" w:cs="Arial" w:eastAsia="Arial" w:hAnsi="Arial"/>
          <w:sz w:val="16"/>
          <w:szCs w:val="16"/>
          <w:color w:val="auto"/>
        </w:rPr>
        <w:t>617-542-2241 fax</w:t>
      </w:r>
    </w:p>
    <w:p>
      <w:pPr>
        <w:spacing w:after="0" w:line="32" w:lineRule="exact"/>
        <w:rPr>
          <w:sz w:val="20"/>
          <w:szCs w:val="20"/>
          <w:color w:val="auto"/>
        </w:rPr>
      </w:pPr>
    </w:p>
    <w:p>
      <w:pPr>
        <w:ind w:left="10240"/>
        <w:spacing w:after="0"/>
        <w:rPr>
          <w:sz w:val="20"/>
          <w:szCs w:val="20"/>
          <w:color w:val="auto"/>
        </w:rPr>
      </w:pPr>
      <w:r>
        <w:rPr>
          <w:rFonts w:ascii="Arial" w:cs="Arial" w:eastAsia="Arial" w:hAnsi="Arial"/>
          <w:sz w:val="16"/>
          <w:szCs w:val="16"/>
          <w:color w:val="auto"/>
        </w:rPr>
        <w:t>www.mintz.com</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January 15,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Microbot Medical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 Recreation Park Drive, Unit 108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Hingham, Massachusetts 02043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441"/>
        <w:spacing w:after="0" w:line="289" w:lineRule="auto"/>
        <w:rPr>
          <w:sz w:val="20"/>
          <w:szCs w:val="20"/>
          <w:color w:val="auto"/>
        </w:rPr>
      </w:pPr>
      <w:r>
        <w:rPr>
          <w:rFonts w:ascii="Arial" w:cs="Arial" w:eastAsia="Arial" w:hAnsi="Arial"/>
          <w:sz w:val="16"/>
          <w:szCs w:val="16"/>
          <w:color w:val="auto"/>
        </w:rPr>
        <w:t>We have acted as legal counsel to Microbot Medical Inc., a Delaware corporation (the “Company”), in connection with the preparation and filing with the Securities and Exchange Commission (the “Commission”) of a Prospectus Supplement, dated January 14, 2019 (the “Prospectus Supplement”), to a Registration Statement (File No.: 333-217076) on Form S-3 (the “Registration Statement”), filed by the Company with the Commission under the Securities Act of 1933, as amended (the “Securities Act”). The Prospectus Supplement relates to the issuance and sale of shares (the “Shares”) of the Company’s common stock, $0.01 par value per share (the “Common Stock”) and pre-funded warrants to purchase shares of Common Stock (the “Pre-Funded Warrant”) pursuant to a Securities Purchase Agreement, dated January 14, 2019, between the Company and the purchasers named therein (the “Purchase Agreement”). The Purchase Agreement will be filed as an exhibit to a Current Report on Form 8-K and incorporated by reference into the Registration Statement. This opinion is being rendered in connection with the filing of the Prospectus Supplement with the Commission. All capitalized terms used herein and not otherwise defined shall have the respective meanings given to them in the Purchase Agreement.</w:t>
      </w:r>
    </w:p>
    <w:p>
      <w:pPr>
        <w:spacing w:after="0" w:line="167"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7"/>
          <w:szCs w:val="17"/>
          <w:color w:val="auto"/>
        </w:rPr>
        <w:t>In connection with this opinion, we have examined originals or copies, certified or otherwise identified to our satisfaction, of (i) the Registration Statement, including the Prospectus Supplement, (ii) the Purchase Agreement, (iii) the form of Pre-Funded Warrant, (iv) the Restated Certificate of Incorporation of the Company, as amended, as currently in effect, (vi) the Amended and Restated Bylaws of the Company, as currently in effect, and (vii) certain resolutions adopted by the Board of Directors of the Company and committees thereof with respect to the Purchase Agreement and the issuance of the Shares, the Pre-Funded Warrants and the shares of Common Stock issuable upon the exercise of the Pre-Funded Warrants (the “Pre-Funded Warrant Shares”). We have also examined originals or copies, certified or otherwise identified to our satisfaction, of such records of the Company and such agreements, certificates of public officials, certificates of officers or other representatives of the Company and others, and such other documents, certificates and records, as we have deemed necessary or appropriate as a basis for the opinion set forth herein.</w:t>
      </w:r>
    </w:p>
    <w:p>
      <w:pPr>
        <w:spacing w:after="0" w:line="179"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In our examination, we have assumed the genuineness of all signatures, the legal capacity of natural persons, the authenticity of all documents submitted to us as originals, the conformity to original documents of all documents submitted to us as certified or photostatic copies and the authenticity of the originals of such copies. We have relied, without independent verification, on certificates of public officials and, as to matters of fact material to the opinions set forth below, on certificates of officers of the Company.</w:t>
      </w:r>
    </w:p>
    <w:p>
      <w:pPr>
        <w:spacing w:after="0" w:line="187"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Our opinion is limited to the General Corporation Law of the State of Delaware, and, as to the Pre-Funded Warrants constituting valid and legally binding obligations of the Company, the laws of the State of New York, and we express no opinion with respect to the laws of any other jurisdiction. No opinion is expressed herein with respect to the qualification of the Securities under the securities or blue sky laws of any state or any foreign jurisdiction.</w:t>
      </w:r>
    </w:p>
    <w:p>
      <w:pPr>
        <w:spacing w:after="0" w:line="166" w:lineRule="exact"/>
        <w:rPr>
          <w:sz w:val="20"/>
          <w:szCs w:val="20"/>
          <w:color w:val="auto"/>
        </w:rPr>
      </w:pPr>
    </w:p>
    <w:p>
      <w:pPr>
        <w:jc w:val="both"/>
        <w:ind w:right="20" w:firstLine="441"/>
        <w:spacing w:after="0" w:line="286" w:lineRule="auto"/>
        <w:rPr>
          <w:sz w:val="20"/>
          <w:szCs w:val="20"/>
          <w:color w:val="auto"/>
        </w:rPr>
      </w:pPr>
      <w:r>
        <w:rPr>
          <w:rFonts w:ascii="Arial" w:cs="Arial" w:eastAsia="Arial" w:hAnsi="Arial"/>
          <w:sz w:val="17"/>
          <w:szCs w:val="17"/>
          <w:color w:val="auto"/>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654685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114300</wp:posOffset>
            </wp:positionV>
            <wp:extent cx="5831840" cy="3689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31840" cy="36893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Based upon, subject to and limited by the foregoing, as of the date hereof, we are of the opinion that:</w:t>
      </w:r>
    </w:p>
    <w:p>
      <w:pPr>
        <w:spacing w:after="0" w:line="225" w:lineRule="exact"/>
        <w:rPr>
          <w:sz w:val="20"/>
          <w:szCs w:val="20"/>
          <w:color w:val="auto"/>
        </w:rPr>
      </w:pPr>
    </w:p>
    <w:p>
      <w:pPr>
        <w:ind w:right="20" w:firstLine="656"/>
        <w:spacing w:after="0" w:line="277" w:lineRule="auto"/>
        <w:tabs>
          <w:tab w:leader="none" w:pos="907"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Shares, when issued and sold in accordance with the Purchase Agreement and in the manner contemplated by the Registration Statement and the Prospectus Supplement, will be validly issued, fully paid and non-assessable;</w:t>
      </w:r>
    </w:p>
    <w:p>
      <w:pPr>
        <w:spacing w:after="0" w:line="170" w:lineRule="exact"/>
        <w:rPr>
          <w:rFonts w:ascii="Arial" w:cs="Arial" w:eastAsia="Arial" w:hAnsi="Arial"/>
          <w:sz w:val="18"/>
          <w:szCs w:val="18"/>
          <w:color w:val="auto"/>
        </w:rPr>
      </w:pPr>
    </w:p>
    <w:p>
      <w:pPr>
        <w:jc w:val="both"/>
        <w:ind w:firstLine="656"/>
        <w:spacing w:after="0" w:line="255" w:lineRule="auto"/>
        <w:tabs>
          <w:tab w:leader="none" w:pos="90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Pre-Funded Warrants, when issued and sold in accordance with the Purchase Agreement and in the manner contemplated by the Registration Statement and the Prospectus Supplement, will constitute valid and legally binding obligations of the Company, enforceable against the Company in accordance with their terms, except as may be limited by bankruptcy, insolvency, reorganization, fraudulent transfer, fraudulent conveyance, moratorium or other laws now or hereafter in effect relating to or affecting enforcement of creditors’ rights generally and by general principles of equity (including without limitation concepts of materiality, reasonableness, good faith and fair dealing), regardless of whether such enforcement is considered in a proceeding at law or in equity; and</w:t>
      </w:r>
    </w:p>
    <w:p>
      <w:pPr>
        <w:spacing w:after="0" w:line="193" w:lineRule="exact"/>
        <w:rPr>
          <w:rFonts w:ascii="Arial" w:cs="Arial" w:eastAsia="Arial" w:hAnsi="Arial"/>
          <w:sz w:val="18"/>
          <w:szCs w:val="18"/>
          <w:color w:val="auto"/>
        </w:rPr>
      </w:pPr>
    </w:p>
    <w:p>
      <w:pPr>
        <w:ind w:firstLine="656"/>
        <w:spacing w:after="0" w:line="277" w:lineRule="auto"/>
        <w:tabs>
          <w:tab w:leader="none" w:pos="931"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Pre-Funded Warrant Shares, upon the valid exercise and in accordance with the terms of the Pre-Funded Warrants and payment of the consideration required in connection therewith, will be validly issued, fully paid and non-assessable.</w:t>
      </w:r>
    </w:p>
    <w:p>
      <w:pPr>
        <w:spacing w:after="0" w:line="170" w:lineRule="exact"/>
        <w:rPr>
          <w:sz w:val="20"/>
          <w:szCs w:val="20"/>
          <w:color w:val="auto"/>
        </w:rPr>
      </w:pPr>
    </w:p>
    <w:p>
      <w:pPr>
        <w:jc w:val="both"/>
        <w:ind w:firstLine="441"/>
        <w:spacing w:after="0" w:line="302" w:lineRule="auto"/>
        <w:rPr>
          <w:sz w:val="20"/>
          <w:szCs w:val="20"/>
          <w:color w:val="auto"/>
        </w:rPr>
      </w:pPr>
      <w:r>
        <w:rPr>
          <w:rFonts w:ascii="Arial" w:cs="Arial" w:eastAsia="Arial" w:hAnsi="Arial"/>
          <w:sz w:val="16"/>
          <w:szCs w:val="16"/>
          <w:color w:val="auto"/>
        </w:rPr>
        <w:t>We understand that you wish to file this opinion with the Commission as an exhibit to a Current Report on Form 8-K and the Registration Statement in accordance with the requirements of Item 601(b)(5) of Regulation S-K promulgated under the Securities Act and to reference the firm’s name under the caption “Legal Matters” in the Prospectus Supplement, and we hereby consent thereto. In giving this consent, we do not admit that we are within the category of persons whose consent is required under Section 7 of the Securities Act or the rules and regulations of the Commission promulgated thereunder.</w:t>
      </w:r>
    </w:p>
    <w:p>
      <w:pPr>
        <w:spacing w:after="0" w:line="15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8" w:name="page49"/>
    <w:bookmarkEnd w:id="4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2489835</wp:posOffset>
            </wp:positionH>
            <wp:positionV relativeFrom="page">
              <wp:posOffset>226060</wp:posOffset>
            </wp:positionV>
            <wp:extent cx="2581275" cy="1631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2581275" cy="163195"/>
                    </a:xfrm>
                    <a:prstGeom prst="rect">
                      <a:avLst/>
                    </a:prstGeom>
                    <a:noFill/>
                  </pic:spPr>
                </pic:pic>
              </a:graphicData>
            </a:graphic>
          </wp:anchor>
        </w:drawing>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12,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STRICTLY CONFIDENTIAL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Microbot Medical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 Recreation Park Drive, Unit 108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Hingham, MA 02043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Attn: Harel Gadot, 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Gadot:</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This letter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constitutes the agreement between Microbot Medical Inc. (the “</w:t>
      </w:r>
      <w:r>
        <w:rPr>
          <w:rFonts w:ascii="Arial" w:cs="Arial" w:eastAsia="Arial" w:hAnsi="Arial"/>
          <w:sz w:val="17"/>
          <w:szCs w:val="17"/>
          <w:u w:val="single" w:color="auto"/>
          <w:color w:val="auto"/>
        </w:rPr>
        <w:t>Company</w:t>
      </w:r>
      <w:r>
        <w:rPr>
          <w:rFonts w:ascii="Arial" w:cs="Arial" w:eastAsia="Arial" w:hAnsi="Arial"/>
          <w:sz w:val="17"/>
          <w:szCs w:val="17"/>
          <w:color w:val="auto"/>
        </w:rPr>
        <w:t>”) and H.C. Wainwright &amp; Co., LLC (“</w:t>
      </w:r>
      <w:r>
        <w:rPr>
          <w:rFonts w:ascii="Arial" w:cs="Arial" w:eastAsia="Arial" w:hAnsi="Arial"/>
          <w:sz w:val="17"/>
          <w:szCs w:val="17"/>
          <w:u w:val="single" w:color="auto"/>
          <w:color w:val="auto"/>
        </w:rPr>
        <w:t>Wainwright</w:t>
      </w:r>
      <w:r>
        <w:rPr>
          <w:rFonts w:ascii="Arial" w:cs="Arial" w:eastAsia="Arial" w:hAnsi="Arial"/>
          <w:sz w:val="17"/>
          <w:szCs w:val="17"/>
          <w:color w:val="auto"/>
        </w:rPr>
        <w:t>”), that Wainwright shall serve as the exclusive agent, advisor or underwriter in an offering (the “</w:t>
      </w:r>
      <w:r>
        <w:rPr>
          <w:rFonts w:ascii="Arial" w:cs="Arial" w:eastAsia="Arial" w:hAnsi="Arial"/>
          <w:sz w:val="17"/>
          <w:szCs w:val="17"/>
          <w:u w:val="single" w:color="auto"/>
          <w:color w:val="auto"/>
        </w:rPr>
        <w:t>Offering</w:t>
      </w:r>
      <w:r>
        <w:rPr>
          <w:rFonts w:ascii="Arial" w:cs="Arial" w:eastAsia="Arial" w:hAnsi="Arial"/>
          <w:sz w:val="17"/>
          <w:szCs w:val="17"/>
          <w:color w:val="auto"/>
        </w:rPr>
        <w:t>”) of securities of the Company (the “</w:t>
      </w:r>
      <w:r>
        <w:rPr>
          <w:rFonts w:ascii="Arial" w:cs="Arial" w:eastAsia="Arial" w:hAnsi="Arial"/>
          <w:sz w:val="17"/>
          <w:szCs w:val="17"/>
          <w:u w:val="single" w:color="auto"/>
          <w:color w:val="auto"/>
        </w:rPr>
        <w:t>Securities</w:t>
      </w:r>
      <w:r>
        <w:rPr>
          <w:rFonts w:ascii="Arial" w:cs="Arial" w:eastAsia="Arial" w:hAnsi="Arial"/>
          <w:sz w:val="17"/>
          <w:szCs w:val="17"/>
          <w:color w:val="auto"/>
        </w:rPr>
        <w:t>”) during the Term (as hereinafter defined) of this Agreement. It is hereby acknowledged that it is anticipated that the amount to be raised in the Offering is expected to be up to approximately $20,000,000 and the Offering is expected to be conducted as underwritten Offering. The terms of the Offering and the Securities issued in connection therewith shall be mutually agreed upon by the Company and Wainwright and nothing herein implies that Wainwright would have the power or authority to bind the Company and nothing herein implies that the Company shall have an obligation to issue any Securities. It is understood that Wainwright’s assistance in an Offering will be subject to the satisfactory completion of such investigation and inquiry into the affairs of the Company as Wainwright deems appropriate under the circumstances and to the receipt of all internal approvals of Wainwright in connection with the transaction. The Company expressly acknowledges and agrees that Wainwright’s involvement in an Offering is strictly on a reasonable best efforts basis and that the consummation of an Offering will be subject to, among other things, market conditions. The execution of this Agreement does not constitute a commitment by Wainwright to purchase the Securities and does not ensure a successful Offering of the Securities or the success of Wainwright with respect to securing any other financing on behalf of the Company. Wainwright may retain other brokers, dealers, agents or underwriters on its behalf in connection with an Offering comprised of broker-dealers who are members of FINRA.</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Compensation; Reimbursement</w:t>
      </w:r>
      <w:r>
        <w:rPr>
          <w:rFonts w:ascii="Arial" w:cs="Arial" w:eastAsia="Arial" w:hAnsi="Arial"/>
          <w:sz w:val="17"/>
          <w:szCs w:val="17"/>
          <w:color w:val="auto"/>
        </w:rPr>
        <w:t>. At the closing of the Offering (the “</w:t>
      </w:r>
      <w:r>
        <w:rPr>
          <w:rFonts w:ascii="Arial" w:cs="Arial" w:eastAsia="Arial" w:hAnsi="Arial"/>
          <w:sz w:val="17"/>
          <w:szCs w:val="17"/>
          <w:u w:val="single" w:color="auto"/>
          <w:color w:val="auto"/>
        </w:rPr>
        <w:t>Closing</w:t>
      </w:r>
      <w:r>
        <w:rPr>
          <w:rFonts w:ascii="Arial" w:cs="Arial" w:eastAsia="Arial" w:hAnsi="Arial"/>
          <w:sz w:val="17"/>
          <w:szCs w:val="17"/>
          <w:color w:val="auto"/>
        </w:rPr>
        <w:t>”), the Company shall compensate Wainwright as follows:</w:t>
      </w:r>
    </w:p>
    <w:p>
      <w:pPr>
        <w:spacing w:after="0" w:line="237" w:lineRule="exact"/>
        <w:rPr>
          <w:sz w:val="20"/>
          <w:szCs w:val="20"/>
          <w:color w:val="auto"/>
        </w:rPr>
      </w:pPr>
    </w:p>
    <w:p>
      <w:pPr>
        <w:ind w:left="1300" w:right="20" w:hanging="320"/>
        <w:spacing w:after="0" w:line="342" w:lineRule="auto"/>
        <w:tabs>
          <w:tab w:leader="none" w:pos="1300"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Cash Fee</w:t>
      </w:r>
      <w:r>
        <w:rPr>
          <w:rFonts w:ascii="Arial" w:cs="Arial" w:eastAsia="Arial" w:hAnsi="Arial"/>
          <w:sz w:val="16"/>
          <w:szCs w:val="16"/>
          <w:color w:val="auto"/>
        </w:rPr>
        <w:t>. The Company shall pay to Wainwright a cash fee, or as to an underwritten Offering an underwriter discount, equal to 7.0% (or</w:t>
      </w:r>
      <w:r>
        <w:rPr>
          <w:rFonts w:ascii="Arial" w:cs="Arial" w:eastAsia="Arial" w:hAnsi="Arial"/>
          <w:sz w:val="16"/>
          <w:szCs w:val="16"/>
          <w:i w:val="1"/>
          <w:iCs w:val="1"/>
          <w:color w:val="auto"/>
        </w:rPr>
        <w:t xml:space="preserve"> </w:t>
      </w:r>
      <w:r>
        <w:rPr>
          <w:rFonts w:ascii="Arial" w:cs="Arial" w:eastAsia="Arial" w:hAnsi="Arial"/>
          <w:sz w:val="16"/>
          <w:szCs w:val="16"/>
          <w:color w:val="auto"/>
        </w:rPr>
        <w:t>3.5% in the event of investments from Existing Relationships (as defined below) of the aggregate gross proceeds raised in the Offering.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430 Park Avenue | New York, New York 10022 | 212.356.0500 | www.hcwco.com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Member: FINRA/SIPC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sectPr>
      </w:pPr>
    </w:p>
    <w:bookmarkStart w:id="50" w:name="page51"/>
    <w:bookmarkEnd w:id="50"/>
    <w:p>
      <w:pPr>
        <w:jc w:val="both"/>
        <w:ind w:left="320" w:hanging="320"/>
        <w:spacing w:after="0" w:line="268" w:lineRule="auto"/>
        <w:tabs>
          <w:tab w:leader="none" w:pos="320"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Warrant Coverage</w:t>
      </w:r>
      <w:r>
        <w:rPr>
          <w:rFonts w:ascii="Arial" w:cs="Arial" w:eastAsia="Arial" w:hAnsi="Arial"/>
          <w:sz w:val="17"/>
          <w:szCs w:val="17"/>
          <w:color w:val="auto"/>
        </w:rPr>
        <w:t>. The Company shall issue to Wainwright or its designees at each Closing, warrants (the “</w:t>
      </w:r>
      <w:r>
        <w:rPr>
          <w:rFonts w:ascii="Arial" w:cs="Arial" w:eastAsia="Arial" w:hAnsi="Arial"/>
          <w:sz w:val="17"/>
          <w:szCs w:val="17"/>
          <w:u w:val="single" w:color="auto"/>
          <w:color w:val="auto"/>
        </w:rPr>
        <w:t>Wainwright Warrants</w:t>
      </w:r>
      <w:r>
        <w:rPr>
          <w:rFonts w:ascii="Arial" w:cs="Arial" w:eastAsia="Arial" w:hAnsi="Arial"/>
          <w:sz w:val="17"/>
          <w:szCs w:val="17"/>
          <w:color w:val="auto"/>
        </w:rPr>
        <w:t>”) to</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that number of shares of common stock of the Company equal to 5.0% of the aggregate number of shares of common stock placed in each Offering (and if an Offering includes a “greenshoe” or “additional investment” option component, such number of shares of common stock underlying such additional option component, with the Wainwright Warrants issuable upon the exercise of such option). If the Securities included in an Offering are convertible, the Wainwright Warrants shall be determined by dividing the gross proceeds raised in such Offering by the Offering Price (as defined hereunder). The Wainwright Warrants shall have the same terms as the warrants issued to investors in the applicable Offering, except that such Wainwright Warrants shall have an exercise price equal to 125% of the offering price per share (or unit, if applicable) in the applicable Offering and if such offering price is not available, the market price of the common stock on the date an Offering is commenced (such price, the “</w:t>
      </w:r>
      <w:r>
        <w:rPr>
          <w:rFonts w:ascii="Arial" w:cs="Arial" w:eastAsia="Arial" w:hAnsi="Arial"/>
          <w:sz w:val="17"/>
          <w:szCs w:val="17"/>
          <w:u w:val="single" w:color="auto"/>
          <w:color w:val="auto"/>
        </w:rPr>
        <w:t>Offering Price</w:t>
      </w:r>
      <w:r>
        <w:rPr>
          <w:rFonts w:ascii="Arial" w:cs="Arial" w:eastAsia="Arial" w:hAnsi="Arial"/>
          <w:sz w:val="17"/>
          <w:szCs w:val="17"/>
          <w:color w:val="auto"/>
        </w:rPr>
        <w:t>”). If no warrants are issued to investors in an Offering, the Wainwright Warrants shall be in a customary form reasonably acceptable to Wainwright and the Company, be exercisable from the 6-month anniversary of the issuance date for a term of three and one-half (3.5) years and at an exercise price equal to 125% of the Offering Price, shall not have any price-based anti-dilution protection, and neither the Wainwright Warrants or the shares underlying them shall be subject to registration except in the sole discretion of the Company.</w:t>
      </w:r>
    </w:p>
    <w:p>
      <w:pPr>
        <w:spacing w:after="0" w:line="187" w:lineRule="exact"/>
        <w:rPr>
          <w:rFonts w:ascii="Arial" w:cs="Arial" w:eastAsia="Arial" w:hAnsi="Arial"/>
          <w:sz w:val="17"/>
          <w:szCs w:val="17"/>
          <w:color w:val="auto"/>
        </w:rPr>
      </w:pPr>
    </w:p>
    <w:p>
      <w:pPr>
        <w:jc w:val="both"/>
        <w:ind w:left="320" w:hanging="320"/>
        <w:spacing w:after="0" w:line="254" w:lineRule="auto"/>
        <w:tabs>
          <w:tab w:leader="none" w:pos="32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Expense Allowance</w:t>
      </w:r>
      <w:r>
        <w:rPr>
          <w:rFonts w:ascii="Arial" w:cs="Arial" w:eastAsia="Arial" w:hAnsi="Arial"/>
          <w:sz w:val="18"/>
          <w:szCs w:val="18"/>
          <w:color w:val="auto"/>
        </w:rPr>
        <w:t>. Out of the proceeds of the Closing, the Company also agrees to pay Wainwright (a) a management fee equal to 1.0% of</w:t>
      </w:r>
      <w:r>
        <w:rPr>
          <w:rFonts w:ascii="Arial" w:cs="Arial" w:eastAsia="Arial" w:hAnsi="Arial"/>
          <w:sz w:val="18"/>
          <w:szCs w:val="18"/>
          <w:i w:val="1"/>
          <w:iCs w:val="1"/>
          <w:color w:val="auto"/>
        </w:rPr>
        <w:t xml:space="preserve"> </w:t>
      </w:r>
      <w:r>
        <w:rPr>
          <w:rFonts w:ascii="Arial" w:cs="Arial" w:eastAsia="Arial" w:hAnsi="Arial"/>
          <w:sz w:val="18"/>
          <w:szCs w:val="18"/>
          <w:color w:val="auto"/>
        </w:rPr>
        <w:t>the gross proceeds raised in each Offering; (b) $35,000 for non-accountable expenses;(c) up to $125,000 for fees and expenses of legal counsel; plus the additional reimbursable amount payable by the Company pursuant to Paragraph D.3 hereunder; provided, however, that such reimbursement amount in no way limits or impairs the indemnification and contribution provisions of this Agreement. Upon the execution of this Agreement, the Company shall advance Wainwright the sum of $35,000 against fees and expenses of legal counsel anticipated to be incurred, subject to reimbursement by Wainwright to the Company if not actually incurred, in accordance with FINRA Rule 5110(f)(2)(C) and (f)(2)(D). Such sum shall be credited against the legal fees and expenses incurred by Wainwright in the case of a completed Offering.</w:t>
      </w:r>
    </w:p>
    <w:p>
      <w:pPr>
        <w:spacing w:after="0" w:line="192" w:lineRule="exact"/>
        <w:rPr>
          <w:rFonts w:ascii="Arial" w:cs="Arial" w:eastAsia="Arial" w:hAnsi="Arial"/>
          <w:sz w:val="18"/>
          <w:szCs w:val="18"/>
          <w:color w:val="auto"/>
        </w:rPr>
      </w:pPr>
    </w:p>
    <w:p>
      <w:pPr>
        <w:jc w:val="both"/>
        <w:ind w:left="320" w:hanging="320"/>
        <w:spacing w:after="0" w:line="257" w:lineRule="auto"/>
        <w:tabs>
          <w:tab w:leader="none" w:pos="32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Tail</w:t>
      </w:r>
      <w:r>
        <w:rPr>
          <w:rFonts w:ascii="Arial" w:cs="Arial" w:eastAsia="Arial" w:hAnsi="Arial"/>
          <w:sz w:val="18"/>
          <w:szCs w:val="18"/>
          <w:color w:val="auto"/>
        </w:rPr>
        <w:t>. Wainwright shall be entitled to compensation under clauses (1) and (2) hereunder, calculated in the manner set forth therein,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any public or private offering or other financing or capital-raising transaction of any kind (“</w:t>
      </w:r>
      <w:r>
        <w:rPr>
          <w:rFonts w:ascii="Arial" w:cs="Arial" w:eastAsia="Arial" w:hAnsi="Arial"/>
          <w:sz w:val="18"/>
          <w:szCs w:val="18"/>
          <w:u w:val="single" w:color="auto"/>
          <w:color w:val="auto"/>
        </w:rPr>
        <w:t>Tail Financing</w:t>
      </w:r>
      <w:r>
        <w:rPr>
          <w:rFonts w:ascii="Arial" w:cs="Arial" w:eastAsia="Arial" w:hAnsi="Arial"/>
          <w:sz w:val="18"/>
          <w:szCs w:val="18"/>
          <w:color w:val="auto"/>
        </w:rPr>
        <w:t>”) to the extent that such financing or capital is provided to the Company by investors whom Wainwright had contacted during the Term or introduced to the Company during the Term (other than Existing Relationships), if such Tail Financing is consummated at any time within the 6-month period following the expiration or termination of this Agreement.</w:t>
      </w:r>
    </w:p>
    <w:p>
      <w:pPr>
        <w:spacing w:after="0" w:line="188" w:lineRule="exact"/>
        <w:rPr>
          <w:rFonts w:ascii="Arial" w:cs="Arial" w:eastAsia="Arial" w:hAnsi="Arial"/>
          <w:sz w:val="18"/>
          <w:szCs w:val="18"/>
          <w:color w:val="auto"/>
        </w:rPr>
      </w:pPr>
    </w:p>
    <w:p>
      <w:pPr>
        <w:jc w:val="both"/>
        <w:ind w:left="320" w:hanging="320"/>
        <w:spacing w:after="0" w:line="293" w:lineRule="auto"/>
        <w:tabs>
          <w:tab w:leader="none" w:pos="32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Right of First Refusal</w:t>
      </w:r>
      <w:r>
        <w:rPr>
          <w:rFonts w:ascii="Arial" w:cs="Arial" w:eastAsia="Arial" w:hAnsi="Arial"/>
          <w:sz w:val="16"/>
          <w:szCs w:val="16"/>
          <w:color w:val="auto"/>
        </w:rPr>
        <w:t>. If, from the date hereof until the 12-month anniversary following consummation of the Offering, the Company or any</w:t>
      </w:r>
      <w:r>
        <w:rPr>
          <w:rFonts w:ascii="Arial" w:cs="Arial" w:eastAsia="Arial" w:hAnsi="Arial"/>
          <w:sz w:val="16"/>
          <w:szCs w:val="16"/>
          <w:i w:val="1"/>
          <w:iCs w:val="1"/>
          <w:color w:val="auto"/>
        </w:rPr>
        <w:t xml:space="preserve"> </w:t>
      </w:r>
      <w:r>
        <w:rPr>
          <w:rFonts w:ascii="Arial" w:cs="Arial" w:eastAsia="Arial" w:hAnsi="Arial"/>
          <w:sz w:val="16"/>
          <w:szCs w:val="16"/>
          <w:color w:val="auto"/>
        </w:rPr>
        <w:t>of its subsidiaries decides to raise funds by means of a public offering or a private placement of equity or debt securities using an underwriter or placement agent, Wainwright (or any affiliate designated by Wainwright) shall have the right to act as sole book-running manager, sole underwriter or sole placement agent for such financing. If Wainwright or one of its affiliates decides to accept any such engagement, the agreement governing such engagement will contain, among other things, provisions for customary fees for transactions of similar size and nature and the provisions of this Agreement, including indemnification, which are appropriate to such a transaction.</w:t>
      </w:r>
    </w:p>
    <w:p>
      <w:pPr>
        <w:spacing w:after="0" w:line="16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440"/>
          </w:cols>
          <w:pgMar w:left="1220" w:top="665" w:right="239" w:bottom="1440" w:gutter="0" w:footer="0" w:header="0"/>
        </w:sectPr>
      </w:pPr>
    </w:p>
    <w:bookmarkStart w:id="51" w:name="page52"/>
    <w:bookmarkEnd w:id="51"/>
    <w:p>
      <w:pPr>
        <w:ind w:left="652"/>
        <w:spacing w:after="0"/>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Term and Termination of Engagement; Exclusivity</w:t>
      </w:r>
      <w:r>
        <w:rPr>
          <w:rFonts w:ascii="Arial" w:cs="Arial" w:eastAsia="Arial" w:hAnsi="Arial"/>
          <w:sz w:val="16"/>
          <w:szCs w:val="16"/>
          <w:color w:val="auto"/>
        </w:rPr>
        <w:t>. The term of Wainwright’s exclusive engagement will begin on the date hereof and end four</w:t>
      </w:r>
    </w:p>
    <w:p>
      <w:pPr>
        <w:spacing w:after="0" w:line="46" w:lineRule="exact"/>
        <w:rPr>
          <w:sz w:val="20"/>
          <w:szCs w:val="20"/>
          <w:color w:val="auto"/>
        </w:rPr>
      </w:pPr>
    </w:p>
    <w:p>
      <w:pPr>
        <w:jc w:val="both"/>
        <w:ind w:left="-8" w:firstLine="8"/>
        <w:spacing w:after="0" w:line="285" w:lineRule="auto"/>
        <w:tabs>
          <w:tab w:leader="none" w:pos="277" w:val="left"/>
        </w:tabs>
        <w:numPr>
          <w:ilvl w:val="0"/>
          <w:numId w:val="48"/>
        </w:numPr>
        <w:rPr>
          <w:rFonts w:ascii="Arial" w:cs="Arial" w:eastAsia="Arial" w:hAnsi="Arial"/>
          <w:sz w:val="16"/>
          <w:szCs w:val="16"/>
          <w:color w:val="auto"/>
        </w:rPr>
      </w:pPr>
      <w:r>
        <w:rPr>
          <w:rFonts w:ascii="Arial" w:cs="Arial" w:eastAsia="Arial" w:hAnsi="Arial"/>
          <w:sz w:val="16"/>
          <w:szCs w:val="16"/>
          <w:color w:val="auto"/>
        </w:rPr>
        <w:t>months thereafter (the “</w:t>
      </w:r>
      <w:r>
        <w:rPr>
          <w:rFonts w:ascii="Arial" w:cs="Arial" w:eastAsia="Arial" w:hAnsi="Arial"/>
          <w:sz w:val="16"/>
          <w:szCs w:val="16"/>
          <w:u w:val="single" w:color="auto"/>
          <w:color w:val="auto"/>
        </w:rPr>
        <w:t>Term</w:t>
      </w:r>
      <w:r>
        <w:rPr>
          <w:rFonts w:ascii="Arial" w:cs="Arial" w:eastAsia="Arial" w:hAnsi="Arial"/>
          <w:sz w:val="16"/>
          <w:szCs w:val="16"/>
          <w:color w:val="auto"/>
        </w:rPr>
        <w:t>”). Notwithstanding anything to the contrary contained herein, the Company agrees that the provisions relating to the payment of fees, reimbursement of expenses, right of first refusal, tail, indemnification and contribution, confidentiality, conflicts, independent contractor and waiver of the right to trial by jury will survive any termination or expiration of this Agreement in accordance with their respective terms. Notwithstanding anything to the contrary contained herein, the Company has the right to terminate the Agreement for cause in compliance with FINRA Rule 5110(f)(2)(D)(ii). The exercise of such right of termination for cause eliminates the Company’s obligations with respect to the provisions relating to the tail fees and right of first refusal. During Wainwright’s engagement hereunder: (i) the Company will not, and will not permit its representatives to, other than in coordination with Wainwright or with respect to the potential investors set forth on Schedule A hereto, which potential investors have a pre-existing substantive relationship with the Company (the “</w:t>
      </w:r>
      <w:r>
        <w:rPr>
          <w:rFonts w:ascii="Arial" w:cs="Arial" w:eastAsia="Arial" w:hAnsi="Arial"/>
          <w:sz w:val="16"/>
          <w:szCs w:val="16"/>
          <w:u w:val="single" w:color="auto"/>
          <w:color w:val="auto"/>
        </w:rPr>
        <w:t>Existing Relationships</w:t>
      </w:r>
      <w:r>
        <w:rPr>
          <w:rFonts w:ascii="Arial" w:cs="Arial" w:eastAsia="Arial" w:hAnsi="Arial"/>
          <w:sz w:val="16"/>
          <w:szCs w:val="16"/>
          <w:color w:val="auto"/>
        </w:rPr>
        <w:t>”), contact or solicit institutions, corporations or other entities or individuals as potential purchasers of the Securities and (ii) the Company will not pursue any financing transaction which would be in lieu of an Offering. Furthermore, the Company agrees that during Wainwright’s engagement hereunder, all inquiries, whether direct or indirect, from prospective investors will be referred to Wainwright and will be deemed to have been contacted by Wainwright in connection with an Offering; provided that investments in the Offering by any of the Existing Relationships shall be subject to a reduced cash fee pursuant to Paragraph A.1. above. Additionally, except as set forth hereunder, the Company represents, warrants and covenants that no brokerage or finder’s fees or commissions are or will be payable by the Company or any subsidiary of the Company to any broker, financial advisor or consultant, finder, placement agent, investment banker, bank or other third-party with respect to any Offering.</w:t>
      </w:r>
    </w:p>
    <w:p>
      <w:pPr>
        <w:spacing w:after="0" w:line="168" w:lineRule="exact"/>
        <w:rPr>
          <w:rFonts w:ascii="Arial" w:cs="Arial" w:eastAsia="Arial" w:hAnsi="Arial"/>
          <w:sz w:val="16"/>
          <w:szCs w:val="16"/>
          <w:color w:val="auto"/>
        </w:rPr>
      </w:pPr>
    </w:p>
    <w:p>
      <w:pPr>
        <w:jc w:val="both"/>
        <w:ind w:left="-8" w:firstLine="656"/>
        <w:spacing w:after="0" w:line="268" w:lineRule="auto"/>
        <w:tabs>
          <w:tab w:leader="none" w:pos="864" w:val="left"/>
        </w:tabs>
        <w:numPr>
          <w:ilvl w:val="1"/>
          <w:numId w:val="48"/>
        </w:numPr>
        <w:rPr>
          <w:rFonts w:ascii="Arial" w:cs="Arial" w:eastAsia="Arial" w:hAnsi="Arial"/>
          <w:sz w:val="17"/>
          <w:szCs w:val="17"/>
          <w:color w:val="auto"/>
        </w:rPr>
      </w:pPr>
      <w:r>
        <w:rPr>
          <w:rFonts w:ascii="Arial" w:cs="Arial" w:eastAsia="Arial" w:hAnsi="Arial"/>
          <w:sz w:val="17"/>
          <w:szCs w:val="17"/>
          <w:u w:val="single" w:color="auto"/>
          <w:color w:val="auto"/>
        </w:rPr>
        <w:t>Information; Reliance</w:t>
      </w:r>
      <w:r>
        <w:rPr>
          <w:rFonts w:ascii="Arial" w:cs="Arial" w:eastAsia="Arial" w:hAnsi="Arial"/>
          <w:sz w:val="17"/>
          <w:szCs w:val="17"/>
          <w:color w:val="auto"/>
        </w:rPr>
        <w:t>. The Company shall furnish, or cause to be furnished, to Wainwright all information requested by Wainwright for the purpose of rendering services hereunder and conducting due diligence (all such information being the “</w:t>
      </w:r>
      <w:r>
        <w:rPr>
          <w:rFonts w:ascii="Arial" w:cs="Arial" w:eastAsia="Arial" w:hAnsi="Arial"/>
          <w:sz w:val="17"/>
          <w:szCs w:val="17"/>
          <w:u w:val="single" w:color="auto"/>
          <w:color w:val="auto"/>
        </w:rPr>
        <w:t>Information</w:t>
      </w:r>
      <w:r>
        <w:rPr>
          <w:rFonts w:ascii="Arial" w:cs="Arial" w:eastAsia="Arial" w:hAnsi="Arial"/>
          <w:sz w:val="17"/>
          <w:szCs w:val="17"/>
          <w:color w:val="auto"/>
        </w:rPr>
        <w:t>”). In addition, the Company agrees to make available to Wainwright upon request from time to time the officers, directors, accountants, counsel and other advisors of the Company. The Company recognizes and confirms that Wainwright (a) will use and rely on the Information, including any documents provided to investors in the Offering (the “</w:t>
      </w:r>
      <w:r>
        <w:rPr>
          <w:rFonts w:ascii="Arial" w:cs="Arial" w:eastAsia="Arial" w:hAnsi="Arial"/>
          <w:sz w:val="17"/>
          <w:szCs w:val="17"/>
          <w:u w:val="single" w:color="auto"/>
          <w:color w:val="auto"/>
        </w:rPr>
        <w:t>Offering Documents</w:t>
      </w:r>
      <w:r>
        <w:rPr>
          <w:rFonts w:ascii="Arial" w:cs="Arial" w:eastAsia="Arial" w:hAnsi="Arial"/>
          <w:sz w:val="17"/>
          <w:szCs w:val="17"/>
          <w:color w:val="auto"/>
        </w:rPr>
        <w:t>”) which shall include any Purchase Agreement (as defined hereunder), and on information available from generally recognized public sources in performing the services contemplated by this Agreement without having independently verified the same; (b) does not assume responsibility for the accuracy or completeness of the Offering Documents or the Information and such other information; and (c) will not make an appraisal of any of the assets or liabilities of the Company. Upon reasonable request, the Company will meet with Wainwright or its representatives to discuss all information relevant for disclosure in the Offering Documents and will cooperate in any investigation undertaken by Wainwright thereof, including any document included or incorporated by reference therein. For the Offering, at the request of Wainwright, the Company shall deliver such legal letters (including, without limitation, negative assurance letters), opinions, comfort letters, officers’ and secretary certificates and good standing certificates, all in form and substance satisfactory to Wainwright and its counsel as is customary for such Offering. Wainwright shall be a third party beneficiary of any representations, warranties, covenants and closing conditions made by the Company in any Offering Documents, including representations, warranties, covenants and closing conditions made to any investor in an Offering.</w:t>
      </w:r>
    </w:p>
    <w:p>
      <w:pPr>
        <w:spacing w:after="0" w:line="18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665"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Related Agreements</w:t>
      </w:r>
      <w:r>
        <w:rPr>
          <w:rFonts w:ascii="Arial" w:cs="Arial" w:eastAsia="Arial" w:hAnsi="Arial"/>
          <w:sz w:val="18"/>
          <w:szCs w:val="18"/>
          <w:color w:val="auto"/>
        </w:rPr>
        <w:t>. For the Offering, the Company shall enter into the following additional agreements:</w:t>
      </w:r>
    </w:p>
    <w:p>
      <w:pPr>
        <w:spacing w:after="0" w:line="225" w:lineRule="exact"/>
        <w:rPr>
          <w:sz w:val="20"/>
          <w:szCs w:val="20"/>
          <w:color w:val="auto"/>
        </w:rPr>
      </w:pPr>
    </w:p>
    <w:p>
      <w:pPr>
        <w:ind w:left="640" w:hanging="320"/>
        <w:spacing w:after="0" w:line="277" w:lineRule="auto"/>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Underwritten Offering</w:t>
      </w:r>
      <w:r>
        <w:rPr>
          <w:rFonts w:ascii="Arial" w:cs="Arial" w:eastAsia="Arial" w:hAnsi="Arial"/>
          <w:sz w:val="18"/>
          <w:szCs w:val="18"/>
          <w:color w:val="auto"/>
        </w:rPr>
        <w:t>. If an Offering is an underwritten Offering, the Company and Wainwright shall enter into a customary underwriting</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in form and substance satisfactory to Wainwright and its counsel.</w:t>
      </w:r>
    </w:p>
    <w:p>
      <w:pPr>
        <w:spacing w:after="0" w:line="170" w:lineRule="exact"/>
        <w:rPr>
          <w:rFonts w:ascii="Arial" w:cs="Arial" w:eastAsia="Arial" w:hAnsi="Arial"/>
          <w:sz w:val="18"/>
          <w:szCs w:val="18"/>
          <w:color w:val="auto"/>
        </w:rPr>
      </w:pPr>
    </w:p>
    <w:p>
      <w:pPr>
        <w:jc w:val="both"/>
        <w:ind w:left="640" w:hanging="320"/>
        <w:spacing w:after="0" w:line="257" w:lineRule="auto"/>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Best Efforts Offering</w:t>
      </w:r>
      <w:r>
        <w:rPr>
          <w:rFonts w:ascii="Arial" w:cs="Arial" w:eastAsia="Arial" w:hAnsi="Arial"/>
          <w:sz w:val="18"/>
          <w:szCs w:val="18"/>
          <w:color w:val="auto"/>
        </w:rPr>
        <w:t>. If an Offering is on a best efforts basis, the sale of Securities to the investors in the Offering will be evidenced by a</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agreement (“</w:t>
      </w:r>
      <w:r>
        <w:rPr>
          <w:rFonts w:ascii="Arial" w:cs="Arial" w:eastAsia="Arial" w:hAnsi="Arial"/>
          <w:sz w:val="18"/>
          <w:szCs w:val="18"/>
          <w:u w:val="single" w:color="auto"/>
          <w:color w:val="auto"/>
        </w:rPr>
        <w:t>Purchase Agreement</w:t>
      </w:r>
      <w:r>
        <w:rPr>
          <w:rFonts w:ascii="Arial" w:cs="Arial" w:eastAsia="Arial" w:hAnsi="Arial"/>
          <w:sz w:val="18"/>
          <w:szCs w:val="18"/>
          <w:color w:val="auto"/>
        </w:rPr>
        <w:t>”) between the Company and such investors in a form reasonably satisfactory to the Company and Wainwright. Wainwright shall be a third party beneficiary with respect to the representations and warranties included in the Purchase Agreement. Prior to the signing of any Purchase Agreement, officers of the Company with responsibility for financial affairs will be available to answer inquiries from prospective investors.</w:t>
      </w:r>
    </w:p>
    <w:p>
      <w:pPr>
        <w:spacing w:after="0" w:line="188" w:lineRule="exact"/>
        <w:rPr>
          <w:rFonts w:ascii="Arial" w:cs="Arial" w:eastAsia="Arial" w:hAnsi="Arial"/>
          <w:sz w:val="18"/>
          <w:szCs w:val="18"/>
          <w:color w:val="auto"/>
        </w:rPr>
      </w:pPr>
    </w:p>
    <w:p>
      <w:pPr>
        <w:jc w:val="both"/>
        <w:ind w:left="640" w:hanging="320"/>
        <w:spacing w:after="0" w:line="255" w:lineRule="auto"/>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Escrow and Settlement</w:t>
      </w:r>
      <w:r>
        <w:rPr>
          <w:rFonts w:ascii="Arial" w:cs="Arial" w:eastAsia="Arial" w:hAnsi="Arial"/>
          <w:sz w:val="18"/>
          <w:szCs w:val="18"/>
          <w:color w:val="auto"/>
        </w:rPr>
        <w:t>. In respect of the Offering, the Company and Wainwright shall enter into an escrow agreement with a third party</w:t>
      </w:r>
      <w:r>
        <w:rPr>
          <w:rFonts w:ascii="Arial" w:cs="Arial" w:eastAsia="Arial" w:hAnsi="Arial"/>
          <w:sz w:val="18"/>
          <w:szCs w:val="18"/>
          <w:i w:val="1"/>
          <w:iCs w:val="1"/>
          <w:color w:val="auto"/>
        </w:rPr>
        <w:t xml:space="preserve"> </w:t>
      </w:r>
      <w:r>
        <w:rPr>
          <w:rFonts w:ascii="Arial" w:cs="Arial" w:eastAsia="Arial" w:hAnsi="Arial"/>
          <w:sz w:val="18"/>
          <w:szCs w:val="18"/>
          <w:color w:val="auto"/>
        </w:rPr>
        <w:t>escrow agent, which may also be Wainwright’s clearing agent, pursuant to which Wainwright’s compensation and expenses shall be paid from the gross proceeds of the Securities sold. If the Offering is settled in whole or in part via delivery versus payment, Wainwright shall arrange for its clearing agent to provide the funds to facilitate such settlement. The Company shall bear the cost of the escrow agent and shall reimburse Wainwright for the actual out-of-pocket cost of such clearing agent settlement and financing, if any, which cost shall not exceed $10,000.</w:t>
      </w:r>
    </w:p>
    <w:p>
      <w:pPr>
        <w:spacing w:after="0" w:line="193" w:lineRule="exact"/>
        <w:rPr>
          <w:rFonts w:ascii="Arial" w:cs="Arial" w:eastAsia="Arial" w:hAnsi="Arial"/>
          <w:sz w:val="18"/>
          <w:szCs w:val="18"/>
          <w:color w:val="auto"/>
        </w:rPr>
      </w:pPr>
    </w:p>
    <w:p>
      <w:pPr>
        <w:jc w:val="both"/>
        <w:ind w:left="640" w:hanging="320"/>
        <w:spacing w:after="0" w:line="257" w:lineRule="auto"/>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FINRA Amendments</w:t>
      </w:r>
      <w:r>
        <w:rPr>
          <w:rFonts w:ascii="Arial" w:cs="Arial" w:eastAsia="Arial" w:hAnsi="Arial"/>
          <w:sz w:val="18"/>
          <w:szCs w:val="18"/>
          <w:color w:val="auto"/>
        </w:rPr>
        <w:t>. Notwithstanding anything herein to the contrary, in the event that Wainwright determines that any of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for hereunder shall not comply with a FINRA rule, including but not limited to FINRA Rule 5110, then the Company shall agree to amend this Agreement (or include such revisions in the final underwriting agreement) in writing upon the request of Wainwright to comply with any such rules; provided that any such amendments shall not provide for terms that are less favorable to the Company than are reflected in this Agreement.</w:t>
      </w:r>
    </w:p>
    <w:p>
      <w:pPr>
        <w:spacing w:after="0" w:line="188"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5" w:right="239" w:bottom="1440" w:gutter="0" w:footer="0" w:header="0"/>
        </w:sectPr>
      </w:pPr>
    </w:p>
    <w:bookmarkStart w:id="53" w:name="page54"/>
    <w:bookmarkEnd w:id="53"/>
    <w:p>
      <w:pPr>
        <w:jc w:val="both"/>
        <w:ind w:firstLine="648"/>
        <w:spacing w:after="0" w:line="264"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Confidentiality</w:t>
      </w:r>
      <w:r>
        <w:rPr>
          <w:rFonts w:ascii="Arial" w:cs="Arial" w:eastAsia="Arial" w:hAnsi="Arial"/>
          <w:sz w:val="18"/>
          <w:szCs w:val="18"/>
          <w:color w:val="auto"/>
        </w:rPr>
        <w:t>. In the event of the consummation or public announcement of any Offering, Wainwright shall have the right to disclose its participation in such Offering, including, without limitation, the Offering at its cost of “tombstone” advertisements in financial and other newspapers and journals.</w:t>
      </w:r>
    </w:p>
    <w:p>
      <w:pPr>
        <w:spacing w:after="0" w:line="181" w:lineRule="exact"/>
        <w:rPr>
          <w:sz w:val="20"/>
          <w:szCs w:val="20"/>
          <w:color w:val="auto"/>
        </w:rPr>
      </w:pPr>
    </w:p>
    <w:p>
      <w:pPr>
        <w:ind w:left="840" w:hanging="184"/>
        <w:spacing w:after="0"/>
        <w:tabs>
          <w:tab w:leader="none" w:pos="84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Indemnity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hanging="320"/>
        <w:spacing w:after="0" w:line="268" w:lineRule="auto"/>
        <w:tabs>
          <w:tab w:leader="none" w:pos="1300" w:val="left"/>
        </w:tabs>
        <w:numPr>
          <w:ilvl w:val="1"/>
          <w:numId w:val="50"/>
        </w:numPr>
        <w:rPr>
          <w:rFonts w:ascii="Arial" w:cs="Arial" w:eastAsia="Arial" w:hAnsi="Arial"/>
          <w:sz w:val="17"/>
          <w:szCs w:val="17"/>
          <w:color w:val="auto"/>
        </w:rPr>
      </w:pPr>
      <w:r>
        <w:rPr>
          <w:rFonts w:ascii="Arial" w:cs="Arial" w:eastAsia="Arial" w:hAnsi="Arial"/>
          <w:sz w:val="17"/>
          <w:szCs w:val="17"/>
          <w:color w:val="auto"/>
        </w:rPr>
        <w:t>In connection with the Company’s engagement of Wainwright hereunder, the Company hereby agrees to indemnify and hold harmless Wainwright and its affiliates, and the respective controlling persons, directors, officers, members, shareholders, agents and employees of any of the foregoing (collectively the “</w:t>
      </w:r>
      <w:r>
        <w:rPr>
          <w:rFonts w:ascii="Arial" w:cs="Arial" w:eastAsia="Arial" w:hAnsi="Arial"/>
          <w:sz w:val="17"/>
          <w:szCs w:val="17"/>
          <w:u w:val="single" w:color="auto"/>
          <w:color w:val="auto"/>
        </w:rPr>
        <w:t>Indemnified Persons</w:t>
      </w:r>
      <w:r>
        <w:rPr>
          <w:rFonts w:ascii="Arial" w:cs="Arial" w:eastAsia="Arial" w:hAnsi="Arial"/>
          <w:sz w:val="17"/>
          <w:szCs w:val="17"/>
          <w:color w:val="auto"/>
        </w:rPr>
        <w:t>”), from and against any and all claims, actions, suits, proceedings (including those of shareholders), damages, liabilities and expenses incurred by any of them (including the reasonable fees and expenses of counsel), as incurred, whether or not the Company is a party thereto (collectively a “</w:t>
      </w:r>
      <w:r>
        <w:rPr>
          <w:rFonts w:ascii="Arial" w:cs="Arial" w:eastAsia="Arial" w:hAnsi="Arial"/>
          <w:sz w:val="17"/>
          <w:szCs w:val="17"/>
          <w:u w:val="single" w:color="auto"/>
          <w:color w:val="auto"/>
        </w:rPr>
        <w:t>Claim</w:t>
      </w:r>
      <w:r>
        <w:rPr>
          <w:rFonts w:ascii="Arial" w:cs="Arial" w:eastAsia="Arial" w:hAnsi="Arial"/>
          <w:sz w:val="17"/>
          <w:szCs w:val="17"/>
          <w:color w:val="auto"/>
        </w:rPr>
        <w:t>”), that are (A) related to or arise out of (i) any actions taken or omitted to be taken (including any untrue statements made or any statements omitted to be made) by the Company, or (ii) any actions taken or omitted to be taken by any Indemnified Person in connection with the Company’s engagement of Wainwright, or (B) otherwise relate to or arise out of Wainwright’s activities on the Company’s behalf under Wainwright’s engagement, and the Company shall reimburse any Indemnified Person for all expenses (including the reasonable fees and expenses of counsel) as incurred by such Indemnified Person in connection with investigating, preparing or defending any such claim, action, suit or proceeding, whether or not in connection with pending or threatened litigation in which any Indemnified Person is a party. The Company will not, however, be responsible for any Claim that is finally judicially determined to have resulted from the fraud, gross negligence or willful misconduct of any person seeking indemnification for such Claim. The Company further agrees that no Indemnified Person shall have any liability to the Company for or in connection with the Company’s engagement of Wainwright except for any Claim incurred by the Company as a result of such Indemnified Person’s fraud, gross negligence or willful misconduct.</w:t>
      </w:r>
    </w:p>
    <w:p>
      <w:pPr>
        <w:spacing w:after="0" w:line="183" w:lineRule="exact"/>
        <w:rPr>
          <w:rFonts w:ascii="Arial" w:cs="Arial" w:eastAsia="Arial" w:hAnsi="Arial"/>
          <w:sz w:val="17"/>
          <w:szCs w:val="17"/>
          <w:color w:val="auto"/>
        </w:rPr>
      </w:pPr>
    </w:p>
    <w:p>
      <w:pPr>
        <w:jc w:val="both"/>
        <w:ind w:left="1300" w:hanging="320"/>
        <w:spacing w:after="0" w:line="279" w:lineRule="auto"/>
        <w:tabs>
          <w:tab w:leader="none" w:pos="1300" w:val="left"/>
        </w:tabs>
        <w:numPr>
          <w:ilvl w:val="1"/>
          <w:numId w:val="50"/>
        </w:numPr>
        <w:rPr>
          <w:rFonts w:ascii="Arial" w:cs="Arial" w:eastAsia="Arial" w:hAnsi="Arial"/>
          <w:sz w:val="17"/>
          <w:szCs w:val="17"/>
          <w:color w:val="auto"/>
        </w:rPr>
      </w:pPr>
      <w:r>
        <w:rPr>
          <w:rFonts w:ascii="Arial" w:cs="Arial" w:eastAsia="Arial" w:hAnsi="Arial"/>
          <w:sz w:val="17"/>
          <w:szCs w:val="17"/>
          <w:color w:val="auto"/>
        </w:rPr>
        <w:t>The Company further agrees that it will not, without the prior written consent of Wainwright, settle, compromise or consent to the entry of any judgment in any pending or threatened Claim in respect of which indemnification may be sought hereunder (whether or not any Indemnified Person is an actual or potential party to such Claim), unless such settlement, compromise or consent includes an unconditional, irrevocable release of each Indemnified Person from any and all liability arising out of such Claim.</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4" w:name="page55"/>
    <w:bookmarkEnd w:id="54"/>
    <w:p>
      <w:pPr>
        <w:jc w:val="both"/>
        <w:ind w:left="320" w:hanging="320"/>
        <w:spacing w:after="0" w:line="267" w:lineRule="auto"/>
        <w:tabs>
          <w:tab w:leader="none" w:pos="3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Promptly upon receipt by an Indemnified Person of notice of any complaint or the assertion or institution of any Claim with respect to which indemnification is being sought hereunder, such Indemnified Person shall notify the Company in writing of such complaint or of such assertion or institution but failure to so notify the Company shall not relieve the Company from any obligation it may have hereunder, except and only to the extent such failure results in the forfeiture by the Company of substantial rights and defenses. If the Company is requested by such Indemnified Person, the Company will assume the defense of such Claim, including the employment of counsel for such Indemnified Person and the payment of the fees and expenses of such counsel, provided, however, that such counsel shall be satisfactory to the Indemnified Person and provided further that if the legal counsel to such Indemnified Person reasonably determines that the use of counsel chosen by the Company to represent the Indemnified Person would present such counsel with a conflict of interest or if the defendant in, or target of, any such Claim, includes an Indemnified Person and the Company, and legal counsel to such Indemnified Person reasonably concludes that there may be legal defenses available to it or other Indemnified Persons different from or in addition to those available to the Company, such Indemnified Person will employ its own separate counsel (including local counsel, if necessary) to represent or defend him, her or it in any such Claim and the Company shall pay the reasonable fees and expenses of such counsel. If such Indemnified Person does not request that the Company assume the defense of such Claim, such Indemnified Person will employ its own separate counsel (including local counsel, if necessary) to represent or defend him, her or it in any such Claim and the Company shall pay the reasonable fees and expenses of such counsel. Notwithstanding anything herein to the contrary, if the Company fails timely or diligently to defend, contest, or otherwise protect against any Claim, the relevant Indemnified Person shall have the right, but not the obligation, to defend, contest, compromise, settle, assert crossclaims, or counterclaims or otherwise protect against the same, and shall be fully indemnified by the Company therefor, including without limitation, for the reasonable fees and expenses of its counsel and all amounts paid as a result of such Claim or the compromise or settlement thereof. In addition, with respect to any Claim in which the Company assumes the defense, the Indemnified Person shall have the right to participate in such Claim and to retain his, her or its own counsel therefor at his, her or its own expense.</w:t>
      </w:r>
    </w:p>
    <w:p>
      <w:pPr>
        <w:spacing w:after="0" w:line="187" w:lineRule="exact"/>
        <w:rPr>
          <w:rFonts w:ascii="Arial" w:cs="Arial" w:eastAsia="Arial" w:hAnsi="Arial"/>
          <w:sz w:val="17"/>
          <w:szCs w:val="17"/>
          <w:color w:val="auto"/>
        </w:rPr>
      </w:pPr>
    </w:p>
    <w:p>
      <w:pPr>
        <w:jc w:val="both"/>
        <w:ind w:left="320" w:hanging="320"/>
        <w:spacing w:after="0" w:line="253" w:lineRule="auto"/>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agrees that if any indemnity that may be sought by an Indemnified Person hereunder is held by a court to be unavailable for any reason then (whether or not Wainwright is the Indemnified Person), the Company and Wainwright shall contribute to the Claim for which such indemnity is held unavailable in such proportion as is appropriate to reflect the relative benefits to the Company, on the one hand, and Wainwright on the other, in connection with Wainwright’s engagement referred to above, subject to the limitation that in no event shall the amount of Wainwright’s contribution to such Claim exceed the amount of fees actually received by Wainwright from the Company pursuant to Wainwright’s engagement. The Company hereby agrees that the relative benefits to the Company, on the one hand, and Wainwright on the other, with respect to Wainwright’s engagement shall be deemed to be in the same proportion as (a) the total value paid or proposed to be paid or received by the Company pursuant to the applicable Offering (whether or not consummated) for which Wainwright is engaged to render services bears to (b) the fee paid or proposed to be paid to Wainwright in connection with such engagement.</w:t>
      </w:r>
    </w:p>
    <w:p>
      <w:pPr>
        <w:spacing w:after="0" w:line="222"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440"/>
          </w:cols>
          <w:pgMar w:left="1220" w:top="665" w:right="239" w:bottom="1440" w:gutter="0" w:footer="0" w:header="0"/>
        </w:sectPr>
      </w:pPr>
    </w:p>
    <w:bookmarkStart w:id="55" w:name="page56"/>
    <w:bookmarkEnd w:id="55"/>
    <w:p>
      <w:pPr>
        <w:jc w:val="both"/>
        <w:ind w:left="1280" w:hanging="320"/>
        <w:spacing w:after="0" w:line="264" w:lineRule="auto"/>
        <w:tabs>
          <w:tab w:leader="none" w:pos="12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Company’s indemnity, reimbursement and contribution obligations under this Agreement (a) shall be in addition to, and shall in no way limit or otherwise adversely affect any rights that any Indemnified Person may have at law or at equity and (b) shall be effective whether or not the Company is at fault in any way.</w:t>
      </w:r>
    </w:p>
    <w:p>
      <w:pPr>
        <w:spacing w:after="0" w:line="181" w:lineRule="exact"/>
        <w:rPr>
          <w:rFonts w:ascii="Arial" w:cs="Arial" w:eastAsia="Arial" w:hAnsi="Arial"/>
          <w:sz w:val="18"/>
          <w:szCs w:val="18"/>
          <w:color w:val="auto"/>
        </w:rPr>
      </w:pPr>
    </w:p>
    <w:p>
      <w:pPr>
        <w:jc w:val="both"/>
        <w:ind w:left="-20" w:firstLine="656"/>
        <w:spacing w:after="0" w:line="269" w:lineRule="auto"/>
        <w:tabs>
          <w:tab w:leader="none" w:pos="889"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Limitation of Engagement to the Company</w:t>
      </w:r>
      <w:r>
        <w:rPr>
          <w:rFonts w:ascii="Arial" w:cs="Arial" w:eastAsia="Arial" w:hAnsi="Arial"/>
          <w:sz w:val="17"/>
          <w:szCs w:val="17"/>
          <w:color w:val="auto"/>
        </w:rPr>
        <w:t>. The Company acknowledges that Wainwright has been retained only by the Company, that Wainwright is providing services hereunder as an independent contractor (and not in any fiduciary or agency capacity) and that the Company’s engagement of Wainwright is not deemed to be on behalf of, and is not intended to confer rights upon, any shareholder, owner or partner of the Company or any other person not a party hereto as against Wainwright or any of its affiliates, or any of its or their respective officers, directors, controlling persons (within the meaning of Section 15 of the Securities Act or Section 20 of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employees or agents. Unless otherwise expressly agreed in writing by Wainwright, no one other than the Company is authorized to rely upon this Agreement or any other statements or conduct of Wainwright, and no one other than the Company is intended to be a beneficiary of this Agreement. The Company acknowledges that any recommendation or advice, written or oral, given by Wainwright to the Company in connection with Wainwright’s engagement is intended solely for the benefit and use of the Company’s management and directors in considering a possible Offering, and any such recommendation or advice is not on behalf of, and shall not confer any rights or remedies upon, any other person or be used or relied upon for any other purpose. Wainwright shall not have the authority to make any commitment binding on the Company. The Company, in its sole discretion, shall have the right to reject any investor introduced to it by Wainwright.</w:t>
      </w:r>
    </w:p>
    <w:p>
      <w:pPr>
        <w:spacing w:after="0" w:line="179" w:lineRule="exact"/>
        <w:rPr>
          <w:rFonts w:ascii="Arial" w:cs="Arial" w:eastAsia="Arial" w:hAnsi="Arial"/>
          <w:sz w:val="17"/>
          <w:szCs w:val="17"/>
          <w:color w:val="auto"/>
        </w:rPr>
      </w:pPr>
    </w:p>
    <w:p>
      <w:pPr>
        <w:jc w:val="both"/>
        <w:ind w:left="-20" w:firstLine="656"/>
        <w:spacing w:after="0" w:line="255" w:lineRule="auto"/>
        <w:tabs>
          <w:tab w:leader="none" w:pos="848"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Limitation of Wainwright’s Liability to the Company</w:t>
      </w:r>
      <w:r>
        <w:rPr>
          <w:rFonts w:ascii="Arial" w:cs="Arial" w:eastAsia="Arial" w:hAnsi="Arial"/>
          <w:sz w:val="18"/>
          <w:szCs w:val="18"/>
          <w:color w:val="auto"/>
        </w:rPr>
        <w:t>. Wainwright and the Company further agree that neither Wainwright nor any of its affiliates or any of its their respective officers, directors, controlling persons (within the meaning of Section 15 of the Securities Act or Section 20 of the Exchange Act), employees or agents shall have any liability to the Company, its security holders or creditors, or any person asserting claims on behalf of or in the right of the Company (whether direct or indirect, in contract, tort, for an act of negligence or otherwise) for any losses, fees, damages, liabilities, costs, expenses or equitable relief arising out of or relating to this Agreement or the services rendered hereunder, except for losses, fees, damages, liabilities, costs or expenses that arise out of or are based on any action of or failure to act by Wainwright and that are finally judicially determined to have resulted solely from the gross negligence or willful misconduct of Wainwright.</w:t>
      </w:r>
    </w:p>
    <w:p>
      <w:pPr>
        <w:spacing w:after="0" w:line="189" w:lineRule="exact"/>
        <w:rPr>
          <w:rFonts w:ascii="Arial" w:cs="Arial" w:eastAsia="Arial" w:hAnsi="Arial"/>
          <w:sz w:val="18"/>
          <w:szCs w:val="18"/>
          <w:color w:val="auto"/>
        </w:rPr>
      </w:pPr>
    </w:p>
    <w:p>
      <w:pPr>
        <w:jc w:val="both"/>
        <w:ind w:left="-20" w:firstLine="656"/>
        <w:spacing w:after="0" w:line="271" w:lineRule="auto"/>
        <w:tabs>
          <w:tab w:leader="none" w:pos="805"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by and construed in accordance with the laws of the State of New York applicable to agreements made and to be fully performed therein. Any disputes that arise under this Agreement, even after the termination of this Agreement, will be heard only in the state or federal courts located in the City of New York, State of New York. The parties hereto expressly agree to submit themselves to the jurisdiction of the foregoing courts in the City of New York, State of New York. The parties hereto expressly waive any rights they may have to contest the jurisdiction, venue or authority of any court sitting in the City and State of New York. In the event Wainwright or any Indemnified Person is successful in any action, or suit against the Company, arising out of or relating to this Agreement, the final judgment or award entered shall be entitled to have and recover from the Company the costs and expenses incurred in connection therewith, including its reasonable attorneys’ fees. Any rights to trial by jury with respect to any such action, proceeding or suit are hereby waived by Wainwright and the Company.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692" w:right="239" w:bottom="1440" w:gutter="0" w:footer="0" w:header="0"/>
        </w:sectPr>
      </w:pPr>
    </w:p>
    <w:bookmarkStart w:id="56" w:name="page57"/>
    <w:bookmarkEnd w:id="56"/>
    <w:p>
      <w:pPr>
        <w:jc w:val="both"/>
        <w:ind w:firstLine="648"/>
        <w:spacing w:after="0" w:line="255" w:lineRule="auto"/>
        <w:rPr>
          <w:sz w:val="20"/>
          <w:szCs w:val="20"/>
          <w:color w:val="auto"/>
        </w:rPr>
      </w:pPr>
      <w:r>
        <w:rPr>
          <w:rFonts w:ascii="Arial" w:cs="Arial" w:eastAsia="Arial" w:hAnsi="Arial"/>
          <w:sz w:val="18"/>
          <w:szCs w:val="18"/>
          <w:color w:val="auto"/>
        </w:rPr>
        <w:t xml:space="preserve">J.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hereunder will be in writing and sent by certified mail, hand delivery, overnight delivery or fax, if sent to Wainwright, at the address set forth on the first page hereof, e-mail: notices@hcwco.com, Attention: Head of Investment Banking, and if sent to the Company, to the address set forth on the first page hereof, e-mail: harel@microbotmedical.com, Attention: Chief Executive Officer. Notices sent by certified mail shall be deemed received five days thereafter, notices sent by hand delivery or overnight delivery shall be deemed received on the date of the relevant written record of receipt, notices delivered by fax shall be deemed received as of the date and time printed thereon by the fax machine and notices sent by e-mail shall be deemed received as of the date and time they were sent.</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K. </w:t>
      </w:r>
      <w:r>
        <w:rPr>
          <w:rFonts w:ascii="Arial" w:cs="Arial" w:eastAsia="Arial" w:hAnsi="Arial"/>
          <w:sz w:val="17"/>
          <w:szCs w:val="17"/>
          <w:u w:val="single" w:color="auto"/>
          <w:color w:val="auto"/>
        </w:rPr>
        <w:t>Conflicts</w:t>
      </w:r>
      <w:r>
        <w:rPr>
          <w:rFonts w:ascii="Arial" w:cs="Arial" w:eastAsia="Arial" w:hAnsi="Arial"/>
          <w:sz w:val="17"/>
          <w:szCs w:val="17"/>
          <w:color w:val="auto"/>
        </w:rPr>
        <w:t>. The Company acknowledges that Wainwright and its affiliates may have and may continue to have investment banking and other relationships with parties other than the Company pursuant to which Wainwright may acquire information of interest to the Company. Wainwright shall have no obligation to disclose such information to the Company or to use such information in connection with any contemplated transaction.</w:t>
      </w:r>
    </w:p>
    <w:p>
      <w:pPr>
        <w:spacing w:after="0" w:line="16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L. </w:t>
      </w:r>
      <w:r>
        <w:rPr>
          <w:rFonts w:ascii="Arial" w:cs="Arial" w:eastAsia="Arial" w:hAnsi="Arial"/>
          <w:sz w:val="17"/>
          <w:szCs w:val="17"/>
          <w:u w:val="single" w:color="auto"/>
          <w:color w:val="auto"/>
        </w:rPr>
        <w:t>Anti-Money Laundering</w:t>
      </w:r>
      <w:r>
        <w:rPr>
          <w:rFonts w:ascii="Arial" w:cs="Arial" w:eastAsia="Arial" w:hAnsi="Arial"/>
          <w:sz w:val="17"/>
          <w:szCs w:val="17"/>
          <w:color w:val="auto"/>
        </w:rPr>
        <w:t>. To help the United States government fight the funding of terrorism and money laundering, the federal laws of the United States require all financial institutions to obtain, verify and record information that identifies each person with whom they do business. This means Wainwright must ask the Company for certain identifying information, including a government-issued identification number (e.g., a U.S. taxpayer identification number) and such other information or documents that Wainwright considers appropriate to verify the Company’s identity, such as certified articles of incorporation, a government-issued business license, a partnership agreement or a trust instrument.</w:t>
      </w:r>
    </w:p>
    <w:p>
      <w:pPr>
        <w:spacing w:after="0" w:line="17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M. </w:t>
      </w:r>
      <w:r>
        <w:rPr>
          <w:rFonts w:ascii="Arial" w:cs="Arial" w:eastAsia="Arial" w:hAnsi="Arial"/>
          <w:sz w:val="18"/>
          <w:szCs w:val="18"/>
          <w:u w:val="single" w:color="auto"/>
          <w:color w:val="auto"/>
        </w:rPr>
        <w:t>Miscellaneous</w:t>
      </w:r>
      <w:r>
        <w:rPr>
          <w:rFonts w:ascii="Arial" w:cs="Arial" w:eastAsia="Arial" w:hAnsi="Arial"/>
          <w:sz w:val="18"/>
          <w:szCs w:val="18"/>
          <w:color w:val="auto"/>
        </w:rPr>
        <w:t>. The Company represents and warrants that it has all requisite power and authority to enter into and carry out the terms and provisions of this Agreement and the execution, delivery and performance of this Agreement does not breach or conflict with any agreement, document or instrument to which it is a party or bound. This Agreement shall not be modified or amended except in writing signed by Wainwright and the Company. This Agreement shall be binding upon and inure to the benefit of both Wainwright and the Company and their respective assigns, successors, and legal representatives. This Agreement constitutes the entire agreement of Wainwright and the Company with respect to the subject matter hereof and supersedes any prior agreements with respect to the subject matter hereof. If any provision of this Agreement is determined to be invalid or unenforceable in any respect, such determination will not affect such provision in any other respect, and the remainder of the Agreement shall remain in full force and effect. This Agreement may be executed in counterparts (including facsimile or electronic counterparts), each of which shall be deemed an original but all of which together shall constitute one and the same instrument.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7" w:name="page58"/>
    <w:bookmarkEnd w:id="57"/>
    <w:p>
      <w:pPr>
        <w:ind w:firstLine="648"/>
        <w:spacing w:after="0" w:line="277" w:lineRule="auto"/>
        <w:rPr>
          <w:sz w:val="20"/>
          <w:szCs w:val="20"/>
          <w:color w:val="auto"/>
        </w:rPr>
      </w:pPr>
      <w:r>
        <w:rPr>
          <w:rFonts w:ascii="Arial" w:cs="Arial" w:eastAsia="Arial" w:hAnsi="Arial"/>
          <w:sz w:val="18"/>
          <w:szCs w:val="18"/>
          <w:color w:val="auto"/>
        </w:rPr>
        <w:t>In acknowledgment that the foregoing correctly sets forth the understanding reached by Wainwright and the Company, please sign in the space provided below, whereupon this letter shall constitute a binding Agreement as of the date indicated above.</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H.C. WAINWRIGHT &amp; CO., LLC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Edward D. Silvera</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Edward D. Silvera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Operating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-130175</wp:posOffset>
            </wp:positionV>
            <wp:extent cx="32588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CEO, President and Chairman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8" w:name="page59"/>
    <w:bookmarkEnd w:id="5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PURCHASE AGREEMENT</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Securities Purchase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as of January 14, 2019, between Microbot Medical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each purchaser identified on the signature pages hereto (each, including its successors and assigns, a “</w:t>
      </w:r>
      <w:r>
        <w:rPr>
          <w:rFonts w:ascii="Arial" w:cs="Arial" w:eastAsia="Arial" w:hAnsi="Arial"/>
          <w:sz w:val="18"/>
          <w:szCs w:val="18"/>
          <w:u w:val="single" w:color="auto"/>
          <w:color w:val="auto"/>
        </w:rPr>
        <w:t>Purchaser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Purchasers</w:t>
      </w:r>
      <w:r>
        <w:rPr>
          <w:rFonts w:ascii="Arial" w:cs="Arial" w:eastAsia="Arial" w:hAnsi="Arial"/>
          <w:sz w:val="18"/>
          <w:szCs w:val="18"/>
          <w:color w:val="auto"/>
        </w:rPr>
        <w:t>”).</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WHEREAS, subject to the terms and conditions set forth in this Agreement and pursuant to an effective registration statement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as to the Shares and Pre-Funded Warrants, the Company desires to issue and sell to each Purchaser, and each Purchaser, severally and not jointly, desires to purchase from the Company, securities of the Company as more fully described in this Agreement.</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In addition to the terms defined elsewhere in this Agreement, for all purposes of this Agreement, the following terms have the meanings set forth in this Section 1.1:</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Acquiring Person</w:t>
      </w:r>
      <w:r>
        <w:rPr>
          <w:rFonts w:ascii="Arial" w:cs="Arial" w:eastAsia="Arial" w:hAnsi="Arial"/>
          <w:sz w:val="18"/>
          <w:szCs w:val="18"/>
          <w:color w:val="auto"/>
        </w:rPr>
        <w:t>” shall have the meaning ascribed to such term in Section 4.5.</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shall have the meaning ascribed to such term in Section 3.1(j).</w:t>
      </w:r>
    </w:p>
    <w:p>
      <w:pPr>
        <w:spacing w:after="0" w:line="225"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jc w:val="both"/>
        <w:ind w:left="6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means the closing of the purchase and sale of the Securities pursuant to Section 2.1.</w:t>
      </w:r>
    </w:p>
    <w:p>
      <w:pPr>
        <w:spacing w:after="0" w:line="225" w:lineRule="exact"/>
        <w:rPr>
          <w:sz w:val="20"/>
          <w:szCs w:val="20"/>
          <w:color w:val="auto"/>
        </w:rPr>
      </w:pPr>
    </w:p>
    <w:p>
      <w:pPr>
        <w:jc w:val="both"/>
        <w:ind w:left="66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w:t>
      </w:r>
      <w:r>
        <w:rPr>
          <w:rFonts w:ascii="Arial" w:cs="Arial" w:eastAsia="Arial" w:hAnsi="Arial"/>
          <w:sz w:val="16"/>
          <w:szCs w:val="16"/>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 but in no event later than the second (2nd) Trading Day following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0" w:name="page61"/>
    <w:bookmarkEnd w:id="60"/>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 par value $0.01 per share, and any other class of securities into which such securities may hereafter be reclassified or changed.</w:t>
      </w:r>
    </w:p>
    <w:p>
      <w:pPr>
        <w:spacing w:after="0" w:line="170"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 Equivalents</w:t>
      </w:r>
      <w:r>
        <w:rPr>
          <w:rFonts w:ascii="Arial" w:cs="Arial" w:eastAsia="Arial" w:hAnsi="Arial"/>
          <w:sz w:val="17"/>
          <w:szCs w:val="17"/>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Share Subscription Amount</w:t>
      </w:r>
      <w:r>
        <w:rPr>
          <w:rFonts w:ascii="Arial" w:cs="Arial" w:eastAsia="Arial" w:hAnsi="Arial"/>
          <w:sz w:val="18"/>
          <w:szCs w:val="18"/>
          <w:color w:val="auto"/>
        </w:rPr>
        <w:t>” means, as to each Purchaser, the aggregate amount to be paid for the Shares hereunder as specified below such Purchaser’s name on the signature page of this Agreement and next to the heading “Common Share Subscription Amount,” in United States dollars and in immediately available funds.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Counsel</w:t>
      </w:r>
      <w:r>
        <w:rPr>
          <w:rFonts w:ascii="Arial" w:cs="Arial" w:eastAsia="Arial" w:hAnsi="Arial"/>
          <w:sz w:val="16"/>
          <w:szCs w:val="16"/>
          <w:color w:val="auto"/>
        </w:rPr>
        <w:t>” means Mintz, Levin, Cohn, Ferris, Glovsky and Popeo, P.C., with offices located at One Financial Center, Boston, MA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02111.</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Schedules</w:t>
      </w:r>
      <w:r>
        <w:rPr>
          <w:rFonts w:ascii="Arial" w:cs="Arial" w:eastAsia="Arial" w:hAnsi="Arial"/>
          <w:sz w:val="18"/>
          <w:szCs w:val="18"/>
          <w:color w:val="auto"/>
        </w:rPr>
        <w:t>” means the Disclosure Schedules of the Company delivered concurrently herewith.</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Time</w:t>
      </w:r>
      <w:r>
        <w:rPr>
          <w:rFonts w:ascii="Arial" w:cs="Arial" w:eastAsia="Arial" w:hAnsi="Arial"/>
          <w:sz w:val="18"/>
          <w:szCs w:val="18"/>
          <w:color w:val="auto"/>
        </w:rPr>
        <w:t>” means, (i) if this Agreement is signed on any day that is not a Trading Day or after 9:00 a.m. (New York City time) and before midnight (New York City time) on any Trading Day, no later than 9:01 a.m. (New York City time) on the Trading Day immediately following the date hereof, unless otherwise instructed to an earlier time by the Placement Agent (ii) if this Agreement is signed between midnight (New York City time) and 9:00 a.m. (New York City time) on any Trading Day, no later than 9:01 a.m. (New York City time) on the date hereof, unless otherwise instructed to an earlier time by the Placement Agent.</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Evaluation Date</w:t>
      </w:r>
      <w:r>
        <w:rPr>
          <w:rFonts w:ascii="Arial" w:cs="Arial" w:eastAsia="Arial" w:hAnsi="Arial"/>
          <w:sz w:val="18"/>
          <w:szCs w:val="18"/>
          <w:color w:val="auto"/>
        </w:rPr>
        <w:t>” shall have the meaning ascribed to such term in Section 3.1(s).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means the Foreign Corrupt Practices Act of 1977, as amended.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FDA</w:t>
      </w:r>
      <w:r>
        <w:rPr>
          <w:rFonts w:ascii="Arial" w:cs="Arial" w:eastAsia="Arial" w:hAnsi="Arial"/>
          <w:sz w:val="18"/>
          <w:szCs w:val="18"/>
          <w:color w:val="auto"/>
        </w:rPr>
        <w:t>” shall have the meaning ascribed to such term in Section 3.1(hh).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FDCA</w:t>
      </w:r>
      <w:r>
        <w:rPr>
          <w:rFonts w:ascii="Arial" w:cs="Arial" w:eastAsia="Arial" w:hAnsi="Arial"/>
          <w:sz w:val="18"/>
          <w:szCs w:val="18"/>
          <w:color w:val="auto"/>
        </w:rPr>
        <w:t>” shall have the meaning ascribed to such term in Section 3.1(hh).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shall have the meaning ascribed to such term in Section 3.1(aa).</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92" w:right="239" w:bottom="1440" w:gutter="0" w:footer="0" w:header="0"/>
        </w:sectPr>
      </w:pPr>
    </w:p>
    <w:bookmarkStart w:id="61" w:name="page62"/>
    <w:bookmarkEnd w:id="61"/>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 shall have the meaning ascribed to such term in Section 3.1(p).</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Liens</w:t>
      </w:r>
      <w:r>
        <w:rPr>
          <w:rFonts w:ascii="Arial" w:cs="Arial" w:eastAsia="Arial" w:hAnsi="Arial"/>
          <w:sz w:val="17"/>
          <w:szCs w:val="17"/>
          <w:color w:val="auto"/>
        </w:rPr>
        <w:t>” means a material lien, charge, pledge, security interest, encumbrance, right of first refusal, preemptive right or other restriction.</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shall have the meaning assigned to such term in Section 3.1(b).</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Permits</w:t>
      </w:r>
      <w:r>
        <w:rPr>
          <w:rFonts w:ascii="Arial" w:cs="Arial" w:eastAsia="Arial" w:hAnsi="Arial"/>
          <w:sz w:val="18"/>
          <w:szCs w:val="18"/>
          <w:color w:val="auto"/>
        </w:rPr>
        <w:t>” shall have the meaning ascribed to such term in Section 3.1(n).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Share Purchase Price</w:t>
      </w:r>
      <w:r>
        <w:rPr>
          <w:rFonts w:ascii="Arial" w:cs="Arial" w:eastAsia="Arial" w:hAnsi="Arial"/>
          <w:sz w:val="18"/>
          <w:szCs w:val="18"/>
          <w:color w:val="auto"/>
        </w:rPr>
        <w:t>” equals $6.50, subject to adjustment for reverse and forward stock splits, stock dividends, stock combinations and other similar transactions of the Common Stock that occur after the date of this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Pharmaceutical Product</w:t>
      </w:r>
      <w:r>
        <w:rPr>
          <w:rFonts w:ascii="Arial" w:cs="Arial" w:eastAsia="Arial" w:hAnsi="Arial"/>
          <w:sz w:val="18"/>
          <w:szCs w:val="18"/>
          <w:color w:val="auto"/>
        </w:rPr>
        <w:t>” shall have the meaning ascribed to such term in Section 3.1(hh).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Placement Agent</w:t>
      </w:r>
      <w:r>
        <w:rPr>
          <w:rFonts w:ascii="Arial" w:cs="Arial" w:eastAsia="Arial" w:hAnsi="Arial"/>
          <w:sz w:val="18"/>
          <w:szCs w:val="18"/>
          <w:color w:val="auto"/>
        </w:rPr>
        <w:t>” means H.C. Wainwright &amp; Co., LLC.</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u w:val="single" w:color="auto"/>
          <w:color w:val="auto"/>
        </w:rPr>
        <w:t>“Pre-Funded Warrant Purchase Price</w:t>
      </w:r>
      <w:r>
        <w:rPr>
          <w:rFonts w:ascii="Arial" w:cs="Arial" w:eastAsia="Arial" w:hAnsi="Arial"/>
          <w:sz w:val="17"/>
          <w:szCs w:val="17"/>
          <w:color w:val="auto"/>
        </w:rPr>
        <w:t>” equals $6.49 per Pre-Funded Warrants, subject to adjustment for reverse and forward stock splits, stock dividends, stock combinations and other similar transactions of the Common Stock that occur after the date of this Agreement.</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Pre-Funded Warrant Subscription Amount</w:t>
      </w:r>
      <w:r>
        <w:rPr>
          <w:rFonts w:ascii="Arial" w:cs="Arial" w:eastAsia="Arial" w:hAnsi="Arial"/>
          <w:sz w:val="18"/>
          <w:szCs w:val="18"/>
          <w:color w:val="auto"/>
        </w:rPr>
        <w:t>” means, as to each Purchaser, the aggregate amount to be paid for the Pre-Funded Warrants purchased hereunder as specified below such Purchaser’s name on the signature page of this Agreement and next to the heading “Pre-Funded Warrant Subscription Amount,” in United States dollars and in immediately available funds.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Pre-Funded Warrants</w:t>
      </w:r>
      <w:r>
        <w:rPr>
          <w:rFonts w:ascii="Arial" w:cs="Arial" w:eastAsia="Arial" w:hAnsi="Arial"/>
          <w:sz w:val="18"/>
          <w:szCs w:val="18"/>
          <w:color w:val="auto"/>
        </w:rPr>
        <w:t>” means, collectively, the Pre-Funded Common Stock purchase warrants delivered to the Purchasers at the Closing in accordance with Section 2.2(a) hereof, which Pre-Funded Warrants shall be exercisable immediately and shall expire when exercised in full, in the form of Exhibit A attached hereto.</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Pre-Funded Warrant Shares</w:t>
      </w:r>
      <w:r>
        <w:rPr>
          <w:rFonts w:ascii="Arial" w:cs="Arial" w:eastAsia="Arial" w:hAnsi="Arial"/>
          <w:sz w:val="18"/>
          <w:szCs w:val="18"/>
          <w:color w:val="auto"/>
        </w:rPr>
        <w:t>” means the Shares issuable upon exercise of the Pre-Funded Warrants.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 action, claim, suit, investigation or proceeding (including, without limitation, an informal investigation or partial proceeding, such as a deposition), whether commenced or threatened.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means the final base prospectus filed for the Registration Statement.</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5" w:right="239" w:bottom="1440" w:gutter="0" w:footer="0" w:header="0"/>
        </w:sectPr>
      </w:pPr>
    </w:p>
    <w:bookmarkStart w:id="62" w:name="page63"/>
    <w:bookmarkEnd w:id="62"/>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 Supplement</w:t>
      </w:r>
      <w:r>
        <w:rPr>
          <w:rFonts w:ascii="Arial" w:cs="Arial" w:eastAsia="Arial" w:hAnsi="Arial"/>
          <w:sz w:val="18"/>
          <w:szCs w:val="18"/>
          <w:color w:val="auto"/>
        </w:rPr>
        <w:t>” means the supplement to the Prospectus complying with Rule 424(b) of the Securities Act that is filed with the Commission and delivered by the Company to each Purchaser at the Closing.</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Party</w:t>
      </w:r>
      <w:r>
        <w:rPr>
          <w:rFonts w:ascii="Arial" w:cs="Arial" w:eastAsia="Arial" w:hAnsi="Arial"/>
          <w:sz w:val="18"/>
          <w:szCs w:val="18"/>
          <w:color w:val="auto"/>
        </w:rPr>
        <w:t>” shall have the meaning ascribed to such term in Section 4.8.</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the effective registration statement with Commission file No. 333-217076 which registers the sale of the Shares, the Pre-Funded Warrants and the Pre-Funded Warrant Shares to the Purchasers.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Approvals</w:t>
      </w:r>
      <w:r>
        <w:rPr>
          <w:rFonts w:ascii="Arial" w:cs="Arial" w:eastAsia="Arial" w:hAnsi="Arial"/>
          <w:sz w:val="18"/>
          <w:szCs w:val="18"/>
          <w:color w:val="auto"/>
        </w:rPr>
        <w:t>” shall have the meaning ascribed to such term in Section 3.1(e).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424</w:t>
      </w:r>
      <w:r>
        <w:rPr>
          <w:rFonts w:ascii="Arial" w:cs="Arial" w:eastAsia="Arial" w:hAnsi="Arial"/>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Reports</w:t>
      </w:r>
      <w:r>
        <w:rPr>
          <w:rFonts w:ascii="Arial" w:cs="Arial" w:eastAsia="Arial" w:hAnsi="Arial"/>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means the Shares, the Pre-Funded Warrants and the Pre-Funded Warrant Shares.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the shares of Common Stock issued or issuable to each Purchaser pursuant to this Agreement, but excludes the Pre-Funded Warrant Shares.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Short Sales</w:t>
      </w:r>
      <w:r>
        <w:rPr>
          <w:rFonts w:ascii="Arial" w:cs="Arial" w:eastAsia="Arial" w:hAnsi="Arial"/>
          <w:sz w:val="18"/>
          <w:szCs w:val="18"/>
          <w:color w:val="auto"/>
        </w:rPr>
        <w:t>” means all “short sales” as defined in Rule 200 of Regulation SHO under the Exchange Act (but shall not be deemed to include locating and/or borrowing shares of Common Stock).</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Subscription Amount</w:t>
      </w:r>
      <w:r>
        <w:rPr>
          <w:rFonts w:ascii="Arial" w:cs="Arial" w:eastAsia="Arial" w:hAnsi="Arial"/>
          <w:sz w:val="18"/>
          <w:szCs w:val="18"/>
          <w:color w:val="auto"/>
        </w:rPr>
        <w:t>” means, as to each Purchaser, the aggregate amount to be paid for Shares and the Pre-Funded Warrants purchased hereunder as specified below such Purchaser’s name on the signature page of this Agreement and next to the heading “Subscription Amount,” in United States dollars and in immediately available funds.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xml:space="preserve">” means any subsidiary of the Company as set forth on </w:t>
      </w:r>
      <w:r>
        <w:rPr>
          <w:rFonts w:ascii="Arial" w:cs="Arial" w:eastAsia="Arial" w:hAnsi="Arial"/>
          <w:sz w:val="18"/>
          <w:szCs w:val="18"/>
          <w:u w:val="single" w:color="auto"/>
          <w:color w:val="auto"/>
        </w:rPr>
        <w:t>Schedule 3.1(a)</w:t>
      </w:r>
      <w:r>
        <w:rPr>
          <w:rFonts w:ascii="Arial" w:cs="Arial" w:eastAsia="Arial" w:hAnsi="Arial"/>
          <w:sz w:val="18"/>
          <w:szCs w:val="18"/>
          <w:color w:val="auto"/>
        </w:rPr>
        <w:t>, and shall, where applicable, also include any direct or indirect subsidiary of the Company formed or acquired after the date hereof.</w:t>
      </w:r>
    </w:p>
    <w:p>
      <w:pPr>
        <w:spacing w:after="0" w:line="17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5" w:right="239" w:bottom="1440" w:gutter="0" w:footer="0" w:header="0"/>
        </w:sectPr>
      </w:pPr>
    </w:p>
    <w:bookmarkStart w:id="63" w:name="page64"/>
    <w:bookmarkEnd w:id="63"/>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principal Trading Market is open for trading.</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this Agreement, the Pre-Funded Warrants, all exhibits and schedules thereto and hereto and any other documents or agreements executed in connection with the transactions contemplated hereunder.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Agent</w:t>
      </w:r>
      <w:r>
        <w:rPr>
          <w:rFonts w:ascii="Arial" w:cs="Arial" w:eastAsia="Arial" w:hAnsi="Arial"/>
          <w:sz w:val="18"/>
          <w:szCs w:val="18"/>
          <w:color w:val="auto"/>
        </w:rPr>
        <w:t>” means Computershare Trust Company, with offices located at Meidinger Tower, 462 South 4th Street, Louisville, KY 40202, and any successor transfer agent of the Company.</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VWAP</w:t>
      </w:r>
      <w:r>
        <w:rPr>
          <w:rFonts w:ascii="Arial" w:cs="Arial" w:eastAsia="Arial" w:hAnsi="Arial"/>
          <w:sz w:val="17"/>
          <w:szCs w:val="17"/>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Sheets” published by OTC Markets Group,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7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5"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PURCHASE AND SALE</w:t>
      </w:r>
    </w:p>
    <w:p>
      <w:pPr>
        <w:spacing w:after="0" w:line="21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Closing</w:t>
      </w:r>
      <w:r>
        <w:rPr>
          <w:rFonts w:ascii="Arial" w:cs="Arial" w:eastAsia="Arial" w:hAnsi="Arial"/>
          <w:sz w:val="16"/>
          <w:szCs w:val="16"/>
          <w:color w:val="auto"/>
        </w:rPr>
        <w:t>. On the Closing Date, upon the terms and subject to the conditions set forth herein, the Company agrees to sell, and the Purchasers, severally and not jointly, agree to purchase, up to an aggregate of $[__ million of Shares as determined pursuant to Section 2.2(a); provided, however, that, solely to the extent a Purchaser determines that such Purchaser (together with such Purchaser’s Affiliates, and any Person acting as a group together with such purchaser or any of such Purchaser’s Affiliates) would beneficially own in excess of the Beneficial Ownership Limitation, in lieu of purchasing Shares, such Purchaser may elect to purchase Pre-Funded Warrants at the Pre-Funded Warrant Purchase Price in lieu of Shares. Each Purchaser’s Subscription Amount as set forth on the signature page hereto executed by such Purchaser shall be made available for “Delivery Versus Payment” settlement with the Company or its designees. The Company shall deliver to each Purchaser its respective Shares as determined pursuant to Section 2.2(a), and the Company and each Purchaser shall deliver the other items set forth in Section 2.2 deliverable at the Closing. Upon satisfaction of the covenants and conditions set forth in Sections 2.2 and 2.3, the Closing shall occur at the offices of the Placement Agent or such other location as the parties shall mutually agree. Unless otherwise directed by the Placement Agent, settlement of the Shares shall occur via “Delivery Versus Payment” (“</w:t>
      </w:r>
      <w:r>
        <w:rPr>
          <w:rFonts w:ascii="Arial" w:cs="Arial" w:eastAsia="Arial" w:hAnsi="Arial"/>
          <w:sz w:val="16"/>
          <w:szCs w:val="16"/>
          <w:u w:val="single" w:color="auto"/>
          <w:color w:val="auto"/>
        </w:rPr>
        <w:t>DVP</w:t>
      </w:r>
      <w:r>
        <w:rPr>
          <w:rFonts w:ascii="Arial" w:cs="Arial" w:eastAsia="Arial" w:hAnsi="Arial"/>
          <w:sz w:val="16"/>
          <w:szCs w:val="16"/>
          <w:color w:val="auto"/>
        </w:rPr>
        <w:t>”) (i.e., on the Closing Date, the Company shall issue the Shares registered in the Purchasers’ names and addresses and released by the Transfer Agent directly to the account(s) at the Placement Agent identified by each Purchaser; upon receipt of such Shares, the Placement Agent shall promptly electronically deliver such Shares to the applicable Purchaser, and payment therefor shall be made by the Placement Agent (or its clearing firm) by wire transfer to the Company). The “Beneficial Ownership Limitation” shall be 4.99% (or, at the election of the Purchaser, 9.99%) of the number of Common Stock outstanding immediately after giving effect to the issuance of the Securities on the Closing Date. The Company covenants that, if the Purchaser delivers a Notice of Exercise (as defined in the Pre-Funded Warrant) no later than 12:00 p.m. (New York City time) on the Closing Date to exercise any Pre-Funded Warrants between the date hereof and the Closing Date, the Company shall deliver Pre-Funded Warrant Shares to the Purchaser on the Closing Date in connection with such Notice of Exercise.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Deliveries</w:t>
      </w:r>
      <w:r>
        <w:rPr>
          <w:rFonts w:ascii="Arial" w:cs="Arial" w:eastAsia="Arial" w:hAnsi="Arial"/>
          <w:sz w:val="18"/>
          <w:szCs w:val="18"/>
          <w:color w:val="auto"/>
        </w:rPr>
        <w:t>.</w:t>
      </w:r>
    </w:p>
    <w:p>
      <w:pPr>
        <w:spacing w:after="0" w:line="225" w:lineRule="exact"/>
        <w:rPr>
          <w:sz w:val="20"/>
          <w:szCs w:val="20"/>
          <w:color w:val="auto"/>
        </w:rPr>
      </w:pPr>
    </w:p>
    <w:p>
      <w:pPr>
        <w:ind w:left="1540" w:hanging="235"/>
        <w:spacing w:after="0"/>
        <w:tabs>
          <w:tab w:leader="none" w:pos="1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On or prior to the Closing Date, the Company shall deliver or cause to be delivered to each Purchaser the following:</w:t>
      </w:r>
    </w:p>
    <w:p>
      <w:pPr>
        <w:spacing w:after="0" w:line="225" w:lineRule="exact"/>
        <w:rPr>
          <w:rFonts w:ascii="Arial" w:cs="Arial" w:eastAsia="Arial" w:hAnsi="Arial"/>
          <w:sz w:val="18"/>
          <w:szCs w:val="18"/>
          <w:color w:val="auto"/>
        </w:rPr>
      </w:pPr>
    </w:p>
    <w:p>
      <w:pPr>
        <w:ind w:left="2160" w:hanging="207"/>
        <w:spacing w:after="0"/>
        <w:tabs>
          <w:tab w:leader="none" w:pos="21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this Agreement duly executed by the Company;</w:t>
      </w:r>
    </w:p>
    <w:p>
      <w:pPr>
        <w:spacing w:after="0" w:line="225" w:lineRule="exact"/>
        <w:rPr>
          <w:rFonts w:ascii="Arial" w:cs="Arial" w:eastAsia="Arial" w:hAnsi="Arial"/>
          <w:sz w:val="18"/>
          <w:szCs w:val="18"/>
          <w:color w:val="auto"/>
        </w:rPr>
      </w:pPr>
    </w:p>
    <w:p>
      <w:pPr>
        <w:ind w:left="2220" w:hanging="267"/>
        <w:spacing w:after="0"/>
        <w:tabs>
          <w:tab w:leader="none" w:pos="22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 legal opinion of Company Counsel, in a form reasonably acceptable to the Placement Agent and Purchasers;</w:t>
      </w:r>
    </w:p>
    <w:p>
      <w:pPr>
        <w:spacing w:after="0" w:line="225" w:lineRule="exact"/>
        <w:rPr>
          <w:rFonts w:ascii="Arial" w:cs="Arial" w:eastAsia="Arial" w:hAnsi="Arial"/>
          <w:sz w:val="18"/>
          <w:szCs w:val="18"/>
          <w:color w:val="auto"/>
        </w:rPr>
      </w:pPr>
    </w:p>
    <w:p>
      <w:pPr>
        <w:ind w:left="2300" w:hanging="347"/>
        <w:spacing w:after="0"/>
        <w:tabs>
          <w:tab w:leader="none" w:pos="2300" w:val="left"/>
        </w:tabs>
        <w:numPr>
          <w:ilvl w:val="1"/>
          <w:numId w:val="54"/>
        </w:numPr>
        <w:rPr>
          <w:rFonts w:ascii="Arial" w:cs="Arial" w:eastAsia="Arial" w:hAnsi="Arial"/>
          <w:sz w:val="17"/>
          <w:szCs w:val="17"/>
          <w:color w:val="auto"/>
        </w:rPr>
      </w:pPr>
      <w:r>
        <w:rPr>
          <w:rFonts w:ascii="Arial" w:cs="Arial" w:eastAsia="Arial" w:hAnsi="Arial"/>
          <w:sz w:val="17"/>
          <w:szCs w:val="17"/>
          <w:color w:val="auto"/>
        </w:rPr>
        <w:t>the Company’s wire instructions, on Company letterhead and executed by the Chief Executive Officer or Chief Financial</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Officer;</w:t>
      </w:r>
    </w:p>
    <w:p>
      <w:pPr>
        <w:spacing w:after="0" w:line="210" w:lineRule="exact"/>
        <w:rPr>
          <w:rFonts w:ascii="Arial" w:cs="Arial" w:eastAsia="Arial" w:hAnsi="Arial"/>
          <w:sz w:val="17"/>
          <w:szCs w:val="17"/>
          <w:color w:val="auto"/>
        </w:rPr>
      </w:pPr>
    </w:p>
    <w:p>
      <w:pPr>
        <w:jc w:val="both"/>
        <w:ind w:left="1300" w:firstLine="653"/>
        <w:spacing w:after="0" w:line="312" w:lineRule="auto"/>
        <w:tabs>
          <w:tab w:leader="none" w:pos="2258" w:val="left"/>
        </w:tabs>
        <w:numPr>
          <w:ilvl w:val="1"/>
          <w:numId w:val="54"/>
        </w:numPr>
        <w:rPr>
          <w:rFonts w:ascii="Arial" w:cs="Arial" w:eastAsia="Arial" w:hAnsi="Arial"/>
          <w:sz w:val="16"/>
          <w:szCs w:val="16"/>
          <w:color w:val="auto"/>
        </w:rPr>
      </w:pPr>
      <w:r>
        <w:rPr>
          <w:rFonts w:ascii="Arial" w:cs="Arial" w:eastAsia="Arial" w:hAnsi="Arial"/>
          <w:sz w:val="16"/>
          <w:szCs w:val="16"/>
          <w:color w:val="auto"/>
        </w:rPr>
        <w:t>subject to the last sentence of Section 2.1, a copy of the irrevocable instructions to the Transfer Agent instructing the Transfer Agent to deliver on an expedited basis via The Depository Trust Company Deposit or Withdrawal at Custodian system (“</w:t>
      </w:r>
      <w:r>
        <w:rPr>
          <w:rFonts w:ascii="Arial" w:cs="Arial" w:eastAsia="Arial" w:hAnsi="Arial"/>
          <w:sz w:val="16"/>
          <w:szCs w:val="16"/>
          <w:u w:val="single" w:color="auto"/>
          <w:color w:val="auto"/>
        </w:rPr>
        <w:t>DWAC</w:t>
      </w:r>
      <w:r>
        <w:rPr>
          <w:rFonts w:ascii="Arial" w:cs="Arial" w:eastAsia="Arial" w:hAnsi="Arial"/>
          <w:sz w:val="16"/>
          <w:szCs w:val="16"/>
          <w:color w:val="auto"/>
        </w:rPr>
        <w:t>”) Shares equal to such Purchaser’s Subscription Amount divided by the Per Share Purchase Price, registered in the name of such Purchaser;</w:t>
      </w:r>
    </w:p>
    <w:p>
      <w:pPr>
        <w:spacing w:after="0" w:line="146" w:lineRule="exact"/>
        <w:rPr>
          <w:rFonts w:ascii="Arial" w:cs="Arial" w:eastAsia="Arial" w:hAnsi="Arial"/>
          <w:sz w:val="16"/>
          <w:szCs w:val="16"/>
          <w:color w:val="auto"/>
        </w:rPr>
      </w:pPr>
    </w:p>
    <w:p>
      <w:pPr>
        <w:jc w:val="both"/>
        <w:ind w:left="1300" w:firstLine="653"/>
        <w:spacing w:after="0" w:line="259" w:lineRule="auto"/>
        <w:tabs>
          <w:tab w:leader="none" w:pos="2208" w:val="left"/>
        </w:tabs>
        <w:numPr>
          <w:ilvl w:val="1"/>
          <w:numId w:val="54"/>
        </w:numPr>
        <w:rPr>
          <w:rFonts w:ascii="Arial" w:cs="Arial" w:eastAsia="Arial" w:hAnsi="Arial"/>
          <w:sz w:val="18"/>
          <w:szCs w:val="18"/>
          <w:color w:val="auto"/>
        </w:rPr>
      </w:pPr>
      <w:r>
        <w:rPr>
          <w:rFonts w:ascii="Arial" w:cs="Arial" w:eastAsia="Arial" w:hAnsi="Arial"/>
          <w:sz w:val="18"/>
          <w:szCs w:val="18"/>
          <w:color w:val="auto"/>
        </w:rPr>
        <w:t>for each Purchaser of Pre-Funded Warrants a Pre-Funded Warrant registered in the name of such Purchaser to purchase up to a number of shares of Common Stock equal to such Purchaser’s Pre-Funded Warrant Subscription Amount divided by the Pre-Funded Warrant Purchase Price, with an exercise price equal to $0.01, subject to adjustment therein (such Pre-Funded Warrant certificate may be delivered within three Trading Days of the Closing Date); and</w:t>
      </w:r>
    </w:p>
    <w:p>
      <w:pPr>
        <w:spacing w:after="0" w:line="186" w:lineRule="exact"/>
        <w:rPr>
          <w:rFonts w:ascii="Arial" w:cs="Arial" w:eastAsia="Arial" w:hAnsi="Arial"/>
          <w:sz w:val="18"/>
          <w:szCs w:val="18"/>
          <w:color w:val="auto"/>
        </w:rPr>
      </w:pPr>
    </w:p>
    <w:p>
      <w:pPr>
        <w:ind w:left="2260" w:hanging="307"/>
        <w:spacing w:after="0"/>
        <w:tabs>
          <w:tab w:leader="none" w:pos="2260" w:val="left"/>
        </w:tabs>
        <w:numPr>
          <w:ilvl w:val="1"/>
          <w:numId w:val="54"/>
        </w:numPr>
        <w:rPr>
          <w:rFonts w:ascii="Arial" w:cs="Arial" w:eastAsia="Arial" w:hAnsi="Arial"/>
          <w:sz w:val="16"/>
          <w:szCs w:val="16"/>
          <w:color w:val="auto"/>
        </w:rPr>
      </w:pPr>
      <w:r>
        <w:rPr>
          <w:rFonts w:ascii="Arial" w:cs="Arial" w:eastAsia="Arial" w:hAnsi="Arial"/>
          <w:sz w:val="16"/>
          <w:szCs w:val="16"/>
          <w:color w:val="auto"/>
        </w:rPr>
        <w:t>the Prospectus and Prospectus Supplement (which may be delivered in accordance with Rule 172 under the Securities Act).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5" w:name="page66"/>
    <w:bookmarkEnd w:id="65"/>
    <w:p>
      <w:pPr>
        <w:ind w:left="900" w:hanging="25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On or prior to the Closing Date, each Purchaser shall deliver or cause to be delivered to the Company the following:</w:t>
      </w:r>
    </w:p>
    <w:p>
      <w:pPr>
        <w:spacing w:after="0" w:line="225" w:lineRule="exact"/>
        <w:rPr>
          <w:rFonts w:ascii="Arial" w:cs="Arial" w:eastAsia="Arial" w:hAnsi="Arial"/>
          <w:sz w:val="18"/>
          <w:szCs w:val="18"/>
          <w:color w:val="auto"/>
        </w:rPr>
      </w:pPr>
    </w:p>
    <w:p>
      <w:pPr>
        <w:ind w:left="1500" w:hanging="207"/>
        <w:spacing w:after="0"/>
        <w:tabs>
          <w:tab w:leader="none" w:pos="15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this Agreement duly executed by such Purchaser; and</w:t>
      </w:r>
    </w:p>
    <w:p>
      <w:pPr>
        <w:spacing w:after="0" w:line="225" w:lineRule="exact"/>
        <w:rPr>
          <w:rFonts w:ascii="Arial" w:cs="Arial" w:eastAsia="Arial" w:hAnsi="Arial"/>
          <w:sz w:val="18"/>
          <w:szCs w:val="18"/>
          <w:color w:val="auto"/>
        </w:rPr>
      </w:pPr>
    </w:p>
    <w:p>
      <w:pPr>
        <w:ind w:left="640" w:firstLine="653"/>
        <w:spacing w:after="0" w:line="277" w:lineRule="auto"/>
        <w:tabs>
          <w:tab w:leader="none" w:pos="15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such Purchaser’s Subscription Amount, which shall be made available for “Delivery Versus Payment” settlement with the Company or its designees.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Closing Conditions</w:t>
      </w:r>
      <w:r>
        <w:rPr>
          <w:rFonts w:ascii="Arial" w:cs="Arial" w:eastAsia="Arial" w:hAnsi="Arial"/>
          <w:sz w:val="18"/>
          <w:szCs w:val="18"/>
          <w:color w:val="auto"/>
        </w:rPr>
        <w:t>.</w:t>
      </w:r>
    </w:p>
    <w:p>
      <w:pPr>
        <w:spacing w:after="0" w:line="225" w:lineRule="exact"/>
        <w:rPr>
          <w:sz w:val="20"/>
          <w:szCs w:val="20"/>
          <w:color w:val="auto"/>
        </w:rPr>
      </w:pPr>
    </w:p>
    <w:p>
      <w:pPr>
        <w:ind w:left="880" w:hanging="235"/>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obligations of the Company hereunder in connection with the Closing are subject to the following conditions being met:</w:t>
      </w:r>
    </w:p>
    <w:p>
      <w:pPr>
        <w:spacing w:after="0" w:line="225" w:lineRule="exact"/>
        <w:rPr>
          <w:rFonts w:ascii="Arial" w:cs="Arial" w:eastAsia="Arial" w:hAnsi="Arial"/>
          <w:sz w:val="18"/>
          <w:szCs w:val="18"/>
          <w:color w:val="auto"/>
        </w:rPr>
      </w:pPr>
    </w:p>
    <w:p>
      <w:pPr>
        <w:jc w:val="both"/>
        <w:ind w:left="640" w:firstLine="653"/>
        <w:spacing w:after="0" w:line="264" w:lineRule="auto"/>
        <w:tabs>
          <w:tab w:leader="none" w:pos="1528"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Purchasers contained herein (unless as of a specific date therein in which case they shall be accurate as of such date);</w:t>
      </w:r>
    </w:p>
    <w:p>
      <w:pPr>
        <w:spacing w:after="0" w:line="181" w:lineRule="exact"/>
        <w:rPr>
          <w:rFonts w:ascii="Arial" w:cs="Arial" w:eastAsia="Arial" w:hAnsi="Arial"/>
          <w:sz w:val="18"/>
          <w:szCs w:val="18"/>
          <w:color w:val="auto"/>
        </w:rPr>
      </w:pPr>
    </w:p>
    <w:p>
      <w:pPr>
        <w:ind w:left="640" w:firstLine="653"/>
        <w:spacing w:after="0" w:line="277" w:lineRule="auto"/>
        <w:tabs>
          <w:tab w:leader="none" w:pos="1556"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obligations, covenants and agreements of each Purchaser required to be performed at or prior to the Closing Date shall have been performed; and</w:t>
      </w:r>
    </w:p>
    <w:p>
      <w:pPr>
        <w:spacing w:after="0" w:line="170" w:lineRule="exact"/>
        <w:rPr>
          <w:rFonts w:ascii="Arial" w:cs="Arial" w:eastAsia="Arial" w:hAnsi="Arial"/>
          <w:sz w:val="18"/>
          <w:szCs w:val="18"/>
          <w:color w:val="auto"/>
        </w:rPr>
      </w:pPr>
    </w:p>
    <w:p>
      <w:pPr>
        <w:ind w:left="1600" w:hanging="307"/>
        <w:spacing w:after="0"/>
        <w:tabs>
          <w:tab w:leader="none" w:pos="16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delivery by each Purchaser of the items set forth in Section 2.2(b) of this Agreement.</w:t>
      </w:r>
    </w:p>
    <w:p>
      <w:pPr>
        <w:spacing w:after="0" w:line="225" w:lineRule="exact"/>
        <w:rPr>
          <w:rFonts w:ascii="Arial" w:cs="Arial" w:eastAsia="Arial" w:hAnsi="Arial"/>
          <w:sz w:val="18"/>
          <w:szCs w:val="18"/>
          <w:color w:val="auto"/>
        </w:rPr>
      </w:pPr>
    </w:p>
    <w:p>
      <w:pPr>
        <w:ind w:left="900" w:hanging="255"/>
        <w:spacing w:after="0"/>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respective obligations of the Purchasers hereunder in connection with the Closing are subject to the following conditions being met:</w:t>
      </w:r>
    </w:p>
    <w:p>
      <w:pPr>
        <w:spacing w:after="0" w:line="248" w:lineRule="exact"/>
        <w:rPr>
          <w:rFonts w:ascii="Arial" w:cs="Arial" w:eastAsia="Arial" w:hAnsi="Arial"/>
          <w:sz w:val="16"/>
          <w:szCs w:val="16"/>
          <w:color w:val="auto"/>
        </w:rPr>
      </w:pPr>
    </w:p>
    <w:p>
      <w:pPr>
        <w:jc w:val="both"/>
        <w:ind w:left="640" w:firstLine="653"/>
        <w:spacing w:after="0" w:line="264" w:lineRule="auto"/>
        <w:tabs>
          <w:tab w:leader="none" w:pos="1528"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as of such date);</w:t>
      </w:r>
    </w:p>
    <w:p>
      <w:pPr>
        <w:spacing w:after="0" w:line="181" w:lineRule="exact"/>
        <w:rPr>
          <w:rFonts w:ascii="Arial" w:cs="Arial" w:eastAsia="Arial" w:hAnsi="Arial"/>
          <w:sz w:val="18"/>
          <w:szCs w:val="18"/>
          <w:color w:val="auto"/>
        </w:rPr>
      </w:pPr>
    </w:p>
    <w:p>
      <w:pPr>
        <w:ind w:left="640" w:firstLine="653"/>
        <w:spacing w:after="0" w:line="277" w:lineRule="auto"/>
        <w:tabs>
          <w:tab w:leader="none" w:pos="1561"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obligations, covenants and agreements of the Company required to be performed at or prior to the Closing Date shall have been performed;</w:t>
      </w:r>
    </w:p>
    <w:p>
      <w:pPr>
        <w:spacing w:after="0" w:line="170" w:lineRule="exact"/>
        <w:rPr>
          <w:rFonts w:ascii="Arial" w:cs="Arial" w:eastAsia="Arial" w:hAnsi="Arial"/>
          <w:sz w:val="18"/>
          <w:szCs w:val="18"/>
          <w:color w:val="auto"/>
        </w:rPr>
      </w:pPr>
    </w:p>
    <w:p>
      <w:pPr>
        <w:ind w:left="1600" w:hanging="307"/>
        <w:spacing w:after="0"/>
        <w:tabs>
          <w:tab w:leader="none" w:pos="16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delivery by the Company of the items set forth in Section 2.2(a) of this Agreement;</w:t>
      </w:r>
    </w:p>
    <w:p>
      <w:pPr>
        <w:spacing w:after="0" w:line="225" w:lineRule="exact"/>
        <w:rPr>
          <w:rFonts w:ascii="Arial" w:cs="Arial" w:eastAsia="Arial" w:hAnsi="Arial"/>
          <w:sz w:val="18"/>
          <w:szCs w:val="18"/>
          <w:color w:val="auto"/>
        </w:rPr>
      </w:pPr>
    </w:p>
    <w:p>
      <w:pPr>
        <w:ind w:left="1600" w:hanging="307"/>
        <w:spacing w:after="0"/>
        <w:tabs>
          <w:tab w:leader="none" w:pos="16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there shall have been no Material Adverse Effect with respect to the Company since the date hereof; and</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5" w:right="239" w:bottom="1440" w:gutter="0" w:footer="0" w:header="0"/>
        </w:sectPr>
      </w:pPr>
    </w:p>
    <w:bookmarkStart w:id="66" w:name="page67"/>
    <w:bookmarkEnd w:id="66"/>
    <w:p>
      <w:pPr>
        <w:jc w:val="both"/>
        <w:ind w:left="1300" w:firstLine="653"/>
        <w:spacing w:after="0" w:line="291" w:lineRule="auto"/>
        <w:tabs>
          <w:tab w:leader="none" w:pos="2213" w:val="left"/>
        </w:tabs>
        <w:numPr>
          <w:ilvl w:val="0"/>
          <w:numId w:val="57"/>
        </w:numPr>
        <w:rPr>
          <w:rFonts w:ascii="Arial" w:cs="Arial" w:eastAsia="Arial" w:hAnsi="Arial"/>
          <w:sz w:val="16"/>
          <w:szCs w:val="16"/>
          <w:color w:val="auto"/>
        </w:rPr>
      </w:pPr>
      <w:r>
        <w:rPr>
          <w:rFonts w:ascii="Arial" w:cs="Arial" w:eastAsia="Arial" w:hAnsi="Arial"/>
          <w:sz w:val="16"/>
          <w:szCs w:val="16"/>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Representations and Warranties of the Company</w:t>
      </w:r>
      <w:r>
        <w:rPr>
          <w:rFonts w:ascii="Arial" w:cs="Arial" w:eastAsia="Arial" w:hAnsi="Arial"/>
          <w:sz w:val="17"/>
          <w:szCs w:val="17"/>
          <w:color w:val="auto"/>
        </w:rPr>
        <w:t>. Except as set forth in the SEC Reports or the Disclosure Schedules, which Disclosure Schedules shall be deemed a part hereof and shall qualify any representation or otherwise made herein to the extent of the disclosure contained in the corresponding section of the Disclosure Schedules, the Company hereby makes the following representations and warranties to each Purchaser:</w:t>
      </w:r>
    </w:p>
    <w:p>
      <w:pPr>
        <w:spacing w:after="0" w:line="166" w:lineRule="exact"/>
        <w:rPr>
          <w:sz w:val="20"/>
          <w:szCs w:val="20"/>
          <w:color w:val="auto"/>
        </w:rPr>
      </w:pPr>
    </w:p>
    <w:p>
      <w:pPr>
        <w:jc w:val="both"/>
        <w:ind w:left="660" w:firstLine="645"/>
        <w:spacing w:after="0" w:line="257" w:lineRule="auto"/>
        <w:tabs>
          <w:tab w:leader="none" w:pos="1553"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All of the direct and indirect subsidiaries of the Company are set forth on </w:t>
      </w:r>
      <w:r>
        <w:rPr>
          <w:rFonts w:ascii="Arial" w:cs="Arial" w:eastAsia="Arial" w:hAnsi="Arial"/>
          <w:sz w:val="18"/>
          <w:szCs w:val="18"/>
          <w:u w:val="single" w:color="auto"/>
          <w:color w:val="auto"/>
        </w:rPr>
        <w:t>Schedule 3.1(a)</w:t>
      </w:r>
      <w:r>
        <w:rPr>
          <w:rFonts w:ascii="Arial" w:cs="Arial" w:eastAsia="Arial" w:hAnsi="Arial"/>
          <w:sz w:val="18"/>
          <w:szCs w:val="18"/>
          <w:color w:val="auto"/>
        </w:rPr>
        <w:t>.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spacing w:after="0" w:line="188" w:lineRule="exact"/>
        <w:rPr>
          <w:rFonts w:ascii="Arial" w:cs="Arial" w:eastAsia="Arial" w:hAnsi="Arial"/>
          <w:sz w:val="18"/>
          <w:szCs w:val="18"/>
          <w:color w:val="auto"/>
        </w:rPr>
      </w:pPr>
    </w:p>
    <w:p>
      <w:pPr>
        <w:jc w:val="both"/>
        <w:ind w:left="660" w:firstLine="645"/>
        <w:spacing w:after="0" w:line="269" w:lineRule="auto"/>
        <w:tabs>
          <w:tab w:leader="none" w:pos="1563"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Organization and Qualification</w:t>
      </w:r>
      <w:r>
        <w:rPr>
          <w:rFonts w:ascii="Arial" w:cs="Arial" w:eastAsia="Arial" w:hAnsi="Arial"/>
          <w:sz w:val="17"/>
          <w:szCs w:val="17"/>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Arial" w:cs="Arial" w:eastAsia="Arial" w:hAnsi="Arial"/>
          <w:sz w:val="17"/>
          <w:szCs w:val="17"/>
          <w:u w:val="single" w:color="auto"/>
          <w:color w:val="auto"/>
        </w:rPr>
        <w:t>Material</w:t>
      </w:r>
      <w:r>
        <w:rPr>
          <w:rFonts w:ascii="Arial" w:cs="Arial" w:eastAsia="Arial" w:hAnsi="Arial"/>
          <w:sz w:val="17"/>
          <w:szCs w:val="17"/>
          <w:color w:val="auto"/>
        </w:rPr>
        <w:t xml:space="preserve"> </w:t>
      </w:r>
      <w:r>
        <w:rPr>
          <w:rFonts w:ascii="Arial" w:cs="Arial" w:eastAsia="Arial" w:hAnsi="Arial"/>
          <w:sz w:val="17"/>
          <w:szCs w:val="17"/>
          <w:u w:val="single" w:color="auto"/>
          <w:color w:val="auto"/>
        </w:rPr>
        <w:t>Adverse Effect</w:t>
      </w:r>
      <w:r>
        <w:rPr>
          <w:rFonts w:ascii="Arial" w:cs="Arial" w:eastAsia="Arial" w:hAnsi="Arial"/>
          <w:sz w:val="17"/>
          <w:szCs w:val="17"/>
          <w:color w:val="auto"/>
        </w:rPr>
        <w:t>”) and no Proceeding has been instituted in any such jurisdiction revoking, limiting or curtailing or seeking to revoke, limit or curtail such power and authority or qualification.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7" w:name="page68"/>
    <w:bookmarkEnd w:id="67"/>
    <w:p>
      <w:pPr>
        <w:jc w:val="both"/>
        <w:ind w:left="-540" w:firstLine="645"/>
        <w:spacing w:after="0" w:line="269" w:lineRule="auto"/>
        <w:tabs>
          <w:tab w:leader="none" w:pos="380"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Authorization; Enforcement</w:t>
      </w:r>
      <w:r>
        <w:rPr>
          <w:rFonts w:ascii="Arial" w:cs="Arial" w:eastAsia="Arial" w:hAnsi="Arial"/>
          <w:sz w:val="17"/>
          <w:szCs w:val="17"/>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82" w:lineRule="exact"/>
        <w:rPr>
          <w:rFonts w:ascii="Arial" w:cs="Arial" w:eastAsia="Arial" w:hAnsi="Arial"/>
          <w:sz w:val="17"/>
          <w:szCs w:val="17"/>
          <w:color w:val="auto"/>
        </w:rPr>
      </w:pPr>
    </w:p>
    <w:p>
      <w:pPr>
        <w:jc w:val="both"/>
        <w:ind w:left="-540" w:firstLine="645"/>
        <w:spacing w:after="0" w:line="269" w:lineRule="auto"/>
        <w:tabs>
          <w:tab w:leader="none" w:pos="377"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No Conflicts</w:t>
      </w:r>
      <w:r>
        <w:rPr>
          <w:rFonts w:ascii="Arial" w:cs="Arial" w:eastAsia="Arial" w:hAnsi="Arial"/>
          <w:sz w:val="17"/>
          <w:szCs w:val="17"/>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179" w:lineRule="exact"/>
        <w:rPr>
          <w:rFonts w:ascii="Arial" w:cs="Arial" w:eastAsia="Arial" w:hAnsi="Arial"/>
          <w:sz w:val="17"/>
          <w:szCs w:val="17"/>
          <w:color w:val="auto"/>
        </w:rPr>
      </w:pPr>
    </w:p>
    <w:p>
      <w:pPr>
        <w:jc w:val="both"/>
        <w:ind w:left="-540" w:firstLine="645"/>
        <w:spacing w:after="0" w:line="273" w:lineRule="auto"/>
        <w:tabs>
          <w:tab w:leader="none" w:pos="353"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Filings, Consents and Approvals</w:t>
      </w:r>
      <w:r>
        <w:rPr>
          <w:rFonts w:ascii="Arial" w:cs="Arial" w:eastAsia="Arial" w:hAnsi="Arial"/>
          <w:sz w:val="17"/>
          <w:szCs w:val="17"/>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(iii) application(s) to each applicable Trading Market for the listing of the Shares and Pre-Funded Warrant Shares for trading thereon in the time and manner required thereby, and (iv) such filings as are required to be made under applicable state securities laws (collectively, the “</w:t>
      </w:r>
      <w:r>
        <w:rPr>
          <w:rFonts w:ascii="Arial" w:cs="Arial" w:eastAsia="Arial" w:hAnsi="Arial"/>
          <w:sz w:val="17"/>
          <w:szCs w:val="17"/>
          <w:u w:val="single" w:color="auto"/>
          <w:color w:val="auto"/>
        </w:rPr>
        <w:t>Required Approvals</w:t>
      </w:r>
      <w:r>
        <w:rPr>
          <w:rFonts w:ascii="Arial" w:cs="Arial" w:eastAsia="Arial" w:hAnsi="Arial"/>
          <w:sz w:val="17"/>
          <w:szCs w:val="17"/>
          <w:color w:val="auto"/>
        </w:rPr>
        <w:t>”).</w:t>
      </w:r>
    </w:p>
    <w:p>
      <w:pPr>
        <w:spacing w:after="0" w:line="17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68" w:name="page69"/>
    <w:bookmarkEnd w:id="68"/>
    <w:p>
      <w:pPr>
        <w:jc w:val="both"/>
        <w:ind w:left="-540" w:firstLine="645"/>
        <w:spacing w:after="0" w:line="284" w:lineRule="auto"/>
        <w:tabs>
          <w:tab w:leader="none" w:pos="333"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Issuance of the Securities; Registration</w:t>
      </w:r>
      <w:r>
        <w:rPr>
          <w:rFonts w:ascii="Arial" w:cs="Arial" w:eastAsia="Arial" w:hAnsi="Arial"/>
          <w:sz w:val="16"/>
          <w:szCs w:val="16"/>
          <w:color w:val="auto"/>
        </w:rPr>
        <w:t>. The Shares are duly authorized and, when issued and paid for in accordance with the applicable Transaction Documents, will be duly and validly issued, fully paid and nonassessable, free and clear of all Liens imposed by the Company. The Pre-Funded Warrants are duly authorized and, when issued and paid for in accordance with the applicable Transaction Documents, will constitute valid and legally binding obligations of the Company, enforceable against the Company in accordance with their terms, except as may be limited by bankruptcy, insolvency, reorganization, fraudulent transfer, fraudulent conveyance, moratorium or other laws now or hereafter in effect relating to or affecting enforcement of creditors’ rights generally and by general principles of equity (including without limitation concepts of materiality, reasonableness, good faith and fair dealing), regardless of whether such enforcement is considered in a proceeding at law or in equity. The Pre-Funded Warrant Shares are duly authorized and, when issued in accordance with the terms of the Pre-Funded Warrants, will be validly issued, fully paid and nonassessable, free and clear of all Liens imposed by the Company. The Company has reserved from its duly authorized capital stock the maximum number of shares of Common Stock issuable pursuant to this Agreement and the Pre-Funded Warrants. The Company has prepared and filed the Registration Statement in conformity with the requirements of the Securities Act, which became effective on April 14, 2017 (the “</w:t>
      </w:r>
      <w:r>
        <w:rPr>
          <w:rFonts w:ascii="Arial" w:cs="Arial" w:eastAsia="Arial" w:hAnsi="Arial"/>
          <w:sz w:val="16"/>
          <w:szCs w:val="16"/>
          <w:u w:val="single" w:color="auto"/>
          <w:color w:val="auto"/>
        </w:rPr>
        <w:t>Effective</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including the Prospectus, and such amendments and supplements thereto as may have been required to the date of this Agreement. The Company was at the time of the filing of the Registration Statement eligible to use Form S-3. The Company is eligible to use Form S-3 under the Securities Act and it meets the transaction requirements with respect to the aggregate market value of securities being sold pursuant to this offering and during the twelve calendar (12) months prior to this offering, as set forth in General Instruction I.B.6 of Form S-3.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Supplement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w:t>
      </w:r>
    </w:p>
    <w:p>
      <w:pPr>
        <w:spacing w:after="0" w:line="391" w:lineRule="exact"/>
        <w:rPr>
          <w:rFonts w:ascii="Arial" w:cs="Arial" w:eastAsia="Arial" w:hAnsi="Arial"/>
          <w:sz w:val="16"/>
          <w:szCs w:val="16"/>
          <w:color w:val="auto"/>
        </w:rPr>
      </w:pPr>
    </w:p>
    <w:p>
      <w:pPr>
        <w:jc w:val="both"/>
        <w:ind w:left="-540" w:firstLine="645"/>
        <w:spacing w:after="0" w:line="267" w:lineRule="auto"/>
        <w:tabs>
          <w:tab w:leader="none" w:pos="363"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Capitalization</w:t>
      </w:r>
      <w:r>
        <w:rPr>
          <w:rFonts w:ascii="Arial" w:cs="Arial" w:eastAsia="Arial" w:hAnsi="Arial"/>
          <w:sz w:val="17"/>
          <w:szCs w:val="17"/>
          <w:color w:val="auto"/>
        </w:rPr>
        <w:t>.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a result of the purchase and sale of the Securities,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Purchasers) and will not result in a right of any holder of Company securities to adjust the exercise, conversion, exchange or reset price under any of such securities.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1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69" w:name="page70"/>
    <w:bookmarkEnd w:id="69"/>
    <w:p>
      <w:pPr>
        <w:jc w:val="both"/>
        <w:ind w:left="-540" w:firstLine="645"/>
        <w:spacing w:after="0" w:line="285" w:lineRule="auto"/>
        <w:tabs>
          <w:tab w:leader="none" w:pos="363"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SEC Reports; Financial Statements</w:t>
      </w:r>
      <w:r>
        <w:rPr>
          <w:rFonts w:ascii="Arial" w:cs="Arial" w:eastAsia="Arial" w:hAnsi="Arial"/>
          <w:sz w:val="16"/>
          <w:szCs w:val="16"/>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Arial" w:cs="Arial" w:eastAsia="Arial" w:hAnsi="Arial"/>
          <w:sz w:val="16"/>
          <w:szCs w:val="16"/>
          <w:u w:val="single" w:color="auto"/>
          <w:color w:val="auto"/>
        </w:rPr>
        <w:t>SEC Reports</w:t>
      </w:r>
      <w:r>
        <w:rPr>
          <w:rFonts w:ascii="Arial" w:cs="Arial" w:eastAsia="Arial" w:hAnsi="Arial"/>
          <w:sz w:val="16"/>
          <w:szCs w:val="16"/>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Arial" w:cs="Arial" w:eastAsia="Arial" w:hAnsi="Arial"/>
          <w:sz w:val="16"/>
          <w:szCs w:val="16"/>
          <w:u w:val="single" w:color="auto"/>
          <w:color w:val="auto"/>
        </w:rPr>
        <w:t>GAAP</w:t>
      </w:r>
      <w:r>
        <w:rPr>
          <w:rFonts w:ascii="Arial" w:cs="Arial" w:eastAsia="Arial" w:hAnsi="Arial"/>
          <w:sz w:val="16"/>
          <w:szCs w:val="16"/>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77" w:lineRule="exact"/>
        <w:rPr>
          <w:rFonts w:ascii="Arial" w:cs="Arial" w:eastAsia="Arial" w:hAnsi="Arial"/>
          <w:sz w:val="16"/>
          <w:szCs w:val="16"/>
          <w:color w:val="auto"/>
        </w:rPr>
      </w:pPr>
    </w:p>
    <w:p>
      <w:pPr>
        <w:jc w:val="both"/>
        <w:ind w:left="-540" w:firstLine="645"/>
        <w:spacing w:after="0" w:line="268" w:lineRule="auto"/>
        <w:tabs>
          <w:tab w:leader="none" w:pos="337"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Material Changes; Undisclosed Events, Liabilities or Developments</w:t>
      </w:r>
      <w:r>
        <w:rPr>
          <w:rFonts w:ascii="Arial" w:cs="Arial" w:eastAsia="Arial" w:hAnsi="Arial"/>
          <w:sz w:val="17"/>
          <w:szCs w:val="17"/>
          <w:color w:val="auto"/>
        </w:rPr>
        <w:t xml:space="preserve">. Since the date of the latest audited financial statements included within the SEC Reports, except as disclosed in an SEC Report filed prior to the date hereof or as set forth on </w:t>
      </w:r>
      <w:r>
        <w:rPr>
          <w:rFonts w:ascii="Arial" w:cs="Arial" w:eastAsia="Arial" w:hAnsi="Arial"/>
          <w:sz w:val="17"/>
          <w:szCs w:val="17"/>
          <w:u w:val="single" w:color="auto"/>
          <w:color w:val="auto"/>
        </w:rPr>
        <w:t>Schedule 3.1(i)</w:t>
      </w:r>
      <w:r>
        <w:rPr>
          <w:rFonts w:ascii="Arial" w:cs="Arial" w:eastAsia="Arial" w:hAnsi="Arial"/>
          <w:sz w:val="17"/>
          <w:szCs w:val="17"/>
          <w:color w:val="auto"/>
        </w:rPr>
        <w:t xml:space="preserve">,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Securities contemplated by this Agreement or as set forth on </w:t>
      </w:r>
      <w:r>
        <w:rPr>
          <w:rFonts w:ascii="Arial" w:cs="Arial" w:eastAsia="Arial" w:hAnsi="Arial"/>
          <w:sz w:val="17"/>
          <w:szCs w:val="17"/>
          <w:u w:val="single" w:color="auto"/>
          <w:color w:val="auto"/>
        </w:rPr>
        <w:t>Schedule 3.1(i)</w:t>
      </w:r>
      <w:r>
        <w:rPr>
          <w:rFonts w:ascii="Arial" w:cs="Arial" w:eastAsia="Arial" w:hAnsi="Arial"/>
          <w:sz w:val="17"/>
          <w:szCs w:val="17"/>
          <w:color w:val="auto"/>
        </w:rPr>
        <w: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spacing w:after="0" w:line="18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70" w:name="page71"/>
    <w:bookmarkEnd w:id="70"/>
    <w:p>
      <w:pPr>
        <w:jc w:val="both"/>
        <w:ind w:left="-540" w:firstLine="645"/>
        <w:spacing w:after="0" w:line="288" w:lineRule="auto"/>
        <w:tabs>
          <w:tab w:leader="none" w:pos="323"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Litigation</w:t>
      </w:r>
      <w:r>
        <w:rPr>
          <w:rFonts w:ascii="Arial" w:cs="Arial" w:eastAsia="Arial" w:hAnsi="Arial"/>
          <w:sz w:val="16"/>
          <w:szCs w:val="16"/>
          <w:color w:val="auto"/>
        </w:rPr>
        <w:t>. Except as disclosed in an SEC Report or on Schedule 3.1(j),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Arial" w:cs="Arial" w:eastAsia="Arial" w:hAnsi="Arial"/>
          <w:sz w:val="16"/>
          <w:szCs w:val="16"/>
          <w:u w:val="single" w:color="auto"/>
          <w:color w:val="auto"/>
        </w:rPr>
        <w:t>Action</w:t>
      </w:r>
      <w:r>
        <w:rPr>
          <w:rFonts w:ascii="Arial" w:cs="Arial" w:eastAsia="Arial" w:hAnsi="Arial"/>
          <w:sz w:val="16"/>
          <w:szCs w:val="16"/>
          <w:color w:val="auto"/>
        </w:rPr>
        <w:t>”) which (i) adversely affects or challenges the legality, validity or enforceability of any of the Transaction Documents or the Securities or (ii) could, if there were an unfavorable decision, have or reasonably be expected to result in a Material Adverse Effect. Neither the Company nor any Subsidiary, nor any current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169" w:lineRule="exact"/>
        <w:rPr>
          <w:rFonts w:ascii="Arial" w:cs="Arial" w:eastAsia="Arial" w:hAnsi="Arial"/>
          <w:sz w:val="16"/>
          <w:szCs w:val="16"/>
          <w:color w:val="auto"/>
        </w:rPr>
      </w:pPr>
    </w:p>
    <w:p>
      <w:pPr>
        <w:jc w:val="both"/>
        <w:ind w:left="-540" w:firstLine="645"/>
        <w:spacing w:after="0" w:line="269" w:lineRule="auto"/>
        <w:tabs>
          <w:tab w:leader="none" w:pos="363"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Labor Relations</w:t>
      </w:r>
      <w:r>
        <w:rPr>
          <w:rFonts w:ascii="Arial" w:cs="Arial" w:eastAsia="Arial" w:hAnsi="Arial"/>
          <w:sz w:val="17"/>
          <w:szCs w:val="17"/>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would not, individually or in the aggregate, reasonably be expected to have a Material Adverse Effect.</w:t>
      </w:r>
    </w:p>
    <w:p>
      <w:pPr>
        <w:spacing w:after="0" w:line="182" w:lineRule="exact"/>
        <w:rPr>
          <w:rFonts w:ascii="Arial" w:cs="Arial" w:eastAsia="Arial" w:hAnsi="Arial"/>
          <w:sz w:val="17"/>
          <w:szCs w:val="17"/>
          <w:color w:val="auto"/>
        </w:rPr>
      </w:pPr>
    </w:p>
    <w:p>
      <w:pPr>
        <w:jc w:val="both"/>
        <w:ind w:left="-540" w:firstLine="645"/>
        <w:spacing w:after="0" w:line="271" w:lineRule="auto"/>
        <w:tabs>
          <w:tab w:leader="none" w:pos="323"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Compliance</w:t>
      </w:r>
      <w:r>
        <w:rPr>
          <w:rFonts w:ascii="Arial" w:cs="Arial" w:eastAsia="Arial" w:hAnsi="Arial"/>
          <w:sz w:val="17"/>
          <w:szCs w:val="17"/>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would not have or reasonably be expected to result in a Material Adverse Effect.</w:t>
      </w:r>
    </w:p>
    <w:p>
      <w:pPr>
        <w:spacing w:after="0" w:line="17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71" w:name="page72"/>
    <w:bookmarkEnd w:id="71"/>
    <w:p>
      <w:pPr>
        <w:jc w:val="both"/>
        <w:ind w:left="-540" w:firstLine="645"/>
        <w:spacing w:after="0" w:line="253" w:lineRule="auto"/>
        <w:tabs>
          <w:tab w:leader="none" w:pos="413"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Environmental Laws</w:t>
      </w:r>
      <w:r>
        <w:rPr>
          <w:rFonts w:ascii="Arial" w:cs="Arial" w:eastAsia="Arial" w:hAnsi="Arial"/>
          <w:sz w:val="18"/>
          <w:szCs w:val="18"/>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Arial" w:cs="Arial" w:eastAsia="Arial" w:hAnsi="Arial"/>
          <w:sz w:val="18"/>
          <w:szCs w:val="18"/>
          <w:u w:val="single" w:color="auto"/>
          <w:color w:val="auto"/>
        </w:rPr>
        <w:t>Hazardous Materials</w:t>
      </w:r>
      <w:r>
        <w:rPr>
          <w:rFonts w:ascii="Arial" w:cs="Arial" w:eastAsia="Arial" w:hAnsi="Arial"/>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Arial" w:cs="Arial" w:eastAsia="Arial" w:hAnsi="Arial"/>
          <w:sz w:val="18"/>
          <w:szCs w:val="18"/>
          <w:u w:val="single" w:color="auto"/>
          <w:color w:val="auto"/>
        </w:rPr>
        <w:t>Environmental Laws</w:t>
      </w:r>
      <w:r>
        <w:rPr>
          <w:rFonts w:ascii="Arial" w:cs="Arial" w:eastAsia="Arial" w:hAnsi="Arial"/>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would be reasonably expected to have, individually or in the aggregate, a Material Adverse Effect.</w:t>
      </w:r>
    </w:p>
    <w:p>
      <w:pPr>
        <w:spacing w:after="0" w:line="194" w:lineRule="exact"/>
        <w:rPr>
          <w:rFonts w:ascii="Arial" w:cs="Arial" w:eastAsia="Arial" w:hAnsi="Arial"/>
          <w:sz w:val="18"/>
          <w:szCs w:val="18"/>
          <w:color w:val="auto"/>
        </w:rPr>
      </w:pPr>
    </w:p>
    <w:p>
      <w:pPr>
        <w:jc w:val="both"/>
        <w:ind w:left="-540" w:firstLine="645"/>
        <w:spacing w:after="0" w:line="302" w:lineRule="auto"/>
        <w:tabs>
          <w:tab w:leader="none" w:pos="377"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Regulatory Permits</w:t>
      </w:r>
      <w:r>
        <w:rPr>
          <w:rFonts w:ascii="Arial" w:cs="Arial" w:eastAsia="Arial" w:hAnsi="Arial"/>
          <w:sz w:val="16"/>
          <w:szCs w:val="16"/>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Arial" w:cs="Arial" w:eastAsia="Arial" w:hAnsi="Arial"/>
          <w:sz w:val="16"/>
          <w:szCs w:val="16"/>
          <w:u w:val="single" w:color="auto"/>
          <w:color w:val="auto"/>
        </w:rPr>
        <w:t>Material Permits</w:t>
      </w:r>
      <w:r>
        <w:rPr>
          <w:rFonts w:ascii="Arial" w:cs="Arial" w:eastAsia="Arial" w:hAnsi="Arial"/>
          <w:sz w:val="16"/>
          <w:szCs w:val="16"/>
          <w:color w:val="auto"/>
        </w:rPr>
        <w:t>”), and neither the Company nor any Subsidiary has received any notice of proceedings relating to the revocation or modification of any Material Permit.</w:t>
      </w:r>
    </w:p>
    <w:p>
      <w:pPr>
        <w:spacing w:after="0" w:line="154" w:lineRule="exact"/>
        <w:rPr>
          <w:rFonts w:ascii="Arial" w:cs="Arial" w:eastAsia="Arial" w:hAnsi="Arial"/>
          <w:sz w:val="16"/>
          <w:szCs w:val="16"/>
          <w:color w:val="auto"/>
        </w:rPr>
      </w:pPr>
    </w:p>
    <w:p>
      <w:pPr>
        <w:jc w:val="both"/>
        <w:ind w:left="-540" w:firstLine="645"/>
        <w:spacing w:after="0" w:line="272" w:lineRule="auto"/>
        <w:tabs>
          <w:tab w:leader="none" w:pos="363"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Title to Assets</w:t>
      </w:r>
      <w:r>
        <w:rPr>
          <w:rFonts w:ascii="Arial" w:cs="Arial" w:eastAsia="Arial" w:hAnsi="Arial"/>
          <w:sz w:val="17"/>
          <w:szCs w:val="17"/>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177" w:lineRule="exact"/>
        <w:rPr>
          <w:rFonts w:ascii="Arial" w:cs="Arial" w:eastAsia="Arial" w:hAnsi="Arial"/>
          <w:sz w:val="17"/>
          <w:szCs w:val="17"/>
          <w:color w:val="auto"/>
        </w:rPr>
      </w:pPr>
    </w:p>
    <w:p>
      <w:pPr>
        <w:jc w:val="both"/>
        <w:ind w:left="-540" w:firstLine="645"/>
        <w:spacing w:after="0" w:line="268" w:lineRule="auto"/>
        <w:tabs>
          <w:tab w:leader="none" w:pos="377"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Intellectual Property</w:t>
      </w:r>
      <w:r>
        <w:rPr>
          <w:rFonts w:ascii="Arial" w:cs="Arial" w:eastAsia="Arial" w:hAnsi="Arial"/>
          <w:sz w:val="17"/>
          <w:szCs w:val="17"/>
          <w:color w:val="auto"/>
        </w:rPr>
        <w:t>. To the Company’s knowledge,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would have a Material Adverse Effect (collectively, the “</w:t>
      </w:r>
      <w:r>
        <w:rPr>
          <w:rFonts w:ascii="Arial" w:cs="Arial" w:eastAsia="Arial" w:hAnsi="Arial"/>
          <w:sz w:val="17"/>
          <w:szCs w:val="17"/>
          <w:u w:val="single" w:color="auto"/>
          <w:color w:val="auto"/>
        </w:rPr>
        <w:t>Intellectual Property Rights</w:t>
      </w:r>
      <w:r>
        <w:rPr>
          <w:rFonts w:ascii="Arial" w:cs="Arial" w:eastAsia="Arial" w:hAnsi="Arial"/>
          <w:sz w:val="17"/>
          <w:szCs w:val="17"/>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except as would not be reasonably expected to have a Material Adverse Effect.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would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would not, individually or in the aggregate, reasonably be expected to have a Material Adverse Effect.</w:t>
      </w:r>
    </w:p>
    <w:p>
      <w:pPr>
        <w:spacing w:after="0" w:line="18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72" w:name="page73"/>
    <w:bookmarkEnd w:id="72"/>
    <w:p>
      <w:pPr>
        <w:jc w:val="both"/>
        <w:ind w:left="-540" w:firstLine="645"/>
        <w:spacing w:after="0" w:line="257" w:lineRule="auto"/>
        <w:tabs>
          <w:tab w:leader="none" w:pos="363"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Neither the Company nor any Subsidiary has been advised that it will not be able to renew its existing insurance coverage as and when such coverage expires or to obtain similar coverage from similar insurers as may be necessary to continue its business without a significant increase in cost.</w:t>
      </w:r>
    </w:p>
    <w:p>
      <w:pPr>
        <w:spacing w:after="0" w:line="188" w:lineRule="exact"/>
        <w:rPr>
          <w:rFonts w:ascii="Arial" w:cs="Arial" w:eastAsia="Arial" w:hAnsi="Arial"/>
          <w:sz w:val="18"/>
          <w:szCs w:val="18"/>
          <w:color w:val="auto"/>
        </w:rPr>
      </w:pPr>
    </w:p>
    <w:p>
      <w:pPr>
        <w:jc w:val="both"/>
        <w:ind w:left="-540" w:firstLine="645"/>
        <w:spacing w:after="0" w:line="290" w:lineRule="auto"/>
        <w:tabs>
          <w:tab w:leader="none" w:pos="333"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Transactions With Affiliates and Employees</w:t>
      </w:r>
      <w:r>
        <w:rPr>
          <w:rFonts w:ascii="Arial" w:cs="Arial" w:eastAsia="Arial" w:hAnsi="Arial"/>
          <w:sz w:val="16"/>
          <w:szCs w:val="16"/>
          <w:color w:val="auto"/>
        </w:rPr>
        <w:t>.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166" w:lineRule="exact"/>
        <w:rPr>
          <w:rFonts w:ascii="Arial" w:cs="Arial" w:eastAsia="Arial" w:hAnsi="Arial"/>
          <w:sz w:val="16"/>
          <w:szCs w:val="16"/>
          <w:color w:val="auto"/>
        </w:rPr>
      </w:pPr>
    </w:p>
    <w:p>
      <w:pPr>
        <w:jc w:val="both"/>
        <w:ind w:left="-540" w:firstLine="645"/>
        <w:spacing w:after="0" w:line="267" w:lineRule="auto"/>
        <w:tabs>
          <w:tab w:leader="none" w:pos="357"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Sarbanes-Oxley; Internal Accounting Controls</w:t>
      </w:r>
      <w:r>
        <w:rPr>
          <w:rFonts w:ascii="Arial" w:cs="Arial" w:eastAsia="Arial" w:hAnsi="Arial"/>
          <w:sz w:val="17"/>
          <w:szCs w:val="17"/>
          <w:color w:val="auto"/>
        </w:rPr>
        <w:t>. The Company and the Subsidiaries are in compliance in all material respects with any and all applicable requirements of the Sarbanes-Oxley Act of 2002 that are effective as of the date hereof, and any and all applicable rules and regulations promulgated by the Commission thereunder that are effective as of the date hereof and as of the Closing Date. Except as disclosed in the SEC Reports,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SEC Reports,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Arial" w:cs="Arial" w:eastAsia="Arial" w:hAnsi="Arial"/>
          <w:sz w:val="17"/>
          <w:szCs w:val="17"/>
          <w:u w:val="single" w:color="auto"/>
          <w:color w:val="auto"/>
        </w:rPr>
        <w:t>Evaluation Date</w:t>
      </w:r>
      <w:r>
        <w:rPr>
          <w:rFonts w:ascii="Arial" w:cs="Arial" w:eastAsia="Arial" w:hAnsi="Arial"/>
          <w:sz w:val="17"/>
          <w:szCs w:val="17"/>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9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73" w:name="page74"/>
    <w:bookmarkEnd w:id="73"/>
    <w:p>
      <w:pPr>
        <w:jc w:val="both"/>
        <w:ind w:left="-540" w:firstLine="645"/>
        <w:spacing w:after="0" w:line="257" w:lineRule="auto"/>
        <w:tabs>
          <w:tab w:leader="none" w:pos="323"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 Except as set forth in the Prospectus Supplement,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88" w:lineRule="exact"/>
        <w:rPr>
          <w:rFonts w:ascii="Arial" w:cs="Arial" w:eastAsia="Arial" w:hAnsi="Arial"/>
          <w:sz w:val="18"/>
          <w:szCs w:val="18"/>
          <w:color w:val="auto"/>
        </w:rPr>
      </w:pPr>
    </w:p>
    <w:p>
      <w:pPr>
        <w:jc w:val="both"/>
        <w:ind w:left="-540" w:firstLine="645"/>
        <w:spacing w:after="0" w:line="259" w:lineRule="auto"/>
        <w:tabs>
          <w:tab w:leader="none" w:pos="363"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Investment Company</w:t>
      </w:r>
      <w:r>
        <w:rPr>
          <w:rFonts w:ascii="Arial" w:cs="Arial" w:eastAsia="Arial" w:hAnsi="Arial"/>
          <w:sz w:val="18"/>
          <w:szCs w:val="18"/>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86" w:lineRule="exact"/>
        <w:rPr>
          <w:rFonts w:ascii="Arial" w:cs="Arial" w:eastAsia="Arial" w:hAnsi="Arial"/>
          <w:sz w:val="18"/>
          <w:szCs w:val="18"/>
          <w:color w:val="auto"/>
        </w:rPr>
      </w:pPr>
    </w:p>
    <w:p>
      <w:pPr>
        <w:ind w:left="-540" w:right="20" w:firstLine="645"/>
        <w:spacing w:after="0" w:line="277" w:lineRule="auto"/>
        <w:tabs>
          <w:tab w:leader="none" w:pos="363"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No Person has any right to cause the Company or any Subsidiary to effect the registration under the Securities Act of any securities of the Company or any Subsidiary.</w:t>
      </w:r>
    </w:p>
    <w:p>
      <w:pPr>
        <w:spacing w:after="0" w:line="170" w:lineRule="exact"/>
        <w:rPr>
          <w:rFonts w:ascii="Arial" w:cs="Arial" w:eastAsia="Arial" w:hAnsi="Arial"/>
          <w:sz w:val="18"/>
          <w:szCs w:val="18"/>
          <w:color w:val="auto"/>
        </w:rPr>
      </w:pPr>
    </w:p>
    <w:p>
      <w:pPr>
        <w:jc w:val="both"/>
        <w:ind w:left="-540" w:firstLine="645"/>
        <w:spacing w:after="0" w:line="270" w:lineRule="auto"/>
        <w:tabs>
          <w:tab w:leader="none" w:pos="403"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Listing and Maintenance Requirements</w:t>
      </w:r>
      <w:r>
        <w:rPr>
          <w:rFonts w:ascii="Arial" w:cs="Arial" w:eastAsia="Arial" w:hAnsi="Arial"/>
          <w:sz w:val="17"/>
          <w:szCs w:val="17"/>
          <w:color w:val="auto"/>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Except as disclosed in the SEC Report,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8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74" w:name="page75"/>
    <w:bookmarkEnd w:id="74"/>
    <w:p>
      <w:pPr>
        <w:jc w:val="both"/>
        <w:ind w:left="-540" w:firstLine="645"/>
        <w:spacing w:after="0" w:line="255" w:lineRule="auto"/>
        <w:tabs>
          <w:tab w:leader="none" w:pos="363"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Application of Takeover Protections</w:t>
      </w:r>
      <w:r>
        <w:rPr>
          <w:rFonts w:ascii="Arial" w:cs="Arial" w:eastAsia="Arial" w:hAnsi="Arial"/>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spacing w:after="0" w:line="193" w:lineRule="exact"/>
        <w:rPr>
          <w:rFonts w:ascii="Arial" w:cs="Arial" w:eastAsia="Arial" w:hAnsi="Arial"/>
          <w:sz w:val="18"/>
          <w:szCs w:val="18"/>
          <w:color w:val="auto"/>
        </w:rPr>
      </w:pPr>
    </w:p>
    <w:p>
      <w:pPr>
        <w:jc w:val="both"/>
        <w:ind w:left="-540" w:firstLine="645"/>
        <w:spacing w:after="0" w:line="270" w:lineRule="auto"/>
        <w:tabs>
          <w:tab w:leader="none" w:pos="363"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Disclosure</w:t>
      </w:r>
      <w:r>
        <w:rPr>
          <w:rFonts w:ascii="Arial" w:cs="Arial" w:eastAsia="Arial" w:hAnsi="Arial"/>
          <w:sz w:val="17"/>
          <w:szCs w:val="17"/>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Disclosure Schedules to this Agreement, is true and correct in all material respects as of the date made and does not contain any untrue statement of a material fact or omit to state any material fact necessary in order to make the statements made therein, in the light of the circumstances under which they were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77" w:lineRule="exact"/>
        <w:rPr>
          <w:rFonts w:ascii="Arial" w:cs="Arial" w:eastAsia="Arial" w:hAnsi="Arial"/>
          <w:sz w:val="17"/>
          <w:szCs w:val="17"/>
          <w:color w:val="auto"/>
        </w:rPr>
      </w:pPr>
    </w:p>
    <w:p>
      <w:pPr>
        <w:jc w:val="both"/>
        <w:ind w:left="-540" w:firstLine="645"/>
        <w:spacing w:after="0" w:line="257" w:lineRule="auto"/>
        <w:tabs>
          <w:tab w:leader="none" w:pos="366"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No Integrated Offering</w:t>
      </w:r>
      <w:r>
        <w:rPr>
          <w:rFonts w:ascii="Arial" w:cs="Arial" w:eastAsia="Arial" w:hAnsi="Arial"/>
          <w:sz w:val="18"/>
          <w:szCs w:val="18"/>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any applicable shareholder approval provisions of any Trading Market on which any of the securities of the Company are listed or designated.</w:t>
      </w:r>
    </w:p>
    <w:p>
      <w:pPr>
        <w:spacing w:after="0" w:line="18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75" w:name="page76"/>
    <w:bookmarkEnd w:id="75"/>
    <w:p>
      <w:pPr>
        <w:jc w:val="both"/>
        <w:ind w:left="4" w:firstLine="645"/>
        <w:spacing w:after="0" w:line="288" w:lineRule="auto"/>
        <w:tabs>
          <w:tab w:leader="none" w:pos="977" w:val="left"/>
        </w:tabs>
        <w:numPr>
          <w:ilvl w:val="1"/>
          <w:numId w:val="67"/>
        </w:numPr>
        <w:rPr>
          <w:rFonts w:ascii="Arial" w:cs="Arial" w:eastAsia="Arial" w:hAnsi="Arial"/>
          <w:sz w:val="16"/>
          <w:szCs w:val="16"/>
          <w:color w:val="auto"/>
        </w:rPr>
      </w:pPr>
      <w:r>
        <w:rPr>
          <w:rFonts w:ascii="Arial" w:cs="Arial" w:eastAsia="Arial" w:hAnsi="Arial"/>
          <w:sz w:val="16"/>
          <w:szCs w:val="16"/>
          <w:u w:val="single" w:color="auto"/>
          <w:color w:val="auto"/>
        </w:rPr>
        <w:t>Solvency</w:t>
      </w:r>
      <w:r>
        <w:rPr>
          <w:rFonts w:ascii="Arial" w:cs="Arial" w:eastAsia="Arial" w:hAnsi="Arial"/>
          <w:sz w:val="16"/>
          <w:szCs w:val="16"/>
          <w:color w:val="auto"/>
        </w:rPr>
        <w:t>.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w:t>
      </w:r>
    </w:p>
    <w:p>
      <w:pPr>
        <w:jc w:val="both"/>
        <w:ind w:left="4" w:hanging="4"/>
        <w:spacing w:after="0" w:line="267" w:lineRule="auto"/>
        <w:tabs>
          <w:tab w:leader="none" w:pos="282"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Neither the Company nor any Subsidiary is in default with respect to any Indebtedness. For the purposes of this Agreement, “</w:t>
      </w:r>
      <w:r>
        <w:rPr>
          <w:rFonts w:ascii="Arial" w:cs="Arial" w:eastAsia="Arial" w:hAnsi="Arial"/>
          <w:sz w:val="17"/>
          <w:szCs w:val="17"/>
          <w:u w:val="single" w:color="auto"/>
          <w:color w:val="auto"/>
        </w:rPr>
        <w:t>Indebtedness</w:t>
      </w:r>
      <w:r>
        <w:rPr>
          <w:rFonts w:ascii="Arial" w:cs="Arial" w:eastAsia="Arial" w:hAnsi="Arial"/>
          <w:sz w:val="17"/>
          <w:szCs w:val="17"/>
          <w:color w:val="auto"/>
        </w:rPr>
        <w:t>” 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w:t>
      </w:r>
    </w:p>
    <w:p>
      <w:pPr>
        <w:spacing w:after="0" w:line="182" w:lineRule="exact"/>
        <w:rPr>
          <w:rFonts w:ascii="Arial" w:cs="Arial" w:eastAsia="Arial" w:hAnsi="Arial"/>
          <w:sz w:val="17"/>
          <w:szCs w:val="17"/>
          <w:color w:val="auto"/>
        </w:rPr>
      </w:pPr>
    </w:p>
    <w:p>
      <w:pPr>
        <w:jc w:val="both"/>
        <w:ind w:left="4" w:firstLine="645"/>
        <w:spacing w:after="0" w:line="272" w:lineRule="auto"/>
        <w:tabs>
          <w:tab w:leader="none" w:pos="997" w:val="left"/>
        </w:tabs>
        <w:numPr>
          <w:ilvl w:val="1"/>
          <w:numId w:val="68"/>
        </w:numPr>
        <w:rPr>
          <w:rFonts w:ascii="Arial" w:cs="Arial" w:eastAsia="Arial" w:hAnsi="Arial"/>
          <w:sz w:val="17"/>
          <w:szCs w:val="17"/>
          <w:color w:val="auto"/>
        </w:rPr>
      </w:pPr>
      <w:r>
        <w:rPr>
          <w:rFonts w:ascii="Arial" w:cs="Arial" w:eastAsia="Arial" w:hAnsi="Arial"/>
          <w:sz w:val="17"/>
          <w:szCs w:val="17"/>
          <w:u w:val="single" w:color="auto"/>
          <w:color w:val="auto"/>
        </w:rPr>
        <w:t>Tax Status</w:t>
      </w:r>
      <w:r>
        <w:rPr>
          <w:rFonts w:ascii="Arial" w:cs="Arial" w:eastAsia="Arial" w:hAnsi="Arial"/>
          <w:sz w:val="17"/>
          <w:szCs w:val="17"/>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77" w:lineRule="exact"/>
        <w:rPr>
          <w:rFonts w:ascii="Arial" w:cs="Arial" w:eastAsia="Arial" w:hAnsi="Arial"/>
          <w:sz w:val="17"/>
          <w:szCs w:val="17"/>
          <w:color w:val="auto"/>
        </w:rPr>
      </w:pPr>
    </w:p>
    <w:p>
      <w:pPr>
        <w:jc w:val="both"/>
        <w:ind w:left="4" w:firstLine="645"/>
        <w:spacing w:after="0" w:line="273" w:lineRule="auto"/>
        <w:tabs>
          <w:tab w:leader="none" w:pos="990" w:val="left"/>
        </w:tabs>
        <w:numPr>
          <w:ilvl w:val="1"/>
          <w:numId w:val="68"/>
        </w:numPr>
        <w:rPr>
          <w:rFonts w:ascii="Arial" w:cs="Arial" w:eastAsia="Arial" w:hAnsi="Arial"/>
          <w:sz w:val="17"/>
          <w:szCs w:val="17"/>
          <w:color w:val="auto"/>
        </w:rPr>
      </w:pPr>
      <w:r>
        <w:rPr>
          <w:rFonts w:ascii="Arial" w:cs="Arial" w:eastAsia="Arial" w:hAnsi="Arial"/>
          <w:sz w:val="17"/>
          <w:szCs w:val="17"/>
          <w:u w:val="single" w:color="auto"/>
          <w:color w:val="auto"/>
        </w:rPr>
        <w:t>Foreign Corrupt Practices</w:t>
      </w:r>
      <w:r>
        <w:rPr>
          <w:rFonts w:ascii="Arial" w:cs="Arial" w:eastAsia="Arial" w:hAnsi="Arial"/>
          <w:sz w:val="17"/>
          <w:szCs w:val="17"/>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178"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65" w:right="239" w:bottom="1440" w:gutter="0" w:footer="0" w:header="0"/>
        </w:sectPr>
      </w:pPr>
    </w:p>
    <w:bookmarkStart w:id="76" w:name="page77"/>
    <w:bookmarkEnd w:id="76"/>
    <w:p>
      <w:pPr>
        <w:jc w:val="both"/>
        <w:ind w:left="4" w:firstLine="645"/>
        <w:spacing w:after="0" w:line="259" w:lineRule="auto"/>
        <w:tabs>
          <w:tab w:leader="none" w:pos="997"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Accountants</w:t>
      </w:r>
      <w:r>
        <w:rPr>
          <w:rFonts w:ascii="Arial" w:cs="Arial" w:eastAsia="Arial" w:hAnsi="Arial"/>
          <w:sz w:val="18"/>
          <w:szCs w:val="18"/>
          <w:color w:val="auto"/>
        </w:rPr>
        <w:t>. The Company’s independent registered public accounting firm is Brightman Almagor Zohar &amp; Co., a Member of Deloitte Touche Tohmatsu Limited.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ended December 31, 2018.</w:t>
      </w:r>
    </w:p>
    <w:p>
      <w:pPr>
        <w:spacing w:after="0" w:line="186" w:lineRule="exact"/>
        <w:rPr>
          <w:rFonts w:ascii="Arial" w:cs="Arial" w:eastAsia="Arial" w:hAnsi="Arial"/>
          <w:sz w:val="18"/>
          <w:szCs w:val="18"/>
          <w:color w:val="auto"/>
        </w:rPr>
      </w:pPr>
    </w:p>
    <w:p>
      <w:pPr>
        <w:jc w:val="both"/>
        <w:ind w:left="4" w:firstLine="645"/>
        <w:spacing w:after="0" w:line="254" w:lineRule="auto"/>
        <w:tabs>
          <w:tab w:leader="none" w:pos="977"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Acknowledgment Regarding Purchasers’ Purchase of Securities</w:t>
      </w:r>
      <w:r>
        <w:rPr>
          <w:rFonts w:ascii="Arial" w:cs="Arial" w:eastAsia="Arial" w:hAnsi="Arial"/>
          <w:sz w:val="18"/>
          <w:szCs w:val="18"/>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92" w:lineRule="exact"/>
        <w:rPr>
          <w:rFonts w:ascii="Arial" w:cs="Arial" w:eastAsia="Arial" w:hAnsi="Arial"/>
          <w:sz w:val="18"/>
          <w:szCs w:val="18"/>
          <w:color w:val="auto"/>
        </w:rPr>
      </w:pPr>
    </w:p>
    <w:p>
      <w:pPr>
        <w:jc w:val="both"/>
        <w:ind w:left="4" w:firstLine="645"/>
        <w:spacing w:after="0" w:line="284" w:lineRule="auto"/>
        <w:tabs>
          <w:tab w:leader="none" w:pos="988" w:val="left"/>
        </w:tabs>
        <w:numPr>
          <w:ilvl w:val="1"/>
          <w:numId w:val="69"/>
        </w:numPr>
        <w:rPr>
          <w:rFonts w:ascii="Arial" w:cs="Arial" w:eastAsia="Arial" w:hAnsi="Arial"/>
          <w:sz w:val="16"/>
          <w:szCs w:val="16"/>
          <w:color w:val="auto"/>
        </w:rPr>
      </w:pPr>
      <w:r>
        <w:rPr>
          <w:rFonts w:ascii="Arial" w:cs="Arial" w:eastAsia="Arial" w:hAnsi="Arial"/>
          <w:sz w:val="16"/>
          <w:szCs w:val="16"/>
          <w:u w:val="single" w:color="auto"/>
          <w:color w:val="auto"/>
        </w:rPr>
        <w:t>Acknowledgment Regarding Purchaser’s Trading Activity</w:t>
      </w:r>
      <w:r>
        <w:rPr>
          <w:rFonts w:ascii="Arial" w:cs="Arial" w:eastAsia="Arial" w:hAnsi="Arial"/>
          <w:sz w:val="16"/>
          <w:szCs w:val="16"/>
          <w:color w:val="auto"/>
        </w:rPr>
        <w:t>. Anything in this Agreement or elsewhere herein to the contrary notwithstanding (except for Sections 3.2(e) and 4.14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w:t>
      </w:r>
    </w:p>
    <w:p>
      <w:pPr>
        <w:spacing w:after="0" w:line="4" w:lineRule="exact"/>
        <w:rPr>
          <w:rFonts w:ascii="Arial" w:cs="Arial" w:eastAsia="Arial" w:hAnsi="Arial"/>
          <w:sz w:val="16"/>
          <w:szCs w:val="16"/>
          <w:color w:val="auto"/>
        </w:rPr>
      </w:pPr>
    </w:p>
    <w:p>
      <w:pPr>
        <w:jc w:val="both"/>
        <w:ind w:left="4" w:hanging="4"/>
        <w:spacing w:after="0" w:line="290" w:lineRule="auto"/>
        <w:tabs>
          <w:tab w:leader="none" w:pos="324" w:val="left"/>
        </w:tabs>
        <w:numPr>
          <w:ilvl w:val="0"/>
          <w:numId w:val="70"/>
        </w:numPr>
        <w:rPr>
          <w:rFonts w:ascii="Arial" w:cs="Arial" w:eastAsia="Arial" w:hAnsi="Arial"/>
          <w:sz w:val="16"/>
          <w:szCs w:val="16"/>
          <w:color w:val="auto"/>
        </w:rPr>
      </w:pPr>
      <w:r>
        <w:rPr>
          <w:rFonts w:ascii="Arial" w:cs="Arial" w:eastAsia="Arial" w:hAnsi="Arial"/>
          <w:sz w:val="16"/>
          <w:szCs w:val="16"/>
          <w:color w:val="auto"/>
        </w:rPr>
        <w:t>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164"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65" w:right="239" w:bottom="1440" w:gutter="0" w:footer="0" w:header="0"/>
        </w:sectPr>
      </w:pPr>
    </w:p>
    <w:bookmarkStart w:id="77" w:name="page78"/>
    <w:bookmarkEnd w:id="77"/>
    <w:p>
      <w:pPr>
        <w:jc w:val="both"/>
        <w:ind w:left="-540" w:firstLine="645"/>
        <w:spacing w:after="0" w:line="297" w:lineRule="auto"/>
        <w:tabs>
          <w:tab w:leader="none" w:pos="453"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Regulation M Compliance</w:t>
      </w:r>
      <w:r>
        <w:rPr>
          <w:rFonts w:ascii="Arial" w:cs="Arial" w:eastAsia="Arial" w:hAnsi="Arial"/>
          <w:sz w:val="16"/>
          <w:szCs w:val="16"/>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Company’s placement agent in connection with the placement of the Securities.</w:t>
      </w:r>
    </w:p>
    <w:p>
      <w:pPr>
        <w:spacing w:after="0" w:line="158" w:lineRule="exact"/>
        <w:rPr>
          <w:rFonts w:ascii="Arial" w:cs="Arial" w:eastAsia="Arial" w:hAnsi="Arial"/>
          <w:sz w:val="16"/>
          <w:szCs w:val="16"/>
          <w:color w:val="auto"/>
        </w:rPr>
      </w:pPr>
    </w:p>
    <w:p>
      <w:pPr>
        <w:jc w:val="both"/>
        <w:ind w:left="-540" w:firstLine="645"/>
        <w:spacing w:after="0" w:line="285" w:lineRule="auto"/>
        <w:tabs>
          <w:tab w:leader="none" w:pos="453"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FDA</w:t>
      </w:r>
      <w:r>
        <w:rPr>
          <w:rFonts w:ascii="Arial" w:cs="Arial" w:eastAsia="Arial" w:hAnsi="Arial"/>
          <w:sz w:val="16"/>
          <w:szCs w:val="16"/>
          <w:color w:val="auto"/>
        </w:rPr>
        <w:t>. As to each product subject to the jurisdiction of the U.S. Food and Drug Administration (“</w:t>
      </w:r>
      <w:r>
        <w:rPr>
          <w:rFonts w:ascii="Arial" w:cs="Arial" w:eastAsia="Arial" w:hAnsi="Arial"/>
          <w:sz w:val="16"/>
          <w:szCs w:val="16"/>
          <w:u w:val="single" w:color="auto"/>
          <w:color w:val="auto"/>
        </w:rPr>
        <w:t>FDA</w:t>
      </w:r>
      <w:r>
        <w:rPr>
          <w:rFonts w:ascii="Arial" w:cs="Arial" w:eastAsia="Arial" w:hAnsi="Arial"/>
          <w:sz w:val="16"/>
          <w:szCs w:val="16"/>
          <w:color w:val="auto"/>
        </w:rPr>
        <w:t>”) under the Federal Food, Drug and Cosmetic Act, as amended, and the regulations thereunder (“</w:t>
      </w:r>
      <w:r>
        <w:rPr>
          <w:rFonts w:ascii="Arial" w:cs="Arial" w:eastAsia="Arial" w:hAnsi="Arial"/>
          <w:sz w:val="16"/>
          <w:szCs w:val="16"/>
          <w:u w:val="single" w:color="auto"/>
          <w:color w:val="auto"/>
        </w:rPr>
        <w:t>FDCA</w:t>
      </w:r>
      <w:r>
        <w:rPr>
          <w:rFonts w:ascii="Arial" w:cs="Arial" w:eastAsia="Arial" w:hAnsi="Arial"/>
          <w:sz w:val="16"/>
          <w:szCs w:val="16"/>
          <w:color w:val="auto"/>
        </w:rPr>
        <w:t>”) that is manufactured, packaged, labeled, tested, distributed, sold, and/or marketed by the Company or any of its Subsidiaries (each such product, a “</w:t>
      </w:r>
      <w:r>
        <w:rPr>
          <w:rFonts w:ascii="Arial" w:cs="Arial" w:eastAsia="Arial" w:hAnsi="Arial"/>
          <w:sz w:val="16"/>
          <w:szCs w:val="16"/>
          <w:u w:val="single" w:color="auto"/>
          <w:color w:val="auto"/>
        </w:rPr>
        <w:t>Pharmaceutical Product</w:t>
      </w:r>
      <w:r>
        <w:rPr>
          <w:rFonts w:ascii="Arial" w:cs="Arial" w:eastAsia="Arial" w:hAnsi="Arial"/>
          <w:sz w:val="16"/>
          <w:szCs w:val="16"/>
          <w:color w:val="auto"/>
        </w:rPr>
        <w:t>”), such Pharmaceutical Product is being manufactured, packaged, labeled, tested, distributed, sold and/or marketed by the Company in compliance with all applicable requirements under FDCA and similar laws, rules and regulations relating to registration, investigational use, premarket clearance, licensure, or application approval, good manufacturing practices, good laboratory practices, good clinical practices, product listing, quotas, labeling, advertising, record keeping and filing of reports, except where the failure to be in compliance would not have a Material Adverse Effect. There is no pending, completed or, to the Company’s knowledge, threatened, action (including any lawsuit, arbitration, or legal or administrative or regulatory proceeding, charge, complaint, or investigation) against the Company or any of its Subsidiaries, and none of the Company or any of its Subsidiaries has received any notice, warning letter or other communication from the FDA or any other governmental entity, which (i) contests the premarket clearance, licensure, registration, or approval of, the uses of, the distribution of, the manufacturing or packaging of, the testing of, the sale of, or the labeling and promotion of any Pharmaceutical Product, (ii) withdraws its approval of, requests the recall, suspension, or seizure of, or withdraws or orders the withdrawal of advertising or sales promotional materials relating to, any Pharmaceutical Product, (iii) imposes a clinical hold on any clinical investigation by the Company or any of its Subsidiaries, (iv) enjoins production at any facility of the Company or any of its Subsidiaries, (v) enters or proposes to enter into a consent decree of permanent injunction with the Company or any of its Subsidiaries, or (vi) otherwise alleges any violation of any laws, rules or regulations by the Company or any of its Subsidiaries, and which, either individually or in the aggregate, would have a Material Adverse Effect. The properties, business and operations of the Company have been and are being conducted in all material respects in accordance with all applicable laws, rules and regulations of the FDA. The Company has not been informed by the FDA that the FDA will prohibit the marketing, sale, license or use in the United States of any product proposed to be developed, produced or marketed by the Company nor has the FDA expressed any concern as to approving or clearing for marketing any product being developed or proposed to be developed by the Company.</w:t>
      </w:r>
    </w:p>
    <w:p>
      <w:pPr>
        <w:spacing w:after="0" w:line="16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78" w:name="page79"/>
    <w:bookmarkEnd w:id="78"/>
    <w:p>
      <w:pPr>
        <w:jc w:val="both"/>
        <w:ind w:left="-540" w:firstLine="645"/>
        <w:spacing w:after="0" w:line="273" w:lineRule="auto"/>
        <w:tabs>
          <w:tab w:leader="none" w:pos="373"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Stock Option Plans</w:t>
      </w:r>
      <w:r>
        <w:rPr>
          <w:rFonts w:ascii="Arial" w:cs="Arial" w:eastAsia="Arial" w:hAnsi="Arial"/>
          <w:sz w:val="17"/>
          <w:szCs w:val="17"/>
          <w:color w:val="auto"/>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78" w:lineRule="exact"/>
        <w:rPr>
          <w:rFonts w:ascii="Arial" w:cs="Arial" w:eastAsia="Arial" w:hAnsi="Arial"/>
          <w:sz w:val="17"/>
          <w:szCs w:val="17"/>
          <w:color w:val="auto"/>
        </w:rPr>
      </w:pPr>
    </w:p>
    <w:p>
      <w:pPr>
        <w:jc w:val="both"/>
        <w:ind w:left="-540" w:firstLine="645"/>
        <w:spacing w:after="0" w:line="264" w:lineRule="auto"/>
        <w:tabs>
          <w:tab w:leader="none" w:pos="387"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Office of Foreign Assets Control</w:t>
      </w:r>
      <w:r>
        <w:rPr>
          <w:rFonts w:ascii="Arial" w:cs="Arial" w:eastAsia="Arial" w:hAnsi="Arial"/>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Arial" w:cs="Arial" w:eastAsia="Arial" w:hAnsi="Arial"/>
          <w:sz w:val="18"/>
          <w:szCs w:val="18"/>
          <w:u w:val="single" w:color="auto"/>
          <w:color w:val="auto"/>
        </w:rPr>
        <w:t>OFAC</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540" w:right="20" w:firstLine="645"/>
        <w:spacing w:after="0" w:line="308" w:lineRule="auto"/>
        <w:tabs>
          <w:tab w:leader="none" w:pos="453"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U.S. Real Property Holding Corporation</w:t>
      </w:r>
      <w:r>
        <w:rPr>
          <w:rFonts w:ascii="Arial" w:cs="Arial" w:eastAsia="Arial" w:hAnsi="Arial"/>
          <w:sz w:val="17"/>
          <w:szCs w:val="17"/>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46" w:lineRule="exact"/>
        <w:rPr>
          <w:rFonts w:ascii="Arial" w:cs="Arial" w:eastAsia="Arial" w:hAnsi="Arial"/>
          <w:sz w:val="17"/>
          <w:szCs w:val="17"/>
          <w:color w:val="auto"/>
        </w:rPr>
      </w:pPr>
    </w:p>
    <w:p>
      <w:pPr>
        <w:jc w:val="both"/>
        <w:ind w:left="-540" w:right="20" w:firstLine="645"/>
        <w:spacing w:after="0" w:line="273" w:lineRule="auto"/>
        <w:tabs>
          <w:tab w:leader="none" w:pos="373"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Bank Holding Company Act</w:t>
      </w:r>
      <w:r>
        <w:rPr>
          <w:rFonts w:ascii="Arial" w:cs="Arial" w:eastAsia="Arial" w:hAnsi="Arial"/>
          <w:sz w:val="17"/>
          <w:szCs w:val="17"/>
          <w:color w:val="auto"/>
        </w:rPr>
        <w:t>. Neither the Company nor any of its Subsidiaries or Affiliates is subject to the Bank Holding Company Act of 1956, as amended (the “</w:t>
      </w:r>
      <w:r>
        <w:rPr>
          <w:rFonts w:ascii="Arial" w:cs="Arial" w:eastAsia="Arial" w:hAnsi="Arial"/>
          <w:sz w:val="17"/>
          <w:szCs w:val="17"/>
          <w:u w:val="single" w:color="auto"/>
          <w:color w:val="auto"/>
        </w:rPr>
        <w:t>BHCA</w:t>
      </w:r>
      <w:r>
        <w:rPr>
          <w:rFonts w:ascii="Arial" w:cs="Arial" w:eastAsia="Arial" w:hAnsi="Arial"/>
          <w:sz w:val="17"/>
          <w:szCs w:val="17"/>
          <w:color w:val="auto"/>
        </w:rPr>
        <w:t>”) and to regulation by the Board of Governors of the Federal Reserve System (the “</w:t>
      </w:r>
      <w:r>
        <w:rPr>
          <w:rFonts w:ascii="Arial" w:cs="Arial" w:eastAsia="Arial" w:hAnsi="Arial"/>
          <w:sz w:val="17"/>
          <w:szCs w:val="17"/>
          <w:u w:val="single" w:color="auto"/>
          <w:color w:val="auto"/>
        </w:rPr>
        <w:t>Federal Reserve</w:t>
      </w:r>
      <w:r>
        <w:rPr>
          <w:rFonts w:ascii="Arial" w:cs="Arial" w:eastAsia="Arial" w:hAnsi="Arial"/>
          <w:sz w:val="17"/>
          <w:szCs w:val="17"/>
          <w:color w:val="auto"/>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78" w:lineRule="exact"/>
        <w:rPr>
          <w:rFonts w:ascii="Arial" w:cs="Arial" w:eastAsia="Arial" w:hAnsi="Arial"/>
          <w:sz w:val="17"/>
          <w:szCs w:val="17"/>
          <w:color w:val="auto"/>
        </w:rPr>
      </w:pPr>
    </w:p>
    <w:p>
      <w:pPr>
        <w:jc w:val="both"/>
        <w:ind w:left="-540" w:firstLine="645"/>
        <w:spacing w:after="0" w:line="276" w:lineRule="auto"/>
        <w:tabs>
          <w:tab w:leader="none" w:pos="553"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Money Laundering</w:t>
      </w:r>
      <w:r>
        <w:rPr>
          <w:rFonts w:ascii="Arial" w:cs="Arial" w:eastAsia="Arial" w:hAnsi="Arial"/>
          <w:sz w:val="17"/>
          <w:szCs w:val="17"/>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Arial" w:cs="Arial" w:eastAsia="Arial" w:hAnsi="Arial"/>
          <w:sz w:val="17"/>
          <w:szCs w:val="17"/>
          <w:u w:val="single" w:color="auto"/>
          <w:color w:val="auto"/>
        </w:rPr>
        <w:t>Money Laundering Laws</w:t>
      </w:r>
      <w:r>
        <w:rPr>
          <w:rFonts w:ascii="Arial" w:cs="Arial" w:eastAsia="Arial" w:hAnsi="Arial"/>
          <w:sz w:val="17"/>
          <w:szCs w:val="17"/>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7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79" w:name="page80"/>
    <w:bookmarkEnd w:id="79"/>
    <w:p>
      <w:pPr>
        <w:ind w:right="20" w:firstLine="648"/>
        <w:spacing w:after="0" w:line="342"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Representations and Warranties of the Purchasers</w:t>
      </w:r>
      <w:r>
        <w:rPr>
          <w:rFonts w:ascii="Arial" w:cs="Arial" w:eastAsia="Arial" w:hAnsi="Arial"/>
          <w:sz w:val="16"/>
          <w:szCs w:val="16"/>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124" w:lineRule="exact"/>
        <w:rPr>
          <w:sz w:val="20"/>
          <w:szCs w:val="20"/>
          <w:color w:val="auto"/>
        </w:rPr>
      </w:pPr>
    </w:p>
    <w:p>
      <w:pPr>
        <w:jc w:val="both"/>
        <w:ind w:left="660" w:firstLine="645"/>
        <w:spacing w:after="0" w:line="269" w:lineRule="auto"/>
        <w:tabs>
          <w:tab w:leader="none" w:pos="1566"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Organization; Authority</w:t>
      </w:r>
      <w:r>
        <w:rPr>
          <w:rFonts w:ascii="Arial" w:cs="Arial" w:eastAsia="Arial" w:hAnsi="Arial"/>
          <w:sz w:val="17"/>
          <w:szCs w:val="17"/>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82" w:lineRule="exact"/>
        <w:rPr>
          <w:rFonts w:ascii="Arial" w:cs="Arial" w:eastAsia="Arial" w:hAnsi="Arial"/>
          <w:sz w:val="17"/>
          <w:szCs w:val="17"/>
          <w:color w:val="auto"/>
        </w:rPr>
      </w:pPr>
    </w:p>
    <w:p>
      <w:pPr>
        <w:jc w:val="both"/>
        <w:ind w:left="660" w:firstLine="645"/>
        <w:spacing w:after="0" w:line="279" w:lineRule="auto"/>
        <w:tabs>
          <w:tab w:leader="none" w:pos="1590"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Understandings or Arrangements</w:t>
      </w:r>
      <w:r>
        <w:rPr>
          <w:rFonts w:ascii="Arial" w:cs="Arial" w:eastAsia="Arial" w:hAnsi="Arial"/>
          <w:sz w:val="17"/>
          <w:szCs w:val="17"/>
          <w:color w:val="auto"/>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w:t>
      </w:r>
    </w:p>
    <w:p>
      <w:pPr>
        <w:spacing w:after="0" w:line="171" w:lineRule="exact"/>
        <w:rPr>
          <w:rFonts w:ascii="Arial" w:cs="Arial" w:eastAsia="Arial" w:hAnsi="Arial"/>
          <w:sz w:val="17"/>
          <w:szCs w:val="17"/>
          <w:color w:val="auto"/>
        </w:rPr>
      </w:pPr>
    </w:p>
    <w:p>
      <w:pPr>
        <w:jc w:val="both"/>
        <w:ind w:left="660" w:firstLine="645"/>
        <w:spacing w:after="0" w:line="264" w:lineRule="auto"/>
        <w:tabs>
          <w:tab w:leader="none" w:pos="1553"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Purchaser Status</w:t>
      </w:r>
      <w:r>
        <w:rPr>
          <w:rFonts w:ascii="Arial" w:cs="Arial" w:eastAsia="Arial" w:hAnsi="Arial"/>
          <w:sz w:val="18"/>
          <w:szCs w:val="18"/>
          <w:color w:val="auto"/>
        </w:rPr>
        <w:t>. At the time such Purchaser was offered the Securities, it was, and as of the date hereof it is, either: (i) an “accredited investor” as defined in Rule 501(a)(1), (a)(2), (a)(3), (a)(7) or (a)(8) under the Securities Act or (ii) a “qualified institutional buyer” as defined in Rule 144A(a) under the Securities Act.</w:t>
      </w:r>
    </w:p>
    <w:p>
      <w:pPr>
        <w:spacing w:after="0" w:line="181" w:lineRule="exact"/>
        <w:rPr>
          <w:rFonts w:ascii="Arial" w:cs="Arial" w:eastAsia="Arial" w:hAnsi="Arial"/>
          <w:sz w:val="18"/>
          <w:szCs w:val="18"/>
          <w:color w:val="auto"/>
        </w:rPr>
      </w:pPr>
    </w:p>
    <w:p>
      <w:pPr>
        <w:jc w:val="both"/>
        <w:ind w:left="660" w:firstLine="645"/>
        <w:spacing w:after="0" w:line="259" w:lineRule="auto"/>
        <w:tabs>
          <w:tab w:leader="none" w:pos="1563"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Experience of Such Purchaser</w:t>
      </w:r>
      <w:r>
        <w:rPr>
          <w:rFonts w:ascii="Arial" w:cs="Arial" w:eastAsia="Arial" w:hAnsi="Arial"/>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186" w:lineRule="exact"/>
        <w:rPr>
          <w:rFonts w:ascii="Arial" w:cs="Arial" w:eastAsia="Arial" w:hAnsi="Arial"/>
          <w:sz w:val="18"/>
          <w:szCs w:val="18"/>
          <w:color w:val="auto"/>
        </w:rPr>
      </w:pPr>
    </w:p>
    <w:p>
      <w:pPr>
        <w:jc w:val="both"/>
        <w:ind w:left="660" w:firstLine="645"/>
        <w:spacing w:after="0" w:line="269" w:lineRule="auto"/>
        <w:tabs>
          <w:tab w:leader="none" w:pos="1553"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Access to Information</w:t>
      </w:r>
      <w:r>
        <w:rPr>
          <w:rFonts w:ascii="Arial" w:cs="Arial" w:eastAsia="Arial" w:hAnsi="Arial"/>
          <w:sz w:val="17"/>
          <w:szCs w:val="17"/>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0" w:name="page81"/>
    <w:bookmarkEnd w:id="80"/>
    <w:p>
      <w:pPr>
        <w:jc w:val="both"/>
        <w:ind w:left="660" w:firstLine="645"/>
        <w:spacing w:after="0" w:line="286" w:lineRule="auto"/>
        <w:tabs>
          <w:tab w:leader="none" w:pos="1547"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Certain Transactions and Confidentiality</w:t>
      </w:r>
      <w:r>
        <w:rPr>
          <w:rFonts w:ascii="Arial" w:cs="Arial" w:eastAsia="Arial" w:hAnsi="Arial"/>
          <w:sz w:val="16"/>
          <w:szCs w:val="16"/>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7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OTHER AGREEMENTS OF THE PARTIES</w:t>
      </w:r>
    </w:p>
    <w:p>
      <w:pPr>
        <w:spacing w:after="0" w:line="21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Registration</w:t>
      </w:r>
      <w:r>
        <w:rPr>
          <w:rFonts w:ascii="Arial" w:cs="Arial" w:eastAsia="Arial" w:hAnsi="Arial"/>
          <w:sz w:val="16"/>
          <w:szCs w:val="16"/>
          <w:color w:val="auto"/>
        </w:rPr>
        <w:t>. The Shares and Pre-Funded Warrants shall be issued free of legends. If all or any portion of a Pre-Funded Warrant is exercised at a time when there is an effective registration statement to cover the issuance or resale of the Pre-Funded Warrant Shares or if the Pre-Funded Warrant is exercised via cashless exercise, the Pre-Funded Warrant Shares issued pursuant to any such exercise shall be issued free of all legends. If at any time following the date hereof the Registration Statement (or any subsequent registration statement registering the sale or resale of the Pre-Funded Warrant Shares) is not effective or is not otherwise available for the sale or resale of the Pre-Funded Warrant Shares, the Company shall immediately notify the holders of the Pre-Funded Warrants in writing that such registration statement is not then effective and thereafter shall promptly notify such holders when the registration statement is effective again and available for the sale or resale of the Pre-Funded Warrant Shares (it being understood and agreed that the foregoing shall not limit the ability of the Company to issue, or any Purchaser to sell, any of the Pre-Funded Warrant Shares in compliance with applicable federal and state securities laws). The Company shall use best efforts to keep a registration statement (including the Registration Statement) registering the issuance or resale of the Pre-Funded Warrant Shares effective during the term of the Pre-Funded Warrants.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Furnishing of Information</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5"/>
        <w:spacing w:after="0" w:line="264" w:lineRule="auto"/>
        <w:tabs>
          <w:tab w:leader="none" w:pos="15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Until the time that no Purchaser owns Securities. the Company covenants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Integration</w:t>
      </w:r>
      <w:r>
        <w:rPr>
          <w:rFonts w:ascii="Arial" w:cs="Arial" w:eastAsia="Arial" w:hAnsi="Arial"/>
          <w:sz w:val="18"/>
          <w:szCs w:val="18"/>
          <w:color w:val="auto"/>
        </w:rPr>
        <w:t>. The Company shall not sell, offer for sale or solicit offers to buy or otherwise negotiate in respect of any security (as defined in Section 2 of the Securities Act)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8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Securities Laws Disclosure; Publicity</w:t>
      </w:r>
      <w:r>
        <w:rPr>
          <w:rFonts w:ascii="Arial" w:cs="Arial" w:eastAsia="Arial" w:hAnsi="Arial"/>
          <w:sz w:val="17"/>
          <w:szCs w:val="17"/>
          <w:color w:val="auto"/>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or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or Affiliates on the one hand, and any of the Purchasers or any of their Affiliates on the other hand, shall terminate.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2" w:name="page83"/>
    <w:bookmarkEnd w:id="82"/>
    <w:p>
      <w:pPr>
        <w:jc w:val="both"/>
        <w:ind w:firstLine="648"/>
        <w:spacing w:after="0" w:line="25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Shareholder Rights Plan</w:t>
      </w:r>
      <w:r>
        <w:rPr>
          <w:rFonts w:ascii="Arial" w:cs="Arial" w:eastAsia="Arial" w:hAnsi="Arial"/>
          <w:sz w:val="18"/>
          <w:szCs w:val="18"/>
          <w:color w:val="auto"/>
        </w:rPr>
        <w:t>. No claim will be made or enforced by the Company or, with the consent of the Company, any other Person, that any Purchaser is an “</w:t>
      </w:r>
      <w:r>
        <w:rPr>
          <w:rFonts w:ascii="Arial" w:cs="Arial" w:eastAsia="Arial" w:hAnsi="Arial"/>
          <w:sz w:val="18"/>
          <w:szCs w:val="18"/>
          <w:u w:val="single" w:color="auto"/>
          <w:color w:val="auto"/>
        </w:rPr>
        <w:t>Acquiring Person</w:t>
      </w:r>
      <w:r>
        <w:rPr>
          <w:rFonts w:ascii="Arial" w:cs="Arial" w:eastAsia="Arial" w:hAnsi="Arial"/>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Non-Public Information</w:t>
      </w:r>
      <w:r>
        <w:rPr>
          <w:rFonts w:ascii="Arial" w:cs="Arial" w:eastAsia="Arial" w:hAnsi="Arial"/>
          <w:sz w:val="17"/>
          <w:szCs w:val="17"/>
          <w:color w:val="auto"/>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to the receipt of such information and agreed with the Company to keep such information confidential. The Company understands and confirms that each Purchaser shall be relying on the foregoing covenant in effecting transactions in securities of the Company. To the extent that the Company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agents, employees or Affiliates, or a duty to the Company, any of its Subsidiaries or any of their respective officers, directors, agents, employees or Affiliates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 The Company understands and confirms that each Purchaser shall be relying on the foregoing covenant in effecting transactions in securities of the Company.</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Company shall use the net proceeds from the sale of the Securities hereunder for the purposes described in the Prospectus Supplement.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3" w:name="page84"/>
    <w:bookmarkEnd w:id="83"/>
    <w:p>
      <w:pPr>
        <w:jc w:val="both"/>
        <w:ind w:firstLine="648"/>
        <w:spacing w:after="0" w:line="284"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Indemnification of Purchasers</w:t>
      </w:r>
      <w:r>
        <w:rPr>
          <w:rFonts w:ascii="Arial" w:cs="Arial" w:eastAsia="Arial" w:hAnsi="Arial"/>
          <w:sz w:val="16"/>
          <w:szCs w:val="16"/>
          <w:color w:val="auto"/>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Arial" w:cs="Arial" w:eastAsia="Arial" w:hAnsi="Arial"/>
          <w:sz w:val="16"/>
          <w:szCs w:val="16"/>
          <w:u w:val="single" w:color="auto"/>
          <w:color w:val="auto"/>
        </w:rPr>
        <w:t>Purchaser Party</w:t>
      </w:r>
      <w:r>
        <w:rPr>
          <w:rFonts w:ascii="Arial" w:cs="Arial" w:eastAsia="Arial" w:hAnsi="Arial"/>
          <w:sz w:val="16"/>
          <w:szCs w:val="16"/>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(x) the employment thereof has been specifically authorized by the Company in writing, (y) the Company has failed after a reasonable period of time to assume such defense and to employ counsel or (z)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(1) for any settlement by a Purchaser Party effected without the Company’s prior written consent, which shall not be unreasonably withheld or delayed; or (2)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4.8 shall be made by periodic payments of the amount thereof during the course of the investigation or defense, as and when bills are received or are incurred, provided that the Indemnified Party executes an undertaking to reimburse amounts paid if indemnification is unavailable hereunder. The indemnity agreements contained herein shall be in addition to any cause of action or similar right of any Purchaser Party against the Company or others and any liabilities the Company may be subject to pursuant to law.</w:t>
      </w:r>
    </w:p>
    <w:p>
      <w:pPr>
        <w:spacing w:after="0" w:line="3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Reservation of Common Stock</w:t>
      </w:r>
      <w:r>
        <w:rPr>
          <w:rFonts w:ascii="Arial" w:cs="Arial" w:eastAsia="Arial" w:hAnsi="Arial"/>
          <w:sz w:val="18"/>
          <w:szCs w:val="18"/>
          <w:color w:val="auto"/>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 and Pre-Funded Warrant Shares pursuant to any exercise of the Pre-Funded Warrants.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4" w:name="page85"/>
    <w:bookmarkEnd w:id="84"/>
    <w:p>
      <w:pPr>
        <w:jc w:val="both"/>
        <w:ind w:firstLine="648"/>
        <w:spacing w:after="0" w:line="270" w:lineRule="auto"/>
        <w:rPr>
          <w:sz w:val="20"/>
          <w:szCs w:val="20"/>
          <w:color w:val="auto"/>
        </w:rPr>
      </w:pPr>
      <w:r>
        <w:rPr>
          <w:rFonts w:ascii="Arial" w:cs="Arial" w:eastAsia="Arial" w:hAnsi="Arial"/>
          <w:sz w:val="17"/>
          <w:szCs w:val="17"/>
          <w:color w:val="auto"/>
        </w:rPr>
        <w:t xml:space="preserve">4.10 </w:t>
      </w:r>
      <w:r>
        <w:rPr>
          <w:rFonts w:ascii="Arial" w:cs="Arial" w:eastAsia="Arial" w:hAnsi="Arial"/>
          <w:sz w:val="17"/>
          <w:szCs w:val="17"/>
          <w:u w:val="single" w:color="auto"/>
          <w:color w:val="auto"/>
        </w:rPr>
        <w:t>Listing of Common Stock</w:t>
      </w:r>
      <w:r>
        <w:rPr>
          <w:rFonts w:ascii="Arial" w:cs="Arial" w:eastAsia="Arial" w:hAnsi="Arial"/>
          <w:sz w:val="17"/>
          <w:szCs w:val="17"/>
          <w:color w:val="auto"/>
        </w:rPr>
        <w:t>. The Company hereby agrees to use best efforts to maintain the listing or quotation of the Common Stock on the Trading Market on which it is currently listed, and concurrently with the Closing, the Company shall apply to list or quote all of the Shares and Pre-Funded Warrant Shares on such Trading Market and promptly secure the listing of all of the Shares and Pre-Funded Warrant Shares on such Trading Market. The Company further agrees, if the Company applies to have the Common Stock traded on any other Trading Market, it will then include in such application all of the Shares and Pre-Funded Warrant Shares, and will take such other action as is necessary to cause all of the Shares and Pre-Funded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4.13 </w:t>
      </w:r>
      <w:r>
        <w:rPr>
          <w:rFonts w:ascii="Arial" w:cs="Arial" w:eastAsia="Arial" w:hAnsi="Arial"/>
          <w:sz w:val="17"/>
          <w:szCs w:val="17"/>
          <w:u w:val="single" w:color="auto"/>
          <w:color w:val="auto"/>
        </w:rPr>
        <w:t>Equal Treatment of Purchasers</w:t>
      </w:r>
      <w:r>
        <w:rPr>
          <w:rFonts w:ascii="Arial" w:cs="Arial" w:eastAsia="Arial" w:hAnsi="Arial"/>
          <w:sz w:val="17"/>
          <w:szCs w:val="17"/>
          <w:color w:val="auto"/>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such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17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4.14 </w:t>
      </w:r>
      <w:r>
        <w:rPr>
          <w:rFonts w:ascii="Arial" w:cs="Arial" w:eastAsia="Arial" w:hAnsi="Arial"/>
          <w:sz w:val="16"/>
          <w:szCs w:val="16"/>
          <w:u w:val="single" w:color="auto"/>
          <w:color w:val="auto"/>
        </w:rPr>
        <w:t>Certain Transactions and Confidentiality</w:t>
      </w:r>
      <w:r>
        <w:rPr>
          <w:rFonts w:ascii="Arial" w:cs="Arial" w:eastAsia="Arial" w:hAnsi="Arial"/>
          <w:sz w:val="16"/>
          <w:szCs w:val="16"/>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and the information included in the Disclosure Schedules.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or its Subsidiaries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 consummated</w:t>
      </w:r>
    </w:p>
    <w:p>
      <w:pPr>
        <w:jc w:val="both"/>
        <w:ind w:right="20"/>
        <w:spacing w:after="0" w:line="205" w:lineRule="auto"/>
        <w:rPr>
          <w:sz w:val="20"/>
          <w:szCs w:val="20"/>
          <w:color w:val="auto"/>
        </w:rPr>
      </w:pPr>
      <w:r>
        <w:rPr>
          <w:rFonts w:ascii="Arial" w:cs="Arial" w:eastAsia="Arial" w:hAnsi="Arial"/>
          <w:sz w:val="18"/>
          <w:szCs w:val="18"/>
          <w:color w:val="auto"/>
        </w:rPr>
        <w:t>on or before the fifth (5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Trading Day following the date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termination will affect the right of any party to sue for any breach by any other party (or parties).</w:t>
      </w:r>
    </w:p>
    <w:p>
      <w:pPr>
        <w:spacing w:after="0" w:line="20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Fees and Expenses</w:t>
      </w:r>
      <w:r>
        <w:rPr>
          <w:rFonts w:ascii="Arial" w:cs="Arial" w:eastAsia="Arial" w:hAnsi="Arial"/>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Entire Agreement</w:t>
      </w:r>
      <w:r>
        <w:rPr>
          <w:rFonts w:ascii="Arial" w:cs="Arial" w:eastAsia="Arial" w:hAnsi="Arial"/>
          <w:sz w:val="16"/>
          <w:szCs w:val="16"/>
          <w:color w:val="auto"/>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4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Notices</w:t>
      </w:r>
      <w:r>
        <w:rPr>
          <w:rFonts w:ascii="Arial" w:cs="Arial" w:eastAsia="Arial" w:hAnsi="Arial"/>
          <w:sz w:val="16"/>
          <w:szCs w:val="16"/>
          <w:color w:val="auto"/>
        </w:rPr>
        <w:t>. Any and all notices or other communications or deliveries required or permitted to be provided hereunder shall be in writing and shall be deemed given and effective on the earliest of: (a) the date of transmission, if such notice or communication is delivered via facsimile at the facsimile number or email attachment at the email address as set forth on the signature pages attached hereto at or prior to 5:30 p.m. (New York City time) on a Trading Day, (b) the next Trading Day after the date of transmission, if such notice or communication is delivered via facsimile at the facsimile number or email attachment at the email address as set forth on the signature pages attached hereto on a day that is not a Trading Day or later than 5:30 p.m. (New York City time) on any Trading Day, (c) the second (2</w:t>
      </w:r>
      <w:r>
        <w:rPr>
          <w:rFonts w:ascii="Arial" w:cs="Arial" w:eastAsia="Arial" w:hAnsi="Arial"/>
          <w:sz w:val="26"/>
          <w:szCs w:val="26"/>
          <w:color w:val="auto"/>
          <w:vertAlign w:val="superscript"/>
        </w:rPr>
        <w:t>nd</w:t>
      </w:r>
      <w:r>
        <w:rPr>
          <w:rFonts w:ascii="Arial" w:cs="Arial" w:eastAsia="Arial" w:hAnsi="Arial"/>
          <w:sz w:val="16"/>
          <w:szCs w:val="16"/>
          <w:color w:val="auto"/>
        </w:rPr>
        <w:t>)Trading Day following the date of mailing, if sent by U.S. nationally recognized overnight courier service or</w:t>
      </w:r>
    </w:p>
    <w:p>
      <w:pPr>
        <w:spacing w:after="0" w:line="2" w:lineRule="exact"/>
        <w:rPr>
          <w:sz w:val="20"/>
          <w:szCs w:val="20"/>
          <w:color w:val="auto"/>
        </w:rPr>
      </w:pPr>
    </w:p>
    <w:p>
      <w:pPr>
        <w:jc w:val="both"/>
        <w:ind w:firstLine="8"/>
        <w:spacing w:after="0" w:line="253" w:lineRule="auto"/>
        <w:tabs>
          <w:tab w:leader="none" w:pos="258" w:val="left"/>
        </w:tabs>
        <w:numPr>
          <w:ilvl w:val="0"/>
          <w:numId w:val="76"/>
        </w:numPr>
        <w:rPr>
          <w:rFonts w:ascii="Arial" w:cs="Arial" w:eastAsia="Arial" w:hAnsi="Arial"/>
          <w:sz w:val="18"/>
          <w:szCs w:val="18"/>
          <w:color w:val="auto"/>
        </w:rPr>
      </w:pPr>
      <w:r>
        <w:rPr>
          <w:rFonts w:ascii="Arial" w:cs="Arial" w:eastAsia="Arial" w:hAnsi="Arial"/>
          <w:sz w:val="18"/>
          <w:szCs w:val="18"/>
          <w:color w:val="auto"/>
        </w:rPr>
        <w:t>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6" w:name="page87"/>
    <w:bookmarkEnd w:id="86"/>
    <w:p>
      <w:pPr>
        <w:jc w:val="both"/>
        <w:ind w:firstLine="648"/>
        <w:spacing w:after="0" w:line="288"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Amendments; Waivers</w:t>
      </w:r>
      <w:r>
        <w:rPr>
          <w:rFonts w:ascii="Arial" w:cs="Arial" w:eastAsia="Arial" w:hAnsi="Arial"/>
          <w:sz w:val="16"/>
          <w:szCs w:val="16"/>
          <w:color w:val="auto"/>
        </w:rPr>
        <w:t>. No provision of this Agreement may be waived, modified, supplemented or amended except in a written instrument signed, in the case of an amendment, by the Company and Purchasers which purchased at least 50.1% in interest of the Shares based on the initial Subscription Amounts hereunder or, in the case of a waiver, by the party against whom enforcement of any such waived provision is sought, provided that if any amendment, modification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spacing w:after="0" w:line="16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herein are for convenience only, do not constitute a part of this Agreement and shall not be deemed to limit or affect any of the provisions hereof.</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The Placement Agent shall be the third party beneficiary of the representations and warranties of the Company in Section 3.1 and the representations and warranties of the Purchasers in Section 3.2.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7" w:name="page88"/>
    <w:bookmarkEnd w:id="87"/>
    <w:p>
      <w:pPr>
        <w:jc w:val="both"/>
        <w:ind w:firstLine="648"/>
        <w:spacing w:after="0" w:line="268"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Governing Law</w:t>
      </w:r>
      <w:r>
        <w:rPr>
          <w:rFonts w:ascii="Arial" w:cs="Arial" w:eastAsia="Arial" w:hAnsi="Arial"/>
          <w:sz w:val="17"/>
          <w:szCs w:val="17"/>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Survival</w:t>
      </w:r>
      <w:r>
        <w:rPr>
          <w:rFonts w:ascii="Arial" w:cs="Arial" w:eastAsia="Arial" w:hAnsi="Arial"/>
          <w:sz w:val="18"/>
          <w:szCs w:val="18"/>
          <w:color w:val="auto"/>
        </w:rPr>
        <w:t>. The representations and warranties contained herein shall survive the Closing and the delivery of the Securities.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Execution</w:t>
      </w:r>
      <w:r>
        <w:rPr>
          <w:rFonts w:ascii="Arial" w:cs="Arial" w:eastAsia="Arial" w:hAnsi="Arial"/>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8" w:name="page89"/>
    <w:bookmarkEnd w:id="88"/>
    <w:p>
      <w:pPr>
        <w:jc w:val="both"/>
        <w:ind w:firstLine="648"/>
        <w:spacing w:after="0" w:line="302" w:lineRule="auto"/>
        <w:rPr>
          <w:sz w:val="20"/>
          <w:szCs w:val="20"/>
          <w:color w:val="auto"/>
        </w:rPr>
      </w:pPr>
      <w:r>
        <w:rPr>
          <w:rFonts w:ascii="Arial" w:cs="Arial" w:eastAsia="Arial" w:hAnsi="Arial"/>
          <w:sz w:val="16"/>
          <w:szCs w:val="16"/>
          <w:color w:val="auto"/>
        </w:rPr>
        <w:t xml:space="preserve">5.13 </w:t>
      </w:r>
      <w:r>
        <w:rPr>
          <w:rFonts w:ascii="Arial" w:cs="Arial" w:eastAsia="Arial" w:hAnsi="Arial"/>
          <w:sz w:val="16"/>
          <w:szCs w:val="16"/>
          <w:u w:val="single" w:color="auto"/>
          <w:color w:val="auto"/>
        </w:rPr>
        <w:t>Rescission and Withdrawal Right</w:t>
      </w:r>
      <w:r>
        <w:rPr>
          <w:rFonts w:ascii="Arial" w:cs="Arial" w:eastAsia="Arial" w:hAnsi="Arial"/>
          <w:sz w:val="16"/>
          <w:szCs w:val="16"/>
          <w:color w:val="auto"/>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w:t>
      </w:r>
    </w:p>
    <w:p>
      <w:pPr>
        <w:spacing w:after="0" w:line="1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Replacement of Securities</w:t>
      </w:r>
      <w:r>
        <w:rPr>
          <w:rFonts w:ascii="Arial" w:cs="Arial" w:eastAsia="Arial" w:hAnsi="Arial"/>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5.15 </w:t>
      </w:r>
      <w:r>
        <w:rPr>
          <w:rFonts w:ascii="Arial" w:cs="Arial" w:eastAsia="Arial" w:hAnsi="Arial"/>
          <w:sz w:val="17"/>
          <w:szCs w:val="17"/>
          <w:u w:val="single" w:color="auto"/>
          <w:color w:val="auto"/>
        </w:rPr>
        <w:t>Remedies</w:t>
      </w:r>
      <w:r>
        <w:rPr>
          <w:rFonts w:ascii="Arial" w:cs="Arial" w:eastAsia="Arial" w:hAnsi="Arial"/>
          <w:sz w:val="17"/>
          <w:szCs w:val="17"/>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5.16 </w:t>
      </w:r>
      <w:r>
        <w:rPr>
          <w:rFonts w:ascii="Arial" w:cs="Arial" w:eastAsia="Arial" w:hAnsi="Arial"/>
          <w:sz w:val="16"/>
          <w:szCs w:val="16"/>
          <w:u w:val="single" w:color="auto"/>
          <w:color w:val="auto"/>
        </w:rPr>
        <w:t>Payment Set Aside</w:t>
      </w:r>
      <w:r>
        <w:rPr>
          <w:rFonts w:ascii="Arial" w:cs="Arial" w:eastAsia="Arial" w:hAnsi="Arial"/>
          <w:sz w:val="16"/>
          <w:szCs w:val="16"/>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5.17 </w:t>
      </w:r>
      <w:r>
        <w:rPr>
          <w:rFonts w:ascii="Arial" w:cs="Arial" w:eastAsia="Arial" w:hAnsi="Arial"/>
          <w:sz w:val="16"/>
          <w:szCs w:val="16"/>
          <w:u w:val="single" w:color="auto"/>
          <w:color w:val="auto"/>
        </w:rPr>
        <w:t>Independent Nature of Purchasers’ Obligations and Rights</w:t>
      </w:r>
      <w:r>
        <w:rPr>
          <w:rFonts w:ascii="Arial" w:cs="Arial" w:eastAsia="Arial" w:hAnsi="Arial"/>
          <w:sz w:val="16"/>
          <w:szCs w:val="16"/>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the legal counsel of the Placement Agent. The legal counsel of the Placement Agent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9" w:name="page90"/>
    <w:bookmarkEnd w:id="89"/>
    <w:p>
      <w:pPr>
        <w:jc w:val="both"/>
        <w:ind w:firstLine="648"/>
        <w:spacing w:after="0" w:line="308" w:lineRule="auto"/>
        <w:rPr>
          <w:sz w:val="20"/>
          <w:szCs w:val="20"/>
          <w:color w:val="auto"/>
        </w:rPr>
      </w:pPr>
      <w:r>
        <w:rPr>
          <w:rFonts w:ascii="Arial" w:cs="Arial" w:eastAsia="Arial" w:hAnsi="Arial"/>
          <w:sz w:val="17"/>
          <w:szCs w:val="17"/>
          <w:color w:val="auto"/>
        </w:rPr>
        <w:t xml:space="preserve">5.18 </w:t>
      </w:r>
      <w:r>
        <w:rPr>
          <w:rFonts w:ascii="Arial" w:cs="Arial" w:eastAsia="Arial" w:hAnsi="Arial"/>
          <w:sz w:val="17"/>
          <w:szCs w:val="17"/>
          <w:u w:val="single" w:color="auto"/>
          <w:color w:val="auto"/>
        </w:rPr>
        <w:t>Saturdays, Sundays, Holidays, etc.</w:t>
      </w:r>
      <w:r>
        <w:rPr>
          <w:rFonts w:ascii="Arial" w:cs="Arial" w:eastAsia="Arial" w:hAnsi="Arial"/>
          <w:sz w:val="17"/>
          <w:szCs w:val="17"/>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5.19 </w:t>
      </w:r>
      <w:r>
        <w:rPr>
          <w:rFonts w:ascii="Arial" w:cs="Arial" w:eastAsia="Arial" w:hAnsi="Arial"/>
          <w:sz w:val="17"/>
          <w:szCs w:val="17"/>
          <w:u w:val="single" w:color="auto"/>
          <w:color w:val="auto"/>
        </w:rPr>
        <w:t>Construction</w:t>
      </w:r>
      <w:r>
        <w:rPr>
          <w:rFonts w:ascii="Arial" w:cs="Arial" w:eastAsia="Arial" w:hAnsi="Arial"/>
          <w:sz w:val="17"/>
          <w:szCs w:val="17"/>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6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5.20 </w:t>
      </w: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IN ANY ACTION, SUIT, OR PROCEEDING IN ANY JURISDICTION BROUGHT BY ANY PARTY</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AGAINST ANY OTHER PARTY, THE PARTIES EACH KNOWINGLY AND INTENTIONALLY, TO THE GREATEST EXTENT PERMITTED BY APPLICABLE LAW, HEREBY ABSOLUTELY, UNCONDITIONALLY, IRREVOCABLY AND EXPRESSLY WAIVES FOREVER TRIAL BY JURY.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0" w:name="page91"/>
    <w:bookmarkEnd w:id="90"/>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Securities Purchase Agreement to be duly executed by their respective authorized signatories as of the date first indicated above.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MICROBOT MEDICAL INC.</w:t>
            </w:r>
          </w:p>
        </w:tc>
        <w:tc>
          <w:tcPr>
            <w:tcW w:w="220" w:type="dxa"/>
            <w:vAlign w:val="bottom"/>
          </w:tcPr>
          <w:p>
            <w:pPr>
              <w:spacing w:after="0"/>
              <w:rPr>
                <w:sz w:val="17"/>
                <w:szCs w:val="17"/>
                <w:color w:val="auto"/>
              </w:rPr>
            </w:pP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Address for Notice:</w:t>
            </w:r>
          </w:p>
        </w:tc>
      </w:tr>
      <w:tr>
        <w:trPr>
          <w:trHeight w:val="473"/>
        </w:trPr>
        <w:tc>
          <w:tcPr>
            <w:tcW w:w="5620" w:type="dxa"/>
            <w:vAlign w:val="bottom"/>
            <w:gridSpan w:val="2"/>
          </w:tcPr>
          <w:p>
            <w:pPr>
              <w:spacing w:after="0"/>
              <w:rPr>
                <w:sz w:val="20"/>
                <w:szCs w:val="20"/>
                <w:color w:val="auto"/>
              </w:rPr>
            </w:pPr>
            <w:r>
              <w:rPr>
                <w:rFonts w:ascii="Arial" w:cs="Arial" w:eastAsia="Arial" w:hAnsi="Arial"/>
                <w:sz w:val="18"/>
                <w:szCs w:val="18"/>
                <w:color w:val="auto"/>
              </w:rPr>
              <w:t>By:</w:t>
            </w:r>
          </w:p>
        </w:tc>
        <w:tc>
          <w:tcPr>
            <w:tcW w:w="22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Fax:</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50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line="201" w:lineRule="exact"/>
              <w:rPr>
                <w:sz w:val="20"/>
                <w:szCs w:val="20"/>
                <w:color w:val="auto"/>
              </w:rPr>
            </w:pPr>
            <w:r>
              <w:rPr>
                <w:rFonts w:ascii="Arial" w:cs="Arial" w:eastAsia="Arial" w:hAnsi="Arial"/>
                <w:sz w:val="18"/>
                <w:szCs w:val="18"/>
                <w:color w:val="auto"/>
              </w:rPr>
              <w:t>E-mail:</w:t>
            </w: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Title:</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color w:val="auto"/>
              </w:rPr>
              <w:t>With a copy to (which shall not constitute notice):</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18"/>
        </w:trPr>
        <w:tc>
          <w:tcPr>
            <w:tcW w:w="5620" w:type="dxa"/>
            <w:vAlign w:val="bottom"/>
            <w:gridSpan w:val="2"/>
          </w:tcPr>
          <w:p>
            <w:pPr>
              <w:spacing w:after="0"/>
              <w:rPr>
                <w:sz w:val="20"/>
                <w:szCs w:val="20"/>
                <w:color w:val="auto"/>
              </w:rPr>
            </w:pPr>
            <w:r>
              <w:rPr>
                <w:rFonts w:ascii="Arial" w:cs="Arial" w:eastAsia="Arial" w:hAnsi="Arial"/>
                <w:sz w:val="18"/>
                <w:szCs w:val="18"/>
                <w:color w:val="auto"/>
              </w:rPr>
              <w:t>Mintz, Levin, Cohn, Ferris, Glovsky and Popeo, P.C.</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One Financial Center</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Boston, MA 02111</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Attn: Marc D. Mantell, Esq.</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18"/>
        </w:trPr>
        <w:tc>
          <w:tcPr>
            <w:tcW w:w="5620" w:type="dxa"/>
            <w:vAlign w:val="bottom"/>
            <w:gridSpan w:val="2"/>
          </w:tcPr>
          <w:p>
            <w:pPr>
              <w:spacing w:after="0"/>
              <w:rPr>
                <w:sz w:val="20"/>
                <w:szCs w:val="20"/>
                <w:color w:val="auto"/>
              </w:rPr>
            </w:pPr>
            <w:r>
              <w:rPr>
                <w:rFonts w:ascii="Arial" w:cs="Arial" w:eastAsia="Arial" w:hAnsi="Arial"/>
                <w:sz w:val="18"/>
                <w:szCs w:val="18"/>
                <w:color w:val="auto"/>
              </w:rPr>
              <w:t>Ruskin Moscou Faltischek, P.C.</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20"/>
        </w:trPr>
        <w:tc>
          <w:tcPr>
            <w:tcW w:w="5620" w:type="dxa"/>
            <w:vAlign w:val="bottom"/>
            <w:gridSpan w:val="2"/>
          </w:tcPr>
          <w:p>
            <w:pPr>
              <w:spacing w:after="0"/>
              <w:rPr>
                <w:sz w:val="20"/>
                <w:szCs w:val="20"/>
                <w:color w:val="auto"/>
              </w:rPr>
            </w:pPr>
            <w:r>
              <w:rPr>
                <w:rFonts w:ascii="Arial" w:cs="Arial" w:eastAsia="Arial" w:hAnsi="Arial"/>
                <w:sz w:val="18"/>
                <w:szCs w:val="18"/>
                <w:color w:val="auto"/>
              </w:rPr>
              <w:t>1425 RXR Plaza</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53"/>
        </w:trPr>
        <w:tc>
          <w:tcPr>
            <w:tcW w:w="5620" w:type="dxa"/>
            <w:vAlign w:val="bottom"/>
            <w:gridSpan w:val="2"/>
          </w:tcPr>
          <w:p>
            <w:pPr>
              <w:spacing w:after="0" w:line="253" w:lineRule="exact"/>
              <w:rPr>
                <w:sz w:val="20"/>
                <w:szCs w:val="20"/>
                <w:color w:val="auto"/>
              </w:rPr>
            </w:pPr>
            <w:r>
              <w:rPr>
                <w:rFonts w:ascii="Arial" w:cs="Arial" w:eastAsia="Arial" w:hAnsi="Arial"/>
                <w:sz w:val="18"/>
                <w:szCs w:val="18"/>
                <w:color w:val="auto"/>
              </w:rPr>
              <w:t>East Tower,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Uniondale, New York 11556</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Attn: Stephen E. Fox, Esq.</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FOR PURCHASER FOLLOWS]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color w:val="auto"/>
        </w:rPr>
        <w:t>[PURCHASER SIGNATURE PAGES TO MBOT SECURITIES PURCHASE AGREEMENT]</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WITNESS WHEREOF, the undersigned have caused this Securities Purchase Agreement to be duly executed by their respective authorized signatories as of the date first indicated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 of Purchaser: 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Purchaser</w:t>
      </w:r>
      <w:r>
        <w:rPr>
          <w:rFonts w:ascii="Arial" w:cs="Arial" w:eastAsia="Arial" w:hAnsi="Arial"/>
          <w:sz w:val="18"/>
          <w:szCs w:val="18"/>
          <w:color w:val="auto"/>
        </w:rPr>
        <w:t>: 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Email Address of Authorized Signatory:____________________________________________________________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 of Authorized Signatory: 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 to Purchaser: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 for Delivery of Shares to Purchaser (if not same as address for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DWAC for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Shares Subscription Amount: $_________________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Shares: 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Pre-Funded Warrant Subscription Amount: $_____________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Pre-Funded Warrants: 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Pre-Funded Warrant Shares: 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EIN Number: ____________________</w:t>
      </w:r>
    </w:p>
    <w:p>
      <w:pPr>
        <w:spacing w:after="0" w:line="225" w:lineRule="exact"/>
        <w:rPr>
          <w:sz w:val="20"/>
          <w:szCs w:val="20"/>
          <w:color w:val="auto"/>
        </w:rPr>
      </w:pPr>
    </w:p>
    <w:p>
      <w:pPr>
        <w:jc w:val="both"/>
        <w:ind w:firstLine="8"/>
        <w:spacing w:after="0" w:line="272" w:lineRule="auto"/>
        <w:tabs>
          <w:tab w:leader="none" w:pos="201" w:val="left"/>
        </w:tabs>
        <w:numPr>
          <w:ilvl w:val="0"/>
          <w:numId w:val="77"/>
        </w:numPr>
        <w:rPr>
          <w:rFonts w:ascii="Arial" w:cs="Arial" w:eastAsia="Arial" w:hAnsi="Arial"/>
          <w:sz w:val="17"/>
          <w:szCs w:val="17"/>
          <w:color w:val="auto"/>
        </w:rPr>
      </w:pPr>
      <w:r>
        <w:rPr>
          <w:rFonts w:ascii="Arial" w:cs="Arial" w:eastAsia="Arial" w:hAnsi="Arial"/>
          <w:sz w:val="17"/>
          <w:szCs w:val="17"/>
          <w:color w:val="auto"/>
        </w:rPr>
        <w:t>] 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 the above-signed, shall be unconditional and all conditions to Closing shall be disregarded, (ii) the Closing shall occur by the second (2nd) Trading Day following the date of this Agreement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CONTINUE]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2" w:name="page93"/>
    <w:bookmarkEnd w:id="9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154940</wp:posOffset>
            </wp:positionV>
            <wp:extent cx="1929765" cy="7461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929765"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Microbot Medical Inc. Announces $3 Million Registered Direct Offering Priced At-the-Market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HINGHAM, Mass., Jan. 15, 2019 (GLOBE NEWSWIRE) — Microbot Medical Inc. (Nasdaq: MBOT), a medical device company specializing in the design and development of transformational micro-robotic medical technologies, today announced that it has entered into a definitive agreement with an institutional investor for the purchase of 455,323 shares of its common stock (or common stock equivalents), at a purchase price per share of $6.50, in a registered direct offering priced at-the-market.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closing of the offering is expected to occur on or about January 16, 2019, subject to the satisfaction of customary closing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H.C. Wainwright &amp; Co. is acting as the exclusive placement agent for the offering.</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gross proceeds to Microbot, before deducting placement agent fees and other offering expenses, are expected to be approximately $3.0 million. Microbot currently intends to use the net proceeds from this offering for the continuous development of its SCS device for the treatment of hydrocephalus and NPH; to expand and develop additional applications deriving from its existing IP portfolio, including the potential addition of complementary assets to the CardioSert portfolio either through internal development, in-license or acquisition; and for working capital and other general corporate purposes.</w:t>
      </w:r>
    </w:p>
    <w:p>
      <w:pPr>
        <w:spacing w:after="0" w:line="15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shares of common stock are being offered by Microbot pursuant to a “shelf” registration statement on Form S-3 that was originally filed on March 31, 2017 and declared effective by the Securities and Exchange Commission (“SEC”) on April 14, 2017 and the base prospectus contained therein (File No. 333-217076). The offering of the shares of common stock will be made only by means of a prospectus supplement that forms a part of the registration statement.</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final prospectus supplement and accompanying base prospectus relating to the shares of common stock being offered will be filed with the SEC. Copies of the final prospectus supplement and accompanying base prospectus may be obtained, when available, on the SEC’s website at http://www.sec.gov or by contacting H.C. Wainwright &amp; Co., LLC at 430 Park Avenue, 3rd Floor, New York, NY 10022, by phone at 646-975-6996 or e-mail at placements@hcwco.com.</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press release shall not constitute an offer to sell, or the solicitation of an offer to buy any of the securities described herein, nor shall there be any sale of these securities in any state or jurisdiction in which such an offer, solicitation or sale would be unlawful prior to registration or qualification under the securities laws of any such state or jurisdiction.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Microbot Medical, Inc.</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Microbot™, which was founded in 2010 and commenced operations in 2011, became a NASDAQ listed company on November 28, 2016. The Company specializes in transformational micro-robotic medical technologies leveraging the natural and artificial lumens within the human body. Microbot’s current technological platforms, ViRob</w:t>
      </w:r>
      <w:r>
        <w:rPr>
          <w:rFonts w:ascii="Arial" w:cs="Arial" w:eastAsia="Arial" w:hAnsi="Arial"/>
          <w:sz w:val="26"/>
          <w:szCs w:val="26"/>
          <w:color w:val="auto"/>
          <w:vertAlign w:val="superscript"/>
        </w:rPr>
        <w:t>TM</w:t>
      </w:r>
      <w:r>
        <w:rPr>
          <w:rFonts w:ascii="Arial" w:cs="Arial" w:eastAsia="Arial" w:hAnsi="Arial"/>
          <w:sz w:val="16"/>
          <w:szCs w:val="16"/>
          <w:color w:val="auto"/>
        </w:rPr>
        <w:t>, TipCAT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and CardioSert</w:t>
      </w:r>
      <w:r>
        <w:rPr>
          <w:rFonts w:ascii="Arial" w:cs="Arial" w:eastAsia="Arial" w:hAnsi="Arial"/>
          <w:sz w:val="26"/>
          <w:szCs w:val="26"/>
          <w:color w:val="auto"/>
          <w:vertAlign w:val="superscript"/>
        </w:rPr>
        <w:t>TM</w:t>
      </w:r>
      <w:r>
        <w:rPr>
          <w:rFonts w:ascii="Arial" w:cs="Arial" w:eastAsia="Arial" w:hAnsi="Arial"/>
          <w:sz w:val="16"/>
          <w:szCs w:val="16"/>
          <w:color w:val="auto"/>
        </w:rPr>
        <w:t>, are comprised of three highly advanced technologies, from which the Company is</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currently developing its first product candidate: The Self Cleaning Shunt, or SCS</w:t>
      </w:r>
      <w:r>
        <w:rPr>
          <w:rFonts w:ascii="Arial" w:cs="Arial" w:eastAsia="Arial" w:hAnsi="Arial"/>
          <w:sz w:val="30"/>
          <w:szCs w:val="30"/>
          <w:color w:val="auto"/>
          <w:vertAlign w:val="superscript"/>
        </w:rPr>
        <w:t>TM</w:t>
      </w:r>
      <w:r>
        <w:rPr>
          <w:rFonts w:ascii="Arial" w:cs="Arial" w:eastAsia="Arial" w:hAnsi="Arial"/>
          <w:sz w:val="18"/>
          <w:szCs w:val="18"/>
          <w:color w:val="auto"/>
        </w:rPr>
        <w:t>, for the treatment of hydrocephalus and Normal Pressure Hydrocephalus, or NPH. The Company also is focused on the development of a Multi Generation Pipeline Portfolio (MGPP) utilizing all technologies. Further information about Microbot Medical is available at http://www.microbotmedical.com.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4" w:name="page95"/>
    <w:bookmarkEnd w:id="94"/>
    <w:p>
      <w:pPr>
        <w:jc w:val="both"/>
        <w:spacing w:after="0" w:line="234" w:lineRule="auto"/>
        <w:rPr>
          <w:sz w:val="20"/>
          <w:szCs w:val="20"/>
          <w:color w:val="auto"/>
        </w:rPr>
      </w:pPr>
      <w:r>
        <w:rPr>
          <w:rFonts w:ascii="Arial" w:cs="Arial" w:eastAsia="Arial" w:hAnsi="Arial"/>
          <w:sz w:val="18"/>
          <w:szCs w:val="18"/>
          <w:color w:val="auto"/>
        </w:rPr>
        <w:t>The ViRob</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technology is a revolutionary autonomous crawling micro-robot which can be controlled remotely or within the body. Its miniature dimensions allow it to navigate and crawl in different spaces within the human body, including blood vessels, the digestive tract and the respiratory system. Its unique structure gives it the ability to move in tight spaces and curved passages as well as the ability to remain within the human body for prolonged time. To learn more about ViRob</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please visit http://www.microbotmedical.com/technology/virob/.</w:t>
      </w:r>
    </w:p>
    <w:p>
      <w:pPr>
        <w:spacing w:after="0" w:line="85" w:lineRule="exact"/>
        <w:rPr>
          <w:sz w:val="20"/>
          <w:szCs w:val="20"/>
          <w:color w:val="auto"/>
        </w:rPr>
      </w:pPr>
    </w:p>
    <w:p>
      <w:pPr>
        <w:jc w:val="both"/>
        <w:spacing w:after="0"/>
        <w:rPr>
          <w:sz w:val="20"/>
          <w:szCs w:val="20"/>
          <w:color w:val="auto"/>
        </w:rPr>
      </w:pPr>
      <w:r>
        <w:rPr>
          <w:rFonts w:ascii="Arial" w:cs="Arial" w:eastAsia="Arial" w:hAnsi="Arial"/>
          <w:sz w:val="16"/>
          <w:szCs w:val="16"/>
          <w:color w:val="auto"/>
        </w:rPr>
        <w:t>TipCAT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is a transformational self-propelled, flexible, and semi-disposable locomotive device providing see &amp; treat capabilities within tubular lumens in the human body such as the colon, blood vessels, and the urinary tract. Its locomotion mechanism is perfectly suitable to navigate and crawl through natural</w:t>
      </w:r>
    </w:p>
    <w:p>
      <w:pPr>
        <w:ind w:right="20" w:firstLine="8"/>
        <w:spacing w:after="0" w:line="270" w:lineRule="auto"/>
        <w:tabs>
          <w:tab w:leader="none" w:pos="197" w:val="left"/>
        </w:tabs>
        <w:numPr>
          <w:ilvl w:val="0"/>
          <w:numId w:val="78"/>
        </w:numPr>
        <w:rPr>
          <w:rFonts w:ascii="Arial" w:cs="Arial" w:eastAsia="Arial" w:hAnsi="Arial"/>
          <w:sz w:val="18"/>
          <w:szCs w:val="18"/>
          <w:color w:val="auto"/>
        </w:rPr>
      </w:pPr>
      <w:r>
        <w:rPr>
          <w:rFonts w:ascii="Arial" w:cs="Arial" w:eastAsia="Arial" w:hAnsi="Arial"/>
          <w:sz w:val="18"/>
          <w:szCs w:val="18"/>
          <w:color w:val="auto"/>
        </w:rPr>
        <w:t>artificial tubular lumens, applying the minimal necessary pressure to achieve the adequate friction required for gentle, fast, and safe advancement within the human body. To learn more about TipCAT</w:t>
      </w:r>
      <w:r>
        <w:rPr>
          <w:rFonts w:ascii="Arial" w:cs="Arial" w:eastAsia="Arial" w:hAnsi="Arial"/>
          <w:sz w:val="30"/>
          <w:szCs w:val="30"/>
          <w:color w:val="auto"/>
          <w:vertAlign w:val="superscript"/>
        </w:rPr>
        <w:t>TM</w:t>
      </w:r>
      <w:r>
        <w:rPr>
          <w:rFonts w:ascii="Arial" w:cs="Arial" w:eastAsia="Arial" w:hAnsi="Arial"/>
          <w:sz w:val="18"/>
          <w:szCs w:val="18"/>
          <w:color w:val="auto"/>
        </w:rPr>
        <w:t>, visit http://www.microbotmedical.com/technology/tipcat/.</w:t>
      </w:r>
    </w:p>
    <w:p>
      <w:pPr>
        <w:spacing w:after="0" w:line="57" w:lineRule="exact"/>
        <w:rPr>
          <w:sz w:val="20"/>
          <w:szCs w:val="20"/>
          <w:color w:val="auto"/>
        </w:rPr>
      </w:pPr>
    </w:p>
    <w:p>
      <w:pPr>
        <w:jc w:val="both"/>
        <w:spacing w:after="0" w:line="227" w:lineRule="auto"/>
        <w:rPr>
          <w:sz w:val="20"/>
          <w:szCs w:val="20"/>
          <w:color w:val="auto"/>
        </w:rPr>
      </w:pPr>
      <w:r>
        <w:rPr>
          <w:rFonts w:ascii="Arial" w:cs="Arial" w:eastAsia="Arial" w:hAnsi="Arial"/>
          <w:sz w:val="16"/>
          <w:szCs w:val="16"/>
          <w:color w:val="auto"/>
        </w:rPr>
        <w:t>CardioSert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technology contemplates a unique combination of a guidewire and microcatheter, technologies that are broadly used for endoluminal surgery. The CardioSert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technology features unique steering and stiffness control capabilities, and it was originally developed to support interventional cardiologists in crossing the most complex lesions called chronic total occlusion (CTO) during percutaneous coronary intervention (PCI) procedures and has</w:t>
      </w:r>
    </w:p>
    <w:p>
      <w:pPr>
        <w:jc w:val="both"/>
        <w:spacing w:after="0" w:line="217" w:lineRule="auto"/>
        <w:rPr>
          <w:sz w:val="20"/>
          <w:szCs w:val="20"/>
          <w:color w:val="auto"/>
        </w:rPr>
      </w:pPr>
      <w:r>
        <w:rPr>
          <w:rFonts w:ascii="Arial" w:cs="Arial" w:eastAsia="Arial" w:hAnsi="Arial"/>
          <w:sz w:val="18"/>
          <w:szCs w:val="18"/>
          <w:color w:val="auto"/>
        </w:rPr>
        <w:t>the potential to be used in other spaces and applications, such as peripheral intervention, neurosurgery and urology. CardioSert</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was part of a technological incubator supported by the Israel Innovation Authorities (formerly known as the Office of the Chief Scientist, or OCS), and its device has successfully completed pre-clinical testing.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Statements pertaining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risks inherent in the development and/or commercialization of potential products, the outcome of its studies to evaluate the SCS and other existing and future technologies, uncertainty in the results of pre-clinical and clinical trials or regulatory approvals, need and ability to obtain future capital, and maintenance of intellectual property rights. Actual results may differ materially from the results anticipated in these forward-looking statements and as such should be evaluated together with the many uncertainties that affect the businesses of Microbot Medical Inc. particularly those mentioned in the cautionary statements found in Microbot Medical Inc.’s filings with the Securities and Exchange Commission. Microbot Medical disclaims any intent or obligation to update these forward-looking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Michael Polyviou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EVC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6" w:right="239" w:bottom="1440" w:gutter="0" w:footer="0" w:header="0"/>
        </w:sectPr>
      </w:pPr>
    </w:p>
    <w:bookmarkStart w:id="95" w:name="page96"/>
    <w:bookmarkEnd w:id="9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1)"/>
      <w:numFmt w:val="lowerLetter"/>
      <w:start w:val="1"/>
    </w:lvl>
  </w:abstractNum>
  <w:abstractNum w:abstractNumId="2">
    <w:nsid w:val="580BD78F"/>
    <w:multiLevelType w:val="hybridMultilevel"/>
    <w:lvl w:ilvl="0">
      <w:lvlJc w:val="left"/>
      <w:lvlText w:val="%1)"/>
      <w:numFmt w:val="lowerLetter"/>
      <w:start w:val="2"/>
    </w:lvl>
  </w:abstractNum>
  <w:abstractNum w:abstractNumId="3">
    <w:nsid w:val="153EA438"/>
    <w:multiLevelType w:val="hybridMultilevel"/>
    <w:lvl w:ilvl="0">
      <w:lvlJc w:val="left"/>
      <w:lvlText w:val="(%1)"/>
      <w:numFmt w:val="upperLetter"/>
      <w:start w:val="1"/>
    </w:lvl>
  </w:abstractNum>
  <w:abstractNum w:abstractNumId="4">
    <w:nsid w:val="3855585C"/>
    <w:multiLevelType w:val="hybridMultilevel"/>
    <w:lvl w:ilvl="0">
      <w:lvlJc w:val="left"/>
      <w:lvlText w:val="(%1)"/>
      <w:numFmt w:val="upperLetter"/>
      <w:start w:val="24"/>
    </w:lvl>
  </w:abstractNum>
  <w:abstractNum w:abstractNumId="5">
    <w:nsid w:val="70A64E2A"/>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2"/>
    </w:lvl>
  </w:abstractNum>
  <w:abstractNum w:abstractNumId="6">
    <w:nsid w:val="6A2342EC"/>
    <w:multiLevelType w:val="hybridMultilevel"/>
    <w:lvl w:ilvl="0">
      <w:lvlJc w:val="left"/>
      <w:lvlText w:val="%1"/>
      <w:numFmt w:val="decimal"/>
      <w:start w:val="1"/>
    </w:lvl>
    <w:lvl w:ilvl="1">
      <w:lvlJc w:val="left"/>
      <w:lvlText w:val="%2."/>
      <w:numFmt w:val="lowerRoman"/>
      <w:start w:val="3"/>
    </w:lvl>
  </w:abstractNum>
  <w:abstractNum w:abstractNumId="7">
    <w:nsid w:val="2A487CB0"/>
    <w:multiLevelType w:val="hybridMultilevel"/>
    <w:lvl w:ilvl="0">
      <w:lvlJc w:val="left"/>
      <w:lvlText w:val="(%1)"/>
      <w:numFmt w:val="decimal"/>
      <w:start w:val="2"/>
    </w:lvl>
    <w:lvl w:ilvl="1">
      <w:lvlJc w:val="left"/>
      <w:lvlText w:val="%2"/>
      <w:numFmt w:val="lowerRoman"/>
      <w:start w:val="1"/>
    </w:lvl>
  </w:abstractNum>
  <w:abstractNum w:abstractNumId="8">
    <w:nsid w:val="1D4ED43B"/>
    <w:multiLevelType w:val="hybridMultilevel"/>
    <w:lvl w:ilvl="0">
      <w:lvlJc w:val="left"/>
      <w:lvlText w:val="%1."/>
      <w:numFmt w:val="lowerRoman"/>
      <w:start w:val="6"/>
    </w:lvl>
  </w:abstractNum>
  <w:abstractNum w:abstractNumId="9">
    <w:nsid w:val="725A06FB"/>
    <w:multiLevelType w:val="hybridMultilevel"/>
    <w:lvl w:ilvl="0">
      <w:lvlJc w:val="left"/>
      <w:lvlText w:val="%1)"/>
      <w:numFmt w:val="lowerLetter"/>
      <w:start w:val="5"/>
    </w:lvl>
  </w:abstractNum>
  <w:abstractNum w:abstractNumId="10">
    <w:nsid w:val="2CD89A32"/>
    <w:multiLevelType w:val="hybridMultilevel"/>
    <w:lvl w:ilvl="0">
      <w:lvlJc w:val="left"/>
      <w:lvlText w:val="%1)"/>
      <w:numFmt w:val="lowerLetter"/>
      <w:start w:val="1"/>
    </w:lvl>
  </w:abstractNum>
  <w:abstractNum w:abstractNumId="11">
    <w:nsid w:val="57E4CCAF"/>
    <w:multiLevelType w:val="hybridMultilevel"/>
    <w:lvl w:ilvl="0">
      <w:lvlJc w:val="left"/>
      <w:lvlText w:val="%1)"/>
      <w:numFmt w:val="lowerLetter"/>
      <w:start w:val="4"/>
    </w:lvl>
  </w:abstractNum>
  <w:abstractNum w:abstractNumId="12">
    <w:nsid w:val="7A6D8D3C"/>
    <w:multiLevelType w:val="hybridMultilevel"/>
    <w:lvl w:ilvl="0">
      <w:lvlJc w:val="left"/>
      <w:lvlText w:val="%1)"/>
      <w:numFmt w:val="lowerLetter"/>
      <w:start w:val="5"/>
    </w:lvl>
    <w:lvl w:ilvl="1">
      <w:lvlJc w:val="left"/>
      <w:lvlText w:val="%2."/>
      <w:numFmt w:val="lowerRoman"/>
      <w:start w:val="1"/>
    </w:lvl>
  </w:abstractNum>
  <w:abstractNum w:abstractNumId="13">
    <w:nsid w:val="4B588F54"/>
    <w:multiLevelType w:val="hybridMultilevel"/>
    <w:lvl w:ilvl="0">
      <w:lvlJc w:val="left"/>
      <w:lvlText w:val="%1."/>
      <w:numFmt w:val="lowerRoman"/>
      <w:start w:val="2"/>
    </w:lvl>
  </w:abstractNum>
  <w:abstractNum w:abstractNumId="14">
    <w:nsid w:val="542289EC"/>
    <w:multiLevelType w:val="hybridMultilevel"/>
    <w:lvl w:ilvl="0">
      <w:lvlJc w:val="left"/>
      <w:lvlText w:val="%1)"/>
      <w:numFmt w:val="lowerLetter"/>
      <w:start w:val="1"/>
    </w:lvl>
  </w:abstractNum>
  <w:abstractNum w:abstractNumId="15">
    <w:nsid w:val="6DE91B18"/>
    <w:multiLevelType w:val="hybridMultilevel"/>
    <w:lvl w:ilvl="0">
      <w:lvlJc w:val="left"/>
      <w:lvlText w:val="%1)"/>
      <w:numFmt w:val="lowerLetter"/>
      <w:start w:val="1"/>
    </w:lvl>
  </w:abstractNum>
  <w:abstractNum w:abstractNumId="16">
    <w:nsid w:val="38437FDB"/>
    <w:multiLevelType w:val="hybridMultilevel"/>
    <w:lvl w:ilvl="0">
      <w:lvlJc w:val="left"/>
      <w:lvlText w:val="%1)"/>
      <w:numFmt w:val="lowerLetter"/>
      <w:start w:val="3"/>
    </w:lvl>
  </w:abstractNum>
  <w:abstractNum w:abstractNumId="17">
    <w:nsid w:val="7644A45C"/>
    <w:multiLevelType w:val="hybridMultilevel"/>
    <w:lvl w:ilvl="0">
      <w:lvlJc w:val="left"/>
      <w:lvlText w:val="%1)"/>
      <w:numFmt w:val="lowerLetter"/>
      <w:start w:val="5"/>
    </w:lvl>
  </w:abstractNum>
  <w:abstractNum w:abstractNumId="18">
    <w:nsid w:val="32FFF902"/>
    <w:multiLevelType w:val="hybridMultilevel"/>
    <w:lvl w:ilvl="0">
      <w:lvlJc w:val="left"/>
      <w:lvlText w:val="%1)"/>
      <w:numFmt w:val="lowerLetter"/>
      <w:start w:val="8"/>
    </w:lvl>
  </w:abstractNum>
  <w:abstractNum w:abstractNumId="19">
    <w:nsid w:val="684A481A"/>
    <w:multiLevelType w:val="hybridMultilevel"/>
    <w:lvl w:ilvl="0">
      <w:lvlJc w:val="left"/>
      <w:lvlText w:val="(%1)"/>
      <w:numFmt w:val="decimal"/>
      <w:start w:val="1"/>
    </w:lvl>
  </w:abstractNum>
  <w:abstractNum w:abstractNumId="20">
    <w:nsid w:val="579478FE"/>
    <w:multiLevelType w:val="hybridMultilevel"/>
    <w:lvl w:ilvl="0">
      <w:lvlJc w:val="left"/>
      <w:lvlText w:val="(%1)"/>
      <w:numFmt w:val="decimal"/>
      <w:start w:val="3"/>
    </w:lvl>
  </w:abstractNum>
  <w:abstractNum w:abstractNumId="21">
    <w:nsid w:val="749ABB43"/>
    <w:multiLevelType w:val="hybridMultilevel"/>
    <w:lvl w:ilvl="0">
      <w:lvlJc w:val="left"/>
      <w:lvlText w:val="%1)"/>
      <w:numFmt w:val="lowerLetter"/>
      <w:start w:val="1"/>
    </w:lvl>
  </w:abstractNum>
  <w:abstractNum w:abstractNumId="22">
    <w:nsid w:val="3DC240FB"/>
    <w:multiLevelType w:val="hybridMultilevel"/>
    <w:lvl w:ilvl="0">
      <w:lvlJc w:val="left"/>
      <w:lvlText w:val="%1)"/>
      <w:numFmt w:val="lowerLetter"/>
      <w:start w:val="2"/>
    </w:lvl>
  </w:abstractNum>
  <w:abstractNum w:abstractNumId="23">
    <w:nsid w:val="1BA026FA"/>
    <w:multiLevelType w:val="hybridMultilevel"/>
    <w:lvl w:ilvl="0">
      <w:lvlJc w:val="left"/>
      <w:lvlText w:val="(%1)"/>
      <w:numFmt w:val="upperLetter"/>
      <w:start w:val="1"/>
    </w:lvl>
  </w:abstractNum>
  <w:abstractNum w:abstractNumId="24">
    <w:nsid w:val="79A1DEAA"/>
    <w:multiLevelType w:val="hybridMultilevel"/>
    <w:lvl w:ilvl="0">
      <w:lvlJc w:val="left"/>
      <w:lvlText w:val="(%1)"/>
      <w:numFmt w:val="upperLetter"/>
      <w:start w:val="24"/>
    </w:lvl>
  </w:abstractNum>
  <w:abstractNum w:abstractNumId="25">
    <w:nsid w:val="75C6C33A"/>
    <w:multiLevelType w:val="hybridMultilevel"/>
    <w:lvl w:ilvl="0">
      <w:lvlJc w:val="left"/>
      <w:lvlText w:val="%1)"/>
      <w:numFmt w:val="lowerLetter"/>
      <w:start w:val="4"/>
    </w:lvl>
    <w:lvl w:ilvl="1">
      <w:lvlJc w:val="left"/>
      <w:lvlText w:val="%2."/>
      <w:numFmt w:val="lowerRoman"/>
      <w:start w:val="1"/>
    </w:lvl>
  </w:abstractNum>
  <w:abstractNum w:abstractNumId="26">
    <w:nsid w:val="12E685FB"/>
    <w:multiLevelType w:val="hybridMultilevel"/>
    <w:lvl w:ilvl="0">
      <w:lvlJc w:val="left"/>
      <w:lvlText w:val="%1"/>
      <w:numFmt w:val="decimal"/>
      <w:start w:val="1"/>
    </w:lvl>
    <w:lvl w:ilvl="1">
      <w:lvlJc w:val="left"/>
      <w:lvlText w:val="%2."/>
      <w:numFmt w:val="lowerRoman"/>
      <w:start w:val="2"/>
    </w:lvl>
  </w:abstractNum>
  <w:abstractNum w:abstractNumId="27">
    <w:nsid w:val="70C6A529"/>
    <w:multiLevelType w:val="hybridMultilevel"/>
    <w:lvl w:ilvl="0">
      <w:lvlJc w:val="left"/>
      <w:lvlText w:val="(%1)"/>
      <w:numFmt w:val="decimal"/>
      <w:start w:val="2"/>
    </w:lvl>
    <w:lvl w:ilvl="1">
      <w:lvlJc w:val="left"/>
      <w:lvlText w:val="%2"/>
      <w:numFmt w:val="lowerRoman"/>
      <w:start w:val="1"/>
    </w:lvl>
  </w:abstractNum>
  <w:abstractNum w:abstractNumId="28">
    <w:nsid w:val="520EEDD1"/>
    <w:multiLevelType w:val="hybridMultilevel"/>
    <w:lvl w:ilvl="0">
      <w:lvlJc w:val="left"/>
      <w:lvlText w:val="%1."/>
      <w:numFmt w:val="lowerRoman"/>
      <w:start w:val="6"/>
    </w:lvl>
  </w:abstractNum>
  <w:abstractNum w:abstractNumId="29">
    <w:nsid w:val="374A3FE6"/>
    <w:multiLevelType w:val="hybridMultilevel"/>
    <w:lvl w:ilvl="0">
      <w:lvlJc w:val="left"/>
      <w:lvlText w:val="%1)"/>
      <w:numFmt w:val="lowerLetter"/>
      <w:start w:val="5"/>
    </w:lvl>
  </w:abstractNum>
  <w:abstractNum w:abstractNumId="30">
    <w:nsid w:val="4F4EF005"/>
    <w:multiLevelType w:val="hybridMultilevel"/>
    <w:lvl w:ilvl="0">
      <w:lvlJc w:val="left"/>
      <w:lvlText w:val="%1)"/>
      <w:numFmt w:val="lowerLetter"/>
      <w:start w:val="1"/>
    </w:lvl>
  </w:abstractNum>
  <w:abstractNum w:abstractNumId="31">
    <w:nsid w:val="23F9C13C"/>
    <w:multiLevelType w:val="hybridMultilevel"/>
    <w:lvl w:ilvl="0">
      <w:lvlJc w:val="left"/>
      <w:lvlText w:val="%1)"/>
      <w:numFmt w:val="lowerLetter"/>
      <w:start w:val="4"/>
    </w:lvl>
  </w:abstractNum>
  <w:abstractNum w:abstractNumId="32">
    <w:nsid w:val="649BB77C"/>
    <w:multiLevelType w:val="hybridMultilevel"/>
    <w:lvl w:ilvl="0">
      <w:lvlJc w:val="left"/>
      <w:lvlText w:val="%1)"/>
      <w:numFmt w:val="lowerLetter"/>
      <w:start w:val="5"/>
    </w:lvl>
    <w:lvl w:ilvl="1">
      <w:lvlJc w:val="left"/>
      <w:lvlText w:val="%2."/>
      <w:numFmt w:val="lowerRoman"/>
      <w:start w:val="1"/>
    </w:lvl>
  </w:abstractNum>
  <w:abstractNum w:abstractNumId="33">
    <w:nsid w:val="275AC794"/>
    <w:multiLevelType w:val="hybridMultilevel"/>
    <w:lvl w:ilvl="0">
      <w:lvlJc w:val="left"/>
      <w:lvlText w:val="%1"/>
      <w:numFmt w:val="lowerRoman"/>
      <w:start w:val="1"/>
    </w:lvl>
    <w:lvl w:ilvl="1">
      <w:lvlJc w:val="left"/>
      <w:lvlText w:val="%2)"/>
      <w:numFmt w:val="lowerLetter"/>
      <w:start w:val="1"/>
    </w:lvl>
  </w:abstractNum>
  <w:abstractNum w:abstractNumId="34">
    <w:nsid w:val="39386575"/>
    <w:multiLevelType w:val="hybridMultilevel"/>
    <w:lvl w:ilvl="0">
      <w:lvlJc w:val="left"/>
      <w:lvlText w:val="%1."/>
      <w:numFmt w:val="lowerRoman"/>
      <w:start w:val="1"/>
    </w:lvl>
    <w:lvl w:ilvl="1">
      <w:lvlJc w:val="left"/>
      <w:lvlText w:val="%2"/>
      <w:numFmt w:val="lowerLetter"/>
      <w:start w:val="1"/>
    </w:lvl>
  </w:abstractNum>
  <w:abstractNum w:abstractNumId="35">
    <w:nsid w:val="1CF10FD8"/>
    <w:multiLevelType w:val="hybridMultilevel"/>
    <w:lvl w:ilvl="0">
      <w:lvlJc w:val="left"/>
      <w:lvlText w:val="%1)"/>
      <w:numFmt w:val="lowerLetter"/>
      <w:start w:val="2"/>
    </w:lvl>
  </w:abstractNum>
  <w:abstractNum w:abstractNumId="36">
    <w:nsid w:val="180115BE"/>
    <w:multiLevelType w:val="hybridMultilevel"/>
    <w:lvl w:ilvl="0">
      <w:lvlJc w:val="left"/>
      <w:lvlText w:val="%1)"/>
      <w:numFmt w:val="lowerLetter"/>
      <w:start w:val="3"/>
    </w:lvl>
  </w:abstractNum>
  <w:abstractNum w:abstractNumId="37">
    <w:nsid w:val="235BA861"/>
    <w:multiLevelType w:val="hybridMultilevel"/>
    <w:lvl w:ilvl="0">
      <w:lvlJc w:val="left"/>
      <w:lvlText w:val="%1)"/>
      <w:numFmt w:val="lowerLetter"/>
      <w:start w:val="1"/>
    </w:lvl>
  </w:abstractNum>
  <w:abstractNum w:abstractNumId="38">
    <w:nsid w:val="47398C89"/>
    <w:multiLevelType w:val="hybridMultilevel"/>
    <w:lvl w:ilvl="0">
      <w:lvlJc w:val="left"/>
      <w:lvlText w:val="%1)"/>
      <w:numFmt w:val="lowerLetter"/>
      <w:start w:val="4"/>
    </w:lvl>
  </w:abstractNum>
  <w:abstractNum w:abstractNumId="39">
    <w:nsid w:val="354FE9F9"/>
    <w:multiLevelType w:val="hybridMultilevel"/>
    <w:lvl w:ilvl="0">
      <w:lvlJc w:val="left"/>
      <w:lvlText w:val="%1)"/>
      <w:numFmt w:val="lowerLetter"/>
      <w:start w:val="5"/>
    </w:lvl>
  </w:abstractNum>
  <w:abstractNum w:abstractNumId="40">
    <w:nsid w:val="15B5AF5C"/>
    <w:multiLevelType w:val="hybridMultilevel"/>
    <w:lvl w:ilvl="0">
      <w:lvlJc w:val="left"/>
      <w:lvlText w:val="%1)"/>
      <w:numFmt w:val="lowerLetter"/>
      <w:start w:val="9"/>
    </w:lvl>
  </w:abstractNum>
  <w:abstractNum w:abstractNumId="41">
    <w:nsid w:val="741226BB"/>
    <w:multiLevelType w:val="hybridMultilevel"/>
    <w:lvl w:ilvl="0">
      <w:lvlJc w:val="left"/>
      <w:lvlText w:val="(%1)"/>
      <w:numFmt w:val="decimal"/>
      <w:start w:val="1"/>
    </w:lvl>
  </w:abstractNum>
  <w:abstractNum w:abstractNumId="42">
    <w:nsid w:val="D34B6A8"/>
    <w:multiLevelType w:val="hybridMultilevel"/>
    <w:lvl w:ilvl="0">
      <w:lvlJc w:val="left"/>
      <w:lvlText w:val="(%1)"/>
      <w:numFmt w:val="decimal"/>
      <w:start w:val="3"/>
    </w:lvl>
  </w:abstractNum>
  <w:abstractNum w:abstractNumId="43">
    <w:nsid w:val="10233C99"/>
    <w:multiLevelType w:val="hybridMultilevel"/>
    <w:lvl w:ilvl="0">
      <w:lvlJc w:val="left"/>
      <w:lvlText w:val="(%1)"/>
      <w:numFmt w:val="decimal"/>
      <w:start w:val="4"/>
    </w:lvl>
  </w:abstractNum>
  <w:abstractNum w:abstractNumId="44">
    <w:nsid w:val="3F6AB60F"/>
    <w:multiLevelType w:val="hybridMultilevel"/>
    <w:lvl w:ilvl="0">
      <w:lvlJc w:val="left"/>
      <w:lvlText w:val="(%1)"/>
      <w:numFmt w:val="decimal"/>
      <w:start w:val="1"/>
    </w:lvl>
  </w:abstractNum>
  <w:abstractNum w:abstractNumId="45">
    <w:nsid w:val="61574095"/>
    <w:multiLevelType w:val="hybridMultilevel"/>
    <w:lvl w:ilvl="0">
      <w:lvlJc w:val="left"/>
      <w:lvlText w:val="%1."/>
      <w:numFmt w:val="decimal"/>
      <w:start w:val="1"/>
    </w:lvl>
  </w:abstractNum>
  <w:abstractNum w:abstractNumId="46">
    <w:nsid w:val="7E0C57B1"/>
    <w:multiLevelType w:val="hybridMultilevel"/>
    <w:lvl w:ilvl="0">
      <w:lvlJc w:val="left"/>
      <w:lvlText w:val="%1."/>
      <w:numFmt w:val="decimal"/>
      <w:start w:val="2"/>
    </w:lvl>
  </w:abstractNum>
  <w:abstractNum w:abstractNumId="47">
    <w:nsid w:val="77AE35EB"/>
    <w:multiLevelType w:val="hybridMultilevel"/>
    <w:lvl w:ilvl="0">
      <w:lvlJc w:val="left"/>
      <w:lvlText w:val="(%1)"/>
      <w:numFmt w:val="decimal"/>
      <w:start w:val="4"/>
    </w:lvl>
    <w:lvl w:ilvl="1">
      <w:lvlJc w:val="left"/>
      <w:lvlText w:val="%2."/>
      <w:numFmt w:val="upperLetter"/>
      <w:start w:val="3"/>
    </w:lvl>
  </w:abstractNum>
  <w:abstractNum w:abstractNumId="48">
    <w:nsid w:val="579BE4F1"/>
    <w:multiLevelType w:val="hybridMultilevel"/>
    <w:lvl w:ilvl="0">
      <w:lvlJc w:val="left"/>
      <w:lvlText w:val="%1."/>
      <w:numFmt w:val="decimal"/>
      <w:start w:val="1"/>
    </w:lvl>
  </w:abstractNum>
  <w:abstractNum w:abstractNumId="49">
    <w:nsid w:val="310C50B3"/>
    <w:multiLevelType w:val="hybridMultilevel"/>
    <w:lvl w:ilvl="0">
      <w:lvlJc w:val="left"/>
      <w:lvlText w:val="%1."/>
      <w:numFmt w:val="upperLetter"/>
      <w:start w:val="6"/>
    </w:lvl>
    <w:lvl w:ilvl="1">
      <w:lvlJc w:val="left"/>
      <w:lvlText w:val="%2."/>
      <w:numFmt w:val="decimal"/>
      <w:start w:val="1"/>
    </w:lvl>
  </w:abstractNum>
  <w:abstractNum w:abstractNumId="50">
    <w:nsid w:val="5FF87E05"/>
    <w:multiLevelType w:val="hybridMultilevel"/>
    <w:lvl w:ilvl="0">
      <w:lvlJc w:val="left"/>
      <w:lvlText w:val="%1."/>
      <w:numFmt w:val="decimal"/>
      <w:start w:val="3"/>
    </w:lvl>
  </w:abstractNum>
  <w:abstractNum w:abstractNumId="51">
    <w:nsid w:val="2F305DEF"/>
    <w:multiLevelType w:val="hybridMultilevel"/>
    <w:lvl w:ilvl="0">
      <w:lvlJc w:val="left"/>
      <w:lvlText w:val="%1"/>
      <w:numFmt w:val="upperLetter"/>
      <w:start w:val="1"/>
    </w:lvl>
    <w:lvl w:ilvl="1">
      <w:lvlJc w:val="left"/>
      <w:lvlText w:val="%2."/>
      <w:numFmt w:val="decimal"/>
      <w:start w:val="5"/>
    </w:lvl>
  </w:abstractNum>
  <w:abstractNum w:abstractNumId="52">
    <w:nsid w:val="25A70BF7"/>
    <w:multiLevelType w:val="hybridMultilevel"/>
    <w:lvl w:ilvl="0">
      <w:lvlJc w:val="left"/>
      <w:lvlText w:val="%1."/>
      <w:numFmt w:val="upperLetter"/>
      <w:start w:val="7"/>
    </w:lvl>
    <w:lvl w:ilvl="1">
      <w:lvlJc w:val="left"/>
      <w:lvlText w:val="%2"/>
      <w:numFmt w:val="decimal"/>
      <w:start w:val="1"/>
    </w:lvl>
  </w:abstractNum>
  <w:abstractNum w:abstractNumId="53">
    <w:nsid w:val="1DBABF00"/>
    <w:multiLevelType w:val="hybridMultilevel"/>
    <w:lvl w:ilvl="0">
      <w:lvlJc w:val="left"/>
      <w:lvlText w:val="(%1)"/>
      <w:numFmt w:val="lowerLetter"/>
      <w:start w:val="1"/>
    </w:lvl>
    <w:lvl w:ilvl="1">
      <w:lvlJc w:val="left"/>
      <w:lvlText w:val="(%2)"/>
      <w:numFmt w:val="lowerRoman"/>
      <w:start w:val="1"/>
    </w:lvl>
  </w:abstractNum>
  <w:abstractNum w:abstractNumId="54">
    <w:nsid w:val="4AD084E9"/>
    <w:multiLevelType w:val="hybridMultilevel"/>
    <w:lvl w:ilvl="0">
      <w:lvlJc w:val="left"/>
      <w:lvlText w:val="(%1)"/>
      <w:numFmt w:val="lowerLetter"/>
      <w:start w:val="2"/>
    </w:lvl>
    <w:lvl w:ilvl="1">
      <w:lvlJc w:val="left"/>
      <w:lvlText w:val="(%2)"/>
      <w:numFmt w:val="lowerRoman"/>
      <w:start w:val="1"/>
    </w:lvl>
  </w:abstractNum>
  <w:abstractNum w:abstractNumId="55">
    <w:nsid w:val="1F48EAA1"/>
    <w:multiLevelType w:val="hybridMultilevel"/>
    <w:lvl w:ilvl="0">
      <w:lvlJc w:val="left"/>
      <w:lvlText w:val="(%1)"/>
      <w:numFmt w:val="lowerLetter"/>
      <w:start w:val="1"/>
    </w:lvl>
    <w:lvl w:ilvl="1">
      <w:lvlJc w:val="left"/>
      <w:lvlText w:val="(%2)"/>
      <w:numFmt w:val="lowerRoman"/>
      <w:start w:val="1"/>
    </w:lvl>
  </w:abstractNum>
  <w:abstractNum w:abstractNumId="56">
    <w:nsid w:val="1381823A"/>
    <w:multiLevelType w:val="hybridMultilevel"/>
    <w:lvl w:ilvl="0">
      <w:lvlJc w:val="left"/>
      <w:lvlText w:val="(%1)"/>
      <w:numFmt w:val="lowerRoman"/>
      <w:start w:val="5"/>
    </w:lvl>
  </w:abstractNum>
  <w:abstractNum w:abstractNumId="57">
    <w:nsid w:val="5DB70AE5"/>
    <w:multiLevelType w:val="hybridMultilevel"/>
    <w:lvl w:ilvl="0">
      <w:lvlJc w:val="left"/>
      <w:lvlText w:val="(%1)"/>
      <w:numFmt w:val="lowerLetter"/>
      <w:start w:val="1"/>
    </w:lvl>
  </w:abstractNum>
  <w:abstractNum w:abstractNumId="58">
    <w:nsid w:val="100F8FCA"/>
    <w:multiLevelType w:val="hybridMultilevel"/>
    <w:lvl w:ilvl="0">
      <w:lvlJc w:val="left"/>
      <w:lvlText w:val="(%1)"/>
      <w:numFmt w:val="lowerLetter"/>
      <w:start w:val="3"/>
    </w:lvl>
  </w:abstractNum>
  <w:abstractNum w:abstractNumId="59">
    <w:nsid w:val="6590700B"/>
    <w:multiLevelType w:val="hybridMultilevel"/>
    <w:lvl w:ilvl="0">
      <w:lvlJc w:val="left"/>
      <w:lvlText w:val="(%1)"/>
      <w:numFmt w:val="lowerLetter"/>
      <w:start w:val="6"/>
    </w:lvl>
  </w:abstractNum>
  <w:abstractNum w:abstractNumId="60">
    <w:nsid w:val="15014ACB"/>
    <w:multiLevelType w:val="hybridMultilevel"/>
    <w:lvl w:ilvl="0">
      <w:lvlJc w:val="left"/>
      <w:lvlText w:val="(%1)"/>
      <w:numFmt w:val="lowerLetter"/>
      <w:start w:val="8"/>
    </w:lvl>
  </w:abstractNum>
  <w:abstractNum w:abstractNumId="61">
    <w:nsid w:val="5F5E7FD0"/>
    <w:multiLevelType w:val="hybridMultilevel"/>
    <w:lvl w:ilvl="0">
      <w:lvlJc w:val="left"/>
      <w:lvlText w:val="(%1)"/>
      <w:numFmt w:val="lowerLetter"/>
      <w:start w:val="10"/>
    </w:lvl>
  </w:abstractNum>
  <w:abstractNum w:abstractNumId="62">
    <w:nsid w:val="98A3148"/>
    <w:multiLevelType w:val="hybridMultilevel"/>
    <w:lvl w:ilvl="0">
      <w:lvlJc w:val="left"/>
      <w:lvlText w:val="(%1)"/>
      <w:numFmt w:val="lowerLetter"/>
      <w:start w:val="13"/>
    </w:lvl>
  </w:abstractNum>
  <w:abstractNum w:abstractNumId="63">
    <w:nsid w:val="799D0247"/>
    <w:multiLevelType w:val="hybridMultilevel"/>
    <w:lvl w:ilvl="0">
      <w:lvlJc w:val="left"/>
      <w:lvlText w:val="(%1)"/>
      <w:numFmt w:val="lowerLetter"/>
      <w:start w:val="17"/>
    </w:lvl>
  </w:abstractNum>
  <w:abstractNum w:abstractNumId="64">
    <w:nsid w:val="6B94764"/>
    <w:multiLevelType w:val="hybridMultilevel"/>
    <w:lvl w:ilvl="0">
      <w:lvlJc w:val="left"/>
      <w:lvlText w:val="(%1)"/>
      <w:numFmt w:val="lowerLetter"/>
      <w:start w:val="20"/>
    </w:lvl>
  </w:abstractNum>
  <w:abstractNum w:abstractNumId="65">
    <w:nsid w:val="42C296BD"/>
    <w:multiLevelType w:val="hybridMultilevel"/>
    <w:lvl w:ilvl="0">
      <w:lvlJc w:val="left"/>
      <w:lvlText w:val="(%1)"/>
      <w:numFmt w:val="lowerLetter"/>
      <w:start w:val="24"/>
    </w:lvl>
  </w:abstractNum>
  <w:abstractNum w:abstractNumId="66">
    <w:nsid w:val="168E121F"/>
    <w:multiLevelType w:val="hybridMultilevel"/>
    <w:lvl w:ilvl="0">
      <w:lvlJc w:val="left"/>
      <w:lvlText w:val="%1"/>
      <w:numFmt w:val="lowerLetter"/>
      <w:start w:val="1"/>
    </w:lvl>
    <w:lvl w:ilvl="1">
      <w:lvlJc w:val="left"/>
      <w:lvlText w:val="(%2)"/>
      <w:numFmt w:val="lowerLetter"/>
      <w:start w:val="27"/>
    </w:lvl>
  </w:abstractNum>
  <w:abstractNum w:abstractNumId="67">
    <w:nsid w:val="1EBA5D23"/>
    <w:multiLevelType w:val="hybridMultilevel"/>
    <w:lvl w:ilvl="0">
      <w:lvlJc w:val="left"/>
      <w:lvlText w:val="(%1)"/>
      <w:numFmt w:val="lowerLetter"/>
      <w:start w:val="35"/>
    </w:lvl>
    <w:lvl w:ilvl="1">
      <w:lvlJc w:val="left"/>
      <w:lvlText w:val="(%2)"/>
      <w:numFmt w:val="lowerLetter"/>
      <w:start w:val="28"/>
    </w:lvl>
  </w:abstractNum>
  <w:abstractNum w:abstractNumId="68">
    <w:nsid w:val="661E3F1E"/>
    <w:multiLevelType w:val="hybridMultilevel"/>
    <w:lvl w:ilvl="0">
      <w:lvlJc w:val="left"/>
      <w:lvlText w:val="%1"/>
      <w:numFmt w:val="lowerLetter"/>
      <w:start w:val="1"/>
    </w:lvl>
    <w:lvl w:ilvl="1">
      <w:lvlJc w:val="left"/>
      <w:lvlText w:val="(%2)"/>
      <w:numFmt w:val="lowerLetter"/>
      <w:start w:val="30"/>
    </w:lvl>
  </w:abstractNum>
  <w:abstractNum w:abstractNumId="69">
    <w:nsid w:val="5DC79EA8"/>
    <w:multiLevelType w:val="hybridMultilevel"/>
    <w:lvl w:ilvl="0">
      <w:lvlJc w:val="left"/>
      <w:lvlText w:val="(%1)"/>
      <w:numFmt w:val="lowerLetter"/>
      <w:start w:val="61"/>
    </w:lvl>
    <w:lvl w:ilvl="1">
      <w:lvlJc w:val="left"/>
      <w:lvlText w:val="%2"/>
      <w:numFmt w:val="lowerLetter"/>
      <w:start w:val="1"/>
    </w:lvl>
  </w:abstractNum>
  <w:abstractNum w:abstractNumId="70">
    <w:nsid w:val="540A471C"/>
    <w:multiLevelType w:val="hybridMultilevel"/>
    <w:lvl w:ilvl="0">
      <w:lvlJc w:val="left"/>
      <w:lvlText w:val="(%1)"/>
      <w:numFmt w:val="lowerLetter"/>
      <w:start w:val="33"/>
    </w:lvl>
  </w:abstractNum>
  <w:abstractNum w:abstractNumId="71">
    <w:nsid w:val="7BD3EE7B"/>
    <w:multiLevelType w:val="hybridMultilevel"/>
    <w:lvl w:ilvl="0">
      <w:lvlJc w:val="left"/>
      <w:lvlText w:val="(%1)"/>
      <w:numFmt w:val="lowerLetter"/>
      <w:start w:val="35"/>
    </w:lvl>
  </w:abstractNum>
  <w:abstractNum w:abstractNumId="72">
    <w:nsid w:val="51D9C564"/>
    <w:multiLevelType w:val="hybridMultilevel"/>
    <w:lvl w:ilvl="0">
      <w:lvlJc w:val="left"/>
      <w:lvlText w:val="(%1)"/>
      <w:numFmt w:val="lowerLetter"/>
      <w:start w:val="1"/>
    </w:lvl>
  </w:abstractNum>
  <w:abstractNum w:abstractNumId="73">
    <w:nsid w:val="613EFDC5"/>
    <w:multiLevelType w:val="hybridMultilevel"/>
    <w:lvl w:ilvl="0">
      <w:lvlJc w:val="left"/>
      <w:lvlText w:val="(%1)"/>
      <w:numFmt w:val="lowerLetter"/>
      <w:start w:val="6"/>
    </w:lvl>
  </w:abstractNum>
  <w:abstractNum w:abstractNumId="74">
    <w:nsid w:val="BF72B14"/>
    <w:multiLevelType w:val="hybridMultilevel"/>
    <w:lvl w:ilvl="0">
      <w:lvlJc w:val="left"/>
      <w:lvlText w:val="(%1)"/>
      <w:numFmt w:val="lowerLetter"/>
      <w:start w:val="1"/>
    </w:lvl>
  </w:abstractNum>
  <w:abstractNum w:abstractNumId="75">
    <w:nsid w:val="11447B73"/>
    <w:multiLevelType w:val="hybridMultilevel"/>
    <w:lvl w:ilvl="0">
      <w:lvlJc w:val="left"/>
      <w:lvlText w:val="(%1)"/>
      <w:numFmt w:val="lowerLetter"/>
      <w:start w:val="4"/>
    </w:lvl>
  </w:abstractNum>
  <w:abstractNum w:abstractNumId="76">
    <w:nsid w:val="42963E5A"/>
    <w:multiLevelType w:val="hybridMultilevel"/>
    <w:lvl w:ilvl="0">
      <w:lvlJc w:val="left"/>
      <w:lvlText w:val="["/>
      <w:numFmt w:val="bullet"/>
      <w:start w:val="1"/>
    </w:lvl>
  </w:abstractNum>
  <w:abstractNum w:abstractNumId="77">
    <w:nsid w:val="A0382C5"/>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2019-12-28T17:04:52Z</dcterms:created>
  <dcterms:modified xsi:type="dcterms:W3CDTF">2019-12-28T17:04:52Z</dcterms:modified>
</cp:coreProperties>
</file>