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April 1,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3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information contained in Item 8.01 is hereby incorporated by reference. The Consideration Shares were issued to SCS in a transaction exempt from registration under the Securities Act of 1933, in reliance on Rule 903 of Regulation S thereunder ("Regulation S"). Under the Asset Purchase Agreement, SCS represented to the Company that, at the time of the closing of the Acquisition, SCS was not a "U.S. Person," was not acquiring the Consideration Shares for the account or benefit of any "U.S. Person" and that the purchase of the Consideration Shares was an "offshore transaction" (all within the meaning of Rule 902 of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1, 2009, StemCells, Inc. (the "Company") completed its acquisition of the operating subsidiaries and related assets of Stem Cell Sciences Plc ("SCS"), as contemplated by the asset purchase agreement between the Company and SCS, dated March 1, 2009 (the "Asset Purchase Agreement"). In effect, the Company has acquired substantially all of the operating assets and liabilities of SCS (the "Acquisition") by acquiring all of the outstanding shares of Stem Cell Sciences Holdings Limited ("Holdings"), a private holding company registered in the UK which holds the SCS operating subsidiaries located in England and Australia. As a result of the Acquisition, both Holdings and the SCS operating subsidiaries are now wholly-owned subsidiaries of the Company. SCS has also assigned several contracts to the Company and to Holdings for the benefit of the Company following completion of the Acquisition.</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consideration for the Acquisition, the Company has issued to SCS a total of 2,650,000 shares of the Comp any’s common stock (the "Consideration Shares"); however, 530,000 of these shares have been placed in escrow for the benefit of the Company for a 12 month period to satisfy any SCS indemnification obligations that may arise. The Company will file a registration statement on Form S-3 for resales of the Consideration Shares by SCS. At closing, the Company also waived SCS’ obligations to repay two working capital loans made by the Company—a loan in the amount of £200,000 made to SCS in December 2008 and a loan in the amount of $415,000 made to SCS in March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the closing of the Acquisition is furnished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Apart from statements of historical fact, the text of this Form 8-K constitutes forward-looking statements regarding, among other things, the future business operations of the Company, the potential benefits and synergies arising from the Acquisition, and the Company’s ability to leverage the SCS assets and realize their value. These forward-looking statements speak only as of the date of this Form 8-K.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uncertainties about, and the costs associated with, the integration of the acquired SCS operations; uncertainties about the availability of the escrow to indemnify the Company against any losses arising out of the Acquisition; uncertainties about the effects of the integration of SCS and the Company with regard to their ability to maintain their relationships with employees, licensees, other business partners or governmental entities; uncertainties regarding the Company’s ability to obtain the increased capital resources needed to continue its current and planned research and development operations, including the non-therapeutic research and development engaged in by SCS, and other factors that are described under the heading “Risk Factors” in Item 1A of Part I of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April 1,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of StemCells, Inc., dated April 1,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spacing w:after="0" w:line="257" w:lineRule="auto"/>
        <w:rPr>
          <w:sz w:val="20"/>
          <w:szCs w:val="20"/>
          <w:color w:val="auto"/>
        </w:rPr>
      </w:pPr>
      <w:r>
        <w:rPr>
          <w:rFonts w:ascii="Arial" w:cs="Arial" w:eastAsia="Arial" w:hAnsi="Arial"/>
          <w:sz w:val="22"/>
          <w:szCs w:val="22"/>
          <w:b w:val="1"/>
          <w:bCs w:val="1"/>
          <w:color w:val="auto"/>
        </w:rPr>
        <w:t>STEMCELLS, INC. CLOSES ITS ACQUISITION OF THE OPERATING ASSETS AND BUSINESSES OF STEM CELL SCIENCES PLC</w:t>
      </w:r>
    </w:p>
    <w:p>
      <w:pPr>
        <w:spacing w:after="0" w:line="161" w:lineRule="exact"/>
        <w:rPr>
          <w:sz w:val="20"/>
          <w:szCs w:val="20"/>
          <w:color w:val="auto"/>
        </w:rPr>
      </w:pPr>
    </w:p>
    <w:p>
      <w:pPr>
        <w:jc w:val="both"/>
        <w:ind w:right="160"/>
        <w:spacing w:after="0" w:line="289" w:lineRule="auto"/>
        <w:rPr>
          <w:sz w:val="20"/>
          <w:szCs w:val="20"/>
          <w:color w:val="auto"/>
        </w:rPr>
      </w:pPr>
      <w:r>
        <w:rPr>
          <w:rFonts w:ascii="Arial" w:cs="Arial" w:eastAsia="Arial" w:hAnsi="Arial"/>
          <w:sz w:val="19"/>
          <w:szCs w:val="19"/>
          <w:b w:val="1"/>
          <w:bCs w:val="1"/>
          <w:color w:val="auto"/>
        </w:rPr>
        <w:t xml:space="preserve">PALO ALTO, Calif. ( April 1, 2009) </w:t>
      </w:r>
      <w:r>
        <w:rPr>
          <w:rFonts w:ascii="Arial" w:cs="Arial" w:eastAsia="Arial" w:hAnsi="Arial"/>
          <w:sz w:val="19"/>
          <w:szCs w:val="19"/>
          <w:color w:val="auto"/>
        </w:rPr>
        <w:t>– StemCells, Inc. (NASDAQ: STEM) announced today that it has closed the acquisition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substantially all of the operating assets and liabilities of Stem Cell Sciences Plc (SCS) for 2,650,000 shares of StemCells common stock and approximately $700,000 in cash. The shareholders of SCS approved the transaction at an extraordinary general meeting on Friday, March 27, 2009, with approximately 99% of the votes cast voting in favor of the transaction.</w:t>
      </w:r>
    </w:p>
    <w:p>
      <w:pPr>
        <w:spacing w:after="0" w:line="142"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As a result, StemCells has acquired proprietary cell technologies relating to embryonic stem cells, induced pluripotent stem (iPS) cells, and tissue-derived (adult) stem cells; expertise and infrastructure for providing cell-based assays for drug discovery; the SC</w:t>
      </w:r>
    </w:p>
    <w:p>
      <w:pPr>
        <w:spacing w:after="0" w:line="1" w:lineRule="exact"/>
        <w:rPr>
          <w:sz w:val="20"/>
          <w:szCs w:val="20"/>
          <w:color w:val="auto"/>
        </w:rPr>
      </w:pPr>
    </w:p>
    <w:p>
      <w:pPr>
        <w:ind w:right="320"/>
        <w:spacing w:after="0" w:line="206" w:lineRule="auto"/>
        <w:rPr>
          <w:sz w:val="20"/>
          <w:szCs w:val="20"/>
          <w:color w:val="auto"/>
        </w:rPr>
      </w:pPr>
      <w:r>
        <w:rPr>
          <w:rFonts w:ascii="Arial" w:cs="Arial" w:eastAsia="Arial" w:hAnsi="Arial"/>
          <w:sz w:val="22"/>
          <w:szCs w:val="22"/>
          <w:color w:val="auto"/>
        </w:rPr>
        <w:t>Proven</w:t>
      </w:r>
      <w:r>
        <w:rPr>
          <w:rFonts w:ascii="Arial" w:cs="Arial" w:eastAsia="Arial" w:hAnsi="Arial"/>
          <w:sz w:val="36"/>
          <w:szCs w:val="36"/>
          <w:color w:val="auto"/>
          <w:vertAlign w:val="superscript"/>
        </w:rPr>
        <w:t>®</w:t>
      </w:r>
      <w:r>
        <w:rPr>
          <w:rFonts w:ascii="Arial" w:cs="Arial" w:eastAsia="Arial" w:hAnsi="Arial"/>
          <w:sz w:val="22"/>
          <w:szCs w:val="22"/>
          <w:color w:val="auto"/>
        </w:rPr>
        <w:t xml:space="preserve"> media formulation and reagent business; an intellectual property portfolio with claims relevant to cell processing, reprogramming and manipulation, as well as to gene targeting and insertion; and existing business and license relationships with several major life science companies, such as Merck and Millipore.</w:t>
      </w:r>
    </w:p>
    <w:p>
      <w:pPr>
        <w:spacing w:after="0" w:line="187" w:lineRule="exact"/>
        <w:rPr>
          <w:sz w:val="20"/>
          <w:szCs w:val="20"/>
          <w:color w:val="auto"/>
        </w:rPr>
      </w:pPr>
    </w:p>
    <w:p>
      <w:pPr>
        <w:ind w:right="320"/>
        <w:spacing w:after="0" w:line="279" w:lineRule="auto"/>
        <w:rPr>
          <w:sz w:val="20"/>
          <w:szCs w:val="20"/>
          <w:color w:val="auto"/>
        </w:rPr>
      </w:pPr>
      <w:r>
        <w:rPr>
          <w:rFonts w:ascii="Arial" w:cs="Arial" w:eastAsia="Arial" w:hAnsi="Arial"/>
          <w:sz w:val="19"/>
          <w:szCs w:val="19"/>
          <w:color w:val="auto"/>
        </w:rPr>
        <w:t>“Closing this acquisition is an important step in our strategy to position StemCells, Inc. as a world leader in the rapidly evolving field of cell-based medicine,” said Martin McGlynn, the Company’s President and CEO. “StemCells has established itself as a</w:t>
      </w:r>
    </w:p>
    <w:p>
      <w:pPr>
        <w:spacing w:after="0" w:line="1"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leader in the discovery and development of tissue-derived stem and progenitor cells for therapeutic uses, such as our HuCNS-SC</w:t>
      </w:r>
      <w:r>
        <w:rPr>
          <w:rFonts w:ascii="Arial" w:cs="Arial" w:eastAsia="Arial" w:hAnsi="Arial"/>
          <w:sz w:val="33"/>
          <w:szCs w:val="33"/>
          <w:color w:val="auto"/>
          <w:vertAlign w:val="superscript"/>
        </w:rPr>
        <w:t>®</w:t>
      </w:r>
      <w:r>
        <w:rPr>
          <w:rFonts w:ascii="Arial" w:cs="Arial" w:eastAsia="Arial" w:hAnsi="Arial"/>
          <w:sz w:val="20"/>
          <w:szCs w:val="20"/>
          <w:color w:val="auto"/>
        </w:rPr>
        <w:t xml:space="preserve"> neural stem cells and our human liver engrafting cells. While we remain fully committed to this endeavor, we believe the acquisition of the SCS assets will enable us to leverage our investments in cell technologies to develop non-therapeutic applications, such as cell-based assays, media and reagent tools, in order to pursue nearer-term commercial opportunities.”</w:t>
      </w:r>
    </w:p>
    <w:p>
      <w:pPr>
        <w:spacing w:after="0" w:line="186"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As part of the acquisition, the Company has added approximately 20 employees, all currently based in Cambridge, UK or near Melbourne, Australia, to its 55 employees already on payroll. The Company further noted that the acquired operations incurred losses of approximately $225,000 per month in 2008.</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StemCells, Inc. is a clinical-stage biotechnology company focused on the discovery, development and commercialization of cell-based therapeutics to treat diseases of the central nervous system and liver. StemCells’ product development programs seek to repair or repopulate CNS and liver tissue that has been damaged or lost as a result of disease or injury. StemCells has pioneered the</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discovery and development of HuCNS-SC</w:t>
      </w:r>
      <w:r>
        <w:rPr>
          <w:rFonts w:ascii="Arial" w:cs="Arial" w:eastAsia="Arial" w:hAnsi="Arial"/>
          <w:sz w:val="33"/>
          <w:szCs w:val="33"/>
          <w:color w:val="auto"/>
          <w:vertAlign w:val="superscript"/>
        </w:rPr>
        <w:t>®</w:t>
      </w:r>
      <w:r>
        <w:rPr>
          <w:rFonts w:ascii="Arial" w:cs="Arial" w:eastAsia="Arial" w:hAnsi="Arial"/>
          <w:sz w:val="20"/>
          <w:szCs w:val="20"/>
          <w:color w:val="auto"/>
        </w:rPr>
        <w:t xml:space="preserve"> cells, its highly purified, expandable population of human neural stem cells. StemCells has completed a six patient Phase I clinical trial of its proprietary HuCNS-SC product candidate as a treatment for neuronal ceroid lipofuscinosis (NCL), a rare and fatal neurodegenerative disease that affects infants and young children. StemCells has also received approval from the US Food and Drug Administration (FDA) to initiate a Phase I clinical trial of the HuCNS-SC cells to treat Pelizaeus-Merzbacher Disease (PMD), also a rare and fatal brain disorder that mainly affects young children. StemCells owns or has exclusive rights to approximately 50 issued or allowed U.S. patents and more than 150 granted or allowed non-U.S. patents. Further information about StemCells is available on its web site at: www.stemcellsinc.com.</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Apart from statements of historical fact, the text of this press release constitutes forward-looking statements regarding, among other things, the future business operations of StemCells, Inc. (the “Company”), the potential benefits and synergies arising from the SCS transaction, and the Company’s ability to leverage the SCS assets and realize their value.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uncertainties about and the costs associated with the integration of the acquired SCS operations; uncertainties about the effects of the integration with respect to maintaining relationships with employees, licensees, other business partners or governmental entities; risks whether the FDA or other applicable regulatory agencies will permit the Company to continue clinical testing in NCL, PMD or in future clinical trials of proposed therapies for other diseases or conditions despite the novel and unproven nature of the Company’s technologies; uncertainties about whether the Company will receive the necessary support of a clinical trial site and its institutional review board to initiate a clinical trial in PMD;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cells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and other factors that are described under the heading “Risk Factors” in Item 1A of Part I of the Company’s Annual Report on Form 10-K.</w:t>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9"/>
          <w:szCs w:val="19"/>
          <w:color w:val="auto"/>
        </w:rPr>
        <w:t>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SOURCE: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238" w:lineRule="auto"/>
        <w:rPr>
          <w:sz w:val="20"/>
          <w:szCs w:val="20"/>
          <w:color w:val="auto"/>
        </w:rPr>
      </w:pPr>
      <w:r>
        <w:rPr>
          <w:rFonts w:ascii="Arial" w:cs="Arial" w:eastAsia="Arial" w:hAnsi="Arial"/>
          <w:sz w:val="22"/>
          <w:szCs w:val="22"/>
          <w:color w:val="auto"/>
        </w:rPr>
        <w:t>Rodney Young</w:t>
      </w:r>
    </w:p>
    <w:p>
      <w:pPr>
        <w:spacing w:after="0"/>
        <w:rPr>
          <w:sz w:val="20"/>
          <w:szCs w:val="20"/>
          <w:color w:val="auto"/>
        </w:rPr>
      </w:pPr>
      <w:r>
        <w:rPr>
          <w:rFonts w:ascii="Arial" w:cs="Arial" w:eastAsia="Arial" w:hAnsi="Arial"/>
          <w:sz w:val="21"/>
          <w:szCs w:val="21"/>
          <w:color w:val="auto"/>
        </w:rPr>
        <w:t>Chief Financial Officer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650-475-3100, Ext. 105</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irpr@stemcellsinc.com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r>
        <w:rPr>
          <w:rFonts w:ascii="Arial" w:cs="Arial" w:eastAsia="Arial" w:hAnsi="Arial"/>
          <w:sz w:val="19"/>
          <w:szCs w:val="19"/>
          <w:color w:val="auto"/>
        </w:rPr>
        <w:t>.</w:t>
      </w:r>
    </w:p>
    <w:p>
      <w:pPr>
        <w:spacing w:after="0" w:line="179" w:lineRule="exact"/>
        <w:rPr>
          <w:sz w:val="20"/>
          <w:szCs w:val="20"/>
          <w:color w:val="auto"/>
        </w:rPr>
      </w:pPr>
    </w:p>
    <w:p>
      <w:pPr>
        <w:sectPr>
          <w:pgSz w:w="11900" w:h="16838" w:orient="portrait"/>
          <w:cols w:equalWidth="0" w:num="2">
            <w:col w:w="3040" w:space="720"/>
            <w:col w:w="7660"/>
          </w:cols>
          <w:pgMar w:left="240" w:top="112" w:right="239" w:bottom="0" w:gutter="0" w:footer="0" w:header="0"/>
          <w:type w:val="continuous"/>
        </w:sectPr>
      </w:pPr>
    </w:p>
    <w:p>
      <w:pPr>
        <w:jc w:val="center"/>
        <w:spacing w:after="0"/>
        <w:rPr>
          <w:sz w:val="20"/>
          <w:szCs w:val="20"/>
          <w:color w:val="auto"/>
        </w:rPr>
      </w:pPr>
      <w:r>
        <w:rPr>
          <w:rFonts w:ascii="Arial" w:cs="Arial" w:eastAsia="Arial" w:hAnsi="Arial"/>
          <w:sz w:val="16"/>
          <w:szCs w:val="16"/>
          <w:color w:val="auto"/>
        </w:rPr>
        <w:t>###</w:t>
      </w:r>
    </w:p>
    <w:sectPr>
      <w:pgSz w:w="11900" w:h="16838" w:orient="portrait"/>
      <w:cols w:equalWidth="0" w:num="1">
        <w:col w:w="11420"/>
      </w:cols>
      <w:pgMar w:left="240" w:top="112"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2019-12-10T10:13:45Z</dcterms:created>
  <dcterms:modified xsi:type="dcterms:W3CDTF">2019-12-10T10:13:45Z</dcterms:modified>
</cp:coreProperties>
</file>