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3180"/>
        <w:spacing w:after="0"/>
        <w:rPr>
          <w:sz w:val="20"/>
          <w:szCs w:val="20"/>
          <w:color w:val="auto"/>
        </w:rPr>
      </w:pPr>
      <w:r>
        <w:rPr>
          <w:rFonts w:ascii="Courier New" w:cs="Courier New" w:eastAsia="Courier New" w:hAnsi="Courier New"/>
          <w:sz w:val="16"/>
          <w:szCs w:val="16"/>
          <w:color w:val="auto"/>
        </w:rPr>
        <w:t>Filed Pursuant to Rule 424 (b)(3)</w:t>
      </w:r>
    </w:p>
    <w:p>
      <w:pPr>
        <w:jc w:val="right"/>
        <w:ind w:right="3180"/>
        <w:spacing w:after="0"/>
        <w:rPr>
          <w:sz w:val="20"/>
          <w:szCs w:val="20"/>
          <w:color w:val="auto"/>
        </w:rPr>
      </w:pPr>
      <w:r>
        <w:rPr>
          <w:rFonts w:ascii="Courier New" w:cs="Courier New" w:eastAsia="Courier New" w:hAnsi="Courier New"/>
          <w:sz w:val="16"/>
          <w:szCs w:val="16"/>
          <w:color w:val="auto"/>
        </w:rPr>
        <w:t>Registration No. 333-45496</w:t>
      </w:r>
    </w:p>
    <w:p>
      <w:pPr>
        <w:spacing w:after="0" w:line="359" w:lineRule="exact"/>
        <w:rPr>
          <w:sz w:val="24"/>
          <w:szCs w:val="24"/>
          <w:color w:val="auto"/>
        </w:rPr>
      </w:pPr>
    </w:p>
    <w:p>
      <w:pPr>
        <w:ind w:left="2160"/>
        <w:spacing w:after="0"/>
        <w:rPr>
          <w:sz w:val="20"/>
          <w:szCs w:val="20"/>
          <w:color w:val="auto"/>
        </w:rPr>
      </w:pPr>
      <w:r>
        <w:rPr>
          <w:rFonts w:ascii="Courier New" w:cs="Courier New" w:eastAsia="Courier New" w:hAnsi="Courier New"/>
          <w:sz w:val="16"/>
          <w:szCs w:val="16"/>
          <w:color w:val="auto"/>
        </w:rPr>
        <w:t>SUPPLEMENT NO. 2 DATED MAY 15, 2001</w:t>
      </w:r>
    </w:p>
    <w:p>
      <w:pPr>
        <w:ind w:left="2060"/>
        <w:spacing w:after="0"/>
        <w:rPr>
          <w:sz w:val="20"/>
          <w:szCs w:val="20"/>
          <w:color w:val="auto"/>
        </w:rPr>
      </w:pPr>
      <w:r>
        <w:rPr>
          <w:rFonts w:ascii="Courier New" w:cs="Courier New" w:eastAsia="Courier New" w:hAnsi="Courier New"/>
          <w:sz w:val="16"/>
          <w:szCs w:val="16"/>
          <w:color w:val="auto"/>
        </w:rPr>
        <w:t>TO PROSPECTUS DATED DECEMBER 5, 2000</w:t>
      </w:r>
    </w:p>
    <w:p>
      <w:pPr>
        <w:ind w:left="2160"/>
        <w:spacing w:after="0" w:line="237" w:lineRule="auto"/>
        <w:rPr>
          <w:sz w:val="20"/>
          <w:szCs w:val="20"/>
          <w:color w:val="auto"/>
        </w:rPr>
      </w:pPr>
      <w:r>
        <w:rPr>
          <w:rFonts w:ascii="Courier New" w:cs="Courier New" w:eastAsia="Courier New" w:hAnsi="Courier New"/>
          <w:sz w:val="16"/>
          <w:szCs w:val="16"/>
          <w:color w:val="auto"/>
        </w:rPr>
        <w:t>SECURITIES AND EXCHANGE COMMISSION</w:t>
      </w:r>
    </w:p>
    <w:p>
      <w:pPr>
        <w:ind w:left="2720"/>
        <w:spacing w:after="0"/>
        <w:rPr>
          <w:sz w:val="20"/>
          <w:szCs w:val="20"/>
          <w:color w:val="auto"/>
        </w:rPr>
      </w:pPr>
      <w:r>
        <w:rPr>
          <w:rFonts w:ascii="Courier New" w:cs="Courier New" w:eastAsia="Courier New" w:hAnsi="Courier New"/>
          <w:sz w:val="16"/>
          <w:szCs w:val="16"/>
          <w:color w:val="auto"/>
        </w:rPr>
        <w:t>WASHINGTON, D.C. 20549</w:t>
      </w:r>
    </w:p>
    <w:p>
      <w:pPr>
        <w:spacing w:after="0" w:line="365" w:lineRule="exact"/>
        <w:rPr>
          <w:sz w:val="24"/>
          <w:szCs w:val="24"/>
          <w:color w:val="auto"/>
        </w:rPr>
      </w:pPr>
    </w:p>
    <w:p>
      <w:pPr>
        <w:ind w:right="3460" w:firstLine="844"/>
        <w:spacing w:after="0" w:line="237" w:lineRule="auto"/>
        <w:rPr>
          <w:sz w:val="20"/>
          <w:szCs w:val="20"/>
          <w:color w:val="auto"/>
        </w:rPr>
      </w:pPr>
      <w:r>
        <w:rPr>
          <w:rFonts w:ascii="Courier New" w:cs="Courier New" w:eastAsia="Courier New" w:hAnsi="Courier New"/>
          <w:sz w:val="16"/>
          <w:szCs w:val="16"/>
          <w:color w:val="auto"/>
        </w:rPr>
        <w:t>This Supplement No. 2 to the Prospectus dated December 5, 2000 (the "Prospectus") is filed pursuant to Rule 424(b)(3) to reflect facts and events that constitute a substantive change from or addition to the information set forth in the Prospectus. The information contained in this Supplement reflects disclosures contained in our Quarterly Report on Form 10-Q, filed May 9, 2001 and our report on Form 8-K, filed May 14, 2001.</w:t>
      </w:r>
    </w:p>
    <w:p>
      <w:pPr>
        <w:spacing w:after="0" w:line="184" w:lineRule="exact"/>
        <w:rPr>
          <w:sz w:val="24"/>
          <w:szCs w:val="24"/>
          <w:color w:val="auto"/>
        </w:rPr>
      </w:pPr>
    </w:p>
    <w:p>
      <w:pPr>
        <w:ind w:left="2820"/>
        <w:spacing w:after="0"/>
        <w:rPr>
          <w:sz w:val="20"/>
          <w:szCs w:val="20"/>
          <w:color w:val="auto"/>
        </w:rPr>
      </w:pPr>
      <w:r>
        <w:rPr>
          <w:rFonts w:ascii="Courier New" w:cs="Courier New" w:eastAsia="Courier New" w:hAnsi="Courier New"/>
          <w:sz w:val="16"/>
          <w:szCs w:val="16"/>
          <w:color w:val="auto"/>
        </w:rPr>
        <w:t>FINANCIAL STATEMENTS</w:t>
      </w:r>
    </w:p>
    <w:p>
      <w:pPr>
        <w:spacing w:after="0" w:line="179" w:lineRule="exact"/>
        <w:rPr>
          <w:sz w:val="24"/>
          <w:szCs w:val="24"/>
          <w:color w:val="auto"/>
        </w:rPr>
      </w:pPr>
    </w:p>
    <w:p>
      <w:pPr>
        <w:jc w:val="center"/>
        <w:ind w:right="3080"/>
        <w:spacing w:after="0"/>
        <w:rPr>
          <w:sz w:val="20"/>
          <w:szCs w:val="20"/>
          <w:color w:val="auto"/>
        </w:rPr>
      </w:pPr>
      <w:r>
        <w:rPr>
          <w:rFonts w:ascii="Courier New" w:cs="Courier New" w:eastAsia="Courier New" w:hAnsi="Courier New"/>
          <w:sz w:val="16"/>
          <w:szCs w:val="16"/>
          <w:color w:val="auto"/>
        </w:rPr>
        <w:t>STEMCELLS, INC.</w:t>
      </w:r>
    </w:p>
    <w:p>
      <w:pPr>
        <w:jc w:val="center"/>
        <w:ind w:right="3080"/>
        <w:spacing w:after="0"/>
        <w:rPr>
          <w:sz w:val="20"/>
          <w:szCs w:val="20"/>
          <w:color w:val="auto"/>
        </w:rPr>
      </w:pPr>
      <w:r>
        <w:rPr>
          <w:rFonts w:ascii="Courier New" w:cs="Courier New" w:eastAsia="Courier New" w:hAnsi="Courier New"/>
          <w:sz w:val="16"/>
          <w:szCs w:val="16"/>
          <w:color w:val="auto"/>
        </w:rPr>
        <w:t>CONDENSED CONSOLIDATED BALANCE SHEETS</w:t>
      </w:r>
    </w:p>
    <w:p>
      <w:pPr>
        <w:spacing w:after="0" w:line="200" w:lineRule="exact"/>
        <w:rPr>
          <w:sz w:val="24"/>
          <w:szCs w:val="24"/>
          <w:color w:val="auto"/>
        </w:rPr>
      </w:pPr>
    </w:p>
    <w:p>
      <w:pPr>
        <w:spacing w:after="0" w:line="339"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5100" w:type="dxa"/>
            <w:vAlign w:val="bottom"/>
          </w:tcPr>
          <w:p>
            <w:pPr>
              <w:spacing w:after="0"/>
              <w:rPr>
                <w:sz w:val="15"/>
                <w:szCs w:val="15"/>
                <w:color w:val="auto"/>
              </w:rPr>
            </w:pPr>
          </w:p>
        </w:tc>
        <w:tc>
          <w:tcPr>
            <w:tcW w:w="33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MARCH 31, 2001</w:t>
            </w:r>
          </w:p>
        </w:tc>
        <w:tc>
          <w:tcPr>
            <w:tcW w:w="2200" w:type="dxa"/>
            <w:vAlign w:val="bottom"/>
          </w:tcPr>
          <w:p>
            <w:pPr>
              <w:spacing w:after="0"/>
              <w:rPr>
                <w:sz w:val="15"/>
                <w:szCs w:val="15"/>
                <w:color w:val="auto"/>
              </w:rPr>
            </w:pPr>
          </w:p>
        </w:tc>
      </w:tr>
      <w:tr>
        <w:trPr>
          <w:trHeight w:val="180"/>
        </w:trPr>
        <w:tc>
          <w:tcPr>
            <w:tcW w:w="5100" w:type="dxa"/>
            <w:vAlign w:val="bottom"/>
          </w:tcPr>
          <w:p>
            <w:pPr>
              <w:spacing w:after="0"/>
              <w:rPr>
                <w:sz w:val="15"/>
                <w:szCs w:val="15"/>
                <w:color w:val="auto"/>
              </w:rPr>
            </w:pPr>
          </w:p>
        </w:tc>
        <w:tc>
          <w:tcPr>
            <w:tcW w:w="33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(UNAUDITED)</w:t>
            </w:r>
          </w:p>
        </w:tc>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DECEMBER 31, 2000</w:t>
            </w:r>
          </w:p>
        </w:tc>
      </w:tr>
      <w:tr>
        <w:trPr>
          <w:trHeight w:val="180"/>
        </w:trPr>
        <w:tc>
          <w:tcPr>
            <w:tcW w:w="5100" w:type="dxa"/>
            <w:vAlign w:val="bottom"/>
          </w:tcPr>
          <w:p>
            <w:pPr>
              <w:spacing w:after="0"/>
              <w:rPr>
                <w:sz w:val="15"/>
                <w:szCs w:val="15"/>
                <w:color w:val="auto"/>
              </w:rPr>
            </w:pPr>
          </w:p>
        </w:tc>
        <w:tc>
          <w:tcPr>
            <w:tcW w:w="33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w:t>
            </w:r>
          </w:p>
        </w:tc>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10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33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80"/>
        </w:trPr>
        <w:tc>
          <w:tcPr>
            <w:tcW w:w="510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338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180"/>
        </w:trPr>
        <w:tc>
          <w:tcPr>
            <w:tcW w:w="5100" w:type="dxa"/>
            <w:vAlign w:val="bottom"/>
          </w:tcPr>
          <w:p>
            <w:pPr>
              <w:ind w:left="460"/>
              <w:spacing w:after="0"/>
              <w:rPr>
                <w:sz w:val="20"/>
                <w:szCs w:val="20"/>
                <w:color w:val="auto"/>
              </w:rPr>
            </w:pPr>
            <w:r>
              <w:rPr>
                <w:rFonts w:ascii="Courier New" w:cs="Courier New" w:eastAsia="Courier New" w:hAnsi="Courier New"/>
                <w:sz w:val="16"/>
                <w:szCs w:val="16"/>
                <w:color w:val="auto"/>
              </w:rPr>
              <w:t>Cash and cash equivalents</w:t>
            </w:r>
          </w:p>
        </w:tc>
        <w:tc>
          <w:tcPr>
            <w:tcW w:w="33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$4,499,158</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$6,068,947</w:t>
            </w:r>
          </w:p>
        </w:tc>
      </w:tr>
      <w:tr>
        <w:trPr>
          <w:trHeight w:val="180"/>
        </w:trPr>
        <w:tc>
          <w:tcPr>
            <w:tcW w:w="5100" w:type="dxa"/>
            <w:vAlign w:val="bottom"/>
          </w:tcPr>
          <w:p>
            <w:pPr>
              <w:ind w:left="460"/>
              <w:spacing w:after="0"/>
              <w:rPr>
                <w:sz w:val="20"/>
                <w:szCs w:val="20"/>
                <w:color w:val="auto"/>
              </w:rPr>
            </w:pPr>
            <w:r>
              <w:rPr>
                <w:rFonts w:ascii="Courier New" w:cs="Courier New" w:eastAsia="Courier New" w:hAnsi="Courier New"/>
                <w:sz w:val="16"/>
                <w:szCs w:val="16"/>
                <w:color w:val="auto"/>
              </w:rPr>
              <w:t>Short-term restricted investments</w:t>
            </w:r>
          </w:p>
        </w:tc>
        <w:tc>
          <w:tcPr>
            <w:tcW w:w="33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8,412,650</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16,356,334</w:t>
            </w:r>
          </w:p>
        </w:tc>
      </w:tr>
      <w:tr>
        <w:trPr>
          <w:trHeight w:val="180"/>
        </w:trPr>
        <w:tc>
          <w:tcPr>
            <w:tcW w:w="5100" w:type="dxa"/>
            <w:vAlign w:val="bottom"/>
          </w:tcPr>
          <w:p>
            <w:pPr>
              <w:ind w:left="460"/>
              <w:spacing w:after="0"/>
              <w:rPr>
                <w:sz w:val="20"/>
                <w:szCs w:val="20"/>
                <w:color w:val="auto"/>
              </w:rPr>
            </w:pPr>
            <w:r>
              <w:rPr>
                <w:rFonts w:ascii="Courier New" w:cs="Courier New" w:eastAsia="Courier New" w:hAnsi="Courier New"/>
                <w:sz w:val="16"/>
                <w:szCs w:val="16"/>
                <w:color w:val="auto"/>
              </w:rPr>
              <w:t>Accrued interest receivable</w:t>
            </w:r>
          </w:p>
        </w:tc>
        <w:tc>
          <w:tcPr>
            <w:tcW w:w="33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9,706</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16,725</w:t>
            </w:r>
          </w:p>
        </w:tc>
      </w:tr>
      <w:tr>
        <w:trPr>
          <w:trHeight w:val="180"/>
        </w:trPr>
        <w:tc>
          <w:tcPr>
            <w:tcW w:w="5100" w:type="dxa"/>
            <w:vAlign w:val="bottom"/>
          </w:tcPr>
          <w:p>
            <w:pPr>
              <w:ind w:left="460"/>
              <w:spacing w:after="0"/>
              <w:rPr>
                <w:sz w:val="20"/>
                <w:szCs w:val="20"/>
                <w:color w:val="auto"/>
              </w:rPr>
            </w:pPr>
            <w:r>
              <w:rPr>
                <w:rFonts w:ascii="Courier New" w:cs="Courier New" w:eastAsia="Courier New" w:hAnsi="Courier New"/>
                <w:sz w:val="16"/>
                <w:szCs w:val="16"/>
                <w:color w:val="auto"/>
              </w:rPr>
              <w:t>Prepaid rent</w:t>
            </w:r>
          </w:p>
        </w:tc>
        <w:tc>
          <w:tcPr>
            <w:tcW w:w="33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909,415</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0"/>
        </w:trPr>
        <w:tc>
          <w:tcPr>
            <w:tcW w:w="5100" w:type="dxa"/>
            <w:vAlign w:val="bottom"/>
          </w:tcPr>
          <w:p>
            <w:pPr>
              <w:ind w:left="460"/>
              <w:spacing w:after="0"/>
              <w:rPr>
                <w:sz w:val="20"/>
                <w:szCs w:val="20"/>
                <w:color w:val="auto"/>
              </w:rPr>
            </w:pPr>
            <w:r>
              <w:rPr>
                <w:rFonts w:ascii="Courier New" w:cs="Courier New" w:eastAsia="Courier New" w:hAnsi="Courier New"/>
                <w:sz w:val="16"/>
                <w:szCs w:val="16"/>
                <w:color w:val="auto"/>
              </w:rPr>
              <w:t>Other current assets</w:t>
            </w:r>
          </w:p>
        </w:tc>
        <w:tc>
          <w:tcPr>
            <w:tcW w:w="33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473,696</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524,509</w:t>
            </w:r>
          </w:p>
        </w:tc>
      </w:tr>
      <w:tr>
        <w:trPr>
          <w:trHeight w:val="180"/>
        </w:trPr>
        <w:tc>
          <w:tcPr>
            <w:tcW w:w="5100" w:type="dxa"/>
            <w:vAlign w:val="bottom"/>
          </w:tcPr>
          <w:p>
            <w:pPr>
              <w:spacing w:after="0"/>
              <w:rPr>
                <w:sz w:val="15"/>
                <w:szCs w:val="15"/>
                <w:color w:val="auto"/>
              </w:rPr>
            </w:pPr>
          </w:p>
        </w:tc>
        <w:tc>
          <w:tcPr>
            <w:tcW w:w="33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0"/>
        </w:trPr>
        <w:tc>
          <w:tcPr>
            <w:tcW w:w="5100" w:type="dxa"/>
            <w:vAlign w:val="bottom"/>
          </w:tcPr>
          <w:p>
            <w:pPr>
              <w:ind w:left="840"/>
              <w:spacing w:after="0"/>
              <w:rPr>
                <w:sz w:val="20"/>
                <w:szCs w:val="20"/>
                <w:color w:val="auto"/>
              </w:rPr>
            </w:pPr>
            <w:r>
              <w:rPr>
                <w:rFonts w:ascii="Courier New" w:cs="Courier New" w:eastAsia="Courier New" w:hAnsi="Courier New"/>
                <w:sz w:val="16"/>
                <w:szCs w:val="16"/>
                <w:color w:val="auto"/>
              </w:rPr>
              <w:t>Total current assets</w:t>
            </w:r>
          </w:p>
        </w:tc>
        <w:tc>
          <w:tcPr>
            <w:tcW w:w="33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14,304,625</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22,966,515</w:t>
            </w:r>
          </w:p>
        </w:tc>
      </w:tr>
      <w:tr>
        <w:trPr>
          <w:trHeight w:val="361"/>
        </w:trPr>
        <w:tc>
          <w:tcPr>
            <w:tcW w:w="5100" w:type="dxa"/>
            <w:vAlign w:val="bottom"/>
          </w:tcPr>
          <w:p>
            <w:pPr>
              <w:ind w:left="460"/>
              <w:spacing w:after="0"/>
              <w:rPr>
                <w:sz w:val="20"/>
                <w:szCs w:val="20"/>
                <w:color w:val="auto"/>
              </w:rPr>
            </w:pPr>
            <w:r>
              <w:rPr>
                <w:rFonts w:ascii="Courier New" w:cs="Courier New" w:eastAsia="Courier New" w:hAnsi="Courier New"/>
                <w:sz w:val="16"/>
                <w:szCs w:val="16"/>
                <w:color w:val="auto"/>
              </w:rPr>
              <w:t>Property held for sale</w:t>
            </w:r>
          </w:p>
        </w:tc>
        <w:tc>
          <w:tcPr>
            <w:tcW w:w="33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3,203,491</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3,203,491</w:t>
            </w:r>
          </w:p>
        </w:tc>
      </w:tr>
      <w:tr>
        <w:trPr>
          <w:trHeight w:val="180"/>
        </w:trPr>
        <w:tc>
          <w:tcPr>
            <w:tcW w:w="5100" w:type="dxa"/>
            <w:vAlign w:val="bottom"/>
          </w:tcPr>
          <w:p>
            <w:pPr>
              <w:ind w:left="460"/>
              <w:spacing w:after="0"/>
              <w:rPr>
                <w:sz w:val="20"/>
                <w:szCs w:val="20"/>
                <w:color w:val="auto"/>
              </w:rPr>
            </w:pPr>
            <w:r>
              <w:rPr>
                <w:rFonts w:ascii="Courier New" w:cs="Courier New" w:eastAsia="Courier New" w:hAnsi="Courier New"/>
                <w:sz w:val="16"/>
                <w:szCs w:val="16"/>
                <w:color w:val="auto"/>
              </w:rPr>
              <w:t>Property, plant and equipment, net</w:t>
            </w:r>
          </w:p>
        </w:tc>
        <w:tc>
          <w:tcPr>
            <w:tcW w:w="33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1,442,089</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1,451,061</w:t>
            </w:r>
          </w:p>
        </w:tc>
      </w:tr>
      <w:tr>
        <w:trPr>
          <w:trHeight w:val="180"/>
        </w:trPr>
        <w:tc>
          <w:tcPr>
            <w:tcW w:w="5100" w:type="dxa"/>
            <w:vAlign w:val="bottom"/>
          </w:tcPr>
          <w:p>
            <w:pPr>
              <w:ind w:left="460"/>
              <w:spacing w:after="0"/>
              <w:rPr>
                <w:sz w:val="20"/>
                <w:szCs w:val="20"/>
                <w:color w:val="auto"/>
              </w:rPr>
            </w:pPr>
            <w:r>
              <w:rPr>
                <w:rFonts w:ascii="Courier New" w:cs="Courier New" w:eastAsia="Courier New" w:hAnsi="Courier New"/>
                <w:sz w:val="16"/>
                <w:szCs w:val="16"/>
                <w:color w:val="auto"/>
              </w:rPr>
              <w:t>Other assets net</w:t>
            </w:r>
          </w:p>
        </w:tc>
        <w:tc>
          <w:tcPr>
            <w:tcW w:w="33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2,556,457</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2,173,912</w:t>
            </w:r>
          </w:p>
        </w:tc>
      </w:tr>
      <w:tr>
        <w:trPr>
          <w:trHeight w:val="180"/>
        </w:trPr>
        <w:tc>
          <w:tcPr>
            <w:tcW w:w="5100" w:type="dxa"/>
            <w:vAlign w:val="bottom"/>
          </w:tcPr>
          <w:p>
            <w:pPr>
              <w:spacing w:after="0"/>
              <w:rPr>
                <w:sz w:val="15"/>
                <w:szCs w:val="15"/>
                <w:color w:val="auto"/>
              </w:rPr>
            </w:pPr>
          </w:p>
        </w:tc>
        <w:tc>
          <w:tcPr>
            <w:tcW w:w="33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361"/>
        </w:trPr>
        <w:tc>
          <w:tcPr>
            <w:tcW w:w="510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33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$21,506,661</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$29,794,979</w:t>
            </w:r>
          </w:p>
        </w:tc>
      </w:tr>
      <w:tr>
        <w:trPr>
          <w:trHeight w:val="180"/>
        </w:trPr>
        <w:tc>
          <w:tcPr>
            <w:tcW w:w="5100" w:type="dxa"/>
            <w:vAlign w:val="bottom"/>
          </w:tcPr>
          <w:p>
            <w:pPr>
              <w:spacing w:after="0"/>
              <w:rPr>
                <w:sz w:val="15"/>
                <w:szCs w:val="15"/>
                <w:color w:val="auto"/>
              </w:rPr>
            </w:pPr>
          </w:p>
        </w:tc>
        <w:tc>
          <w:tcPr>
            <w:tcW w:w="33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361"/>
        </w:trPr>
        <w:tc>
          <w:tcPr>
            <w:tcW w:w="510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33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80"/>
        </w:trPr>
        <w:tc>
          <w:tcPr>
            <w:tcW w:w="510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338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180"/>
        </w:trPr>
        <w:tc>
          <w:tcPr>
            <w:tcW w:w="5100" w:type="dxa"/>
            <w:vAlign w:val="bottom"/>
          </w:tcPr>
          <w:p>
            <w:pPr>
              <w:ind w:left="460"/>
              <w:spacing w:after="0"/>
              <w:rPr>
                <w:sz w:val="20"/>
                <w:szCs w:val="20"/>
                <w:color w:val="auto"/>
              </w:rPr>
            </w:pPr>
            <w:r>
              <w:rPr>
                <w:rFonts w:ascii="Courier New" w:cs="Courier New" w:eastAsia="Courier New" w:hAnsi="Courier New"/>
                <w:sz w:val="16"/>
                <w:szCs w:val="16"/>
                <w:color w:val="auto"/>
              </w:rPr>
              <w:t>Accounts payable</w:t>
            </w:r>
          </w:p>
        </w:tc>
        <w:tc>
          <w:tcPr>
            <w:tcW w:w="33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$237,856</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$526,191</w:t>
            </w:r>
          </w:p>
        </w:tc>
      </w:tr>
      <w:tr>
        <w:trPr>
          <w:trHeight w:val="180"/>
        </w:trPr>
        <w:tc>
          <w:tcPr>
            <w:tcW w:w="5100" w:type="dxa"/>
            <w:vAlign w:val="bottom"/>
          </w:tcPr>
          <w:p>
            <w:pPr>
              <w:ind w:left="460"/>
              <w:spacing w:after="0"/>
              <w:rPr>
                <w:sz w:val="20"/>
                <w:szCs w:val="20"/>
                <w:color w:val="auto"/>
              </w:rPr>
            </w:pPr>
            <w:r>
              <w:rPr>
                <w:rFonts w:ascii="Courier New" w:cs="Courier New" w:eastAsia="Courier New" w:hAnsi="Courier New"/>
                <w:sz w:val="16"/>
                <w:szCs w:val="16"/>
                <w:color w:val="auto"/>
              </w:rPr>
              <w:t>Accrued expenses</w:t>
            </w:r>
          </w:p>
        </w:tc>
        <w:tc>
          <w:tcPr>
            <w:tcW w:w="33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785,064</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837,358</w:t>
            </w:r>
          </w:p>
        </w:tc>
      </w:tr>
      <w:tr>
        <w:trPr>
          <w:trHeight w:val="180"/>
        </w:trPr>
        <w:tc>
          <w:tcPr>
            <w:tcW w:w="5100" w:type="dxa"/>
            <w:vAlign w:val="bottom"/>
          </w:tcPr>
          <w:p>
            <w:pPr>
              <w:ind w:left="460"/>
              <w:spacing w:after="0"/>
              <w:rPr>
                <w:sz w:val="20"/>
                <w:szCs w:val="20"/>
                <w:color w:val="auto"/>
              </w:rPr>
            </w:pPr>
            <w:r>
              <w:rPr>
                <w:rFonts w:ascii="Courier New" w:cs="Courier New" w:eastAsia="Courier New" w:hAnsi="Courier New"/>
                <w:sz w:val="16"/>
                <w:szCs w:val="16"/>
                <w:color w:val="auto"/>
              </w:rPr>
              <w:t>Accrued wind-down costs</w:t>
            </w:r>
          </w:p>
        </w:tc>
        <w:tc>
          <w:tcPr>
            <w:tcW w:w="33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1,380,947</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1,780,579</w:t>
            </w:r>
          </w:p>
        </w:tc>
      </w:tr>
    </w:tbl>
    <w:p>
      <w:pPr>
        <w:sectPr>
          <w:pgSz w:w="11900" w:h="16838" w:orient="portrait"/>
          <w:cols w:equalWidth="0" w:num="1">
            <w:col w:w="10680"/>
          </w:cols>
          <w:pgMar w:left="240" w:top="593" w:right="97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00" w:type="dxa"/>
            <w:vAlign w:val="bottom"/>
          </w:tcPr>
          <w:p>
            <w:pPr>
              <w:ind w:left="460"/>
              <w:spacing w:after="0"/>
              <w:rPr>
                <w:sz w:val="20"/>
                <w:szCs w:val="20"/>
                <w:color w:val="auto"/>
              </w:rPr>
            </w:pPr>
            <w:r>
              <w:rPr>
                <w:rFonts w:ascii="Courier New" w:cs="Courier New" w:eastAsia="Courier New" w:hAnsi="Courier New"/>
                <w:sz w:val="16"/>
                <w:szCs w:val="16"/>
                <w:color w:val="auto"/>
              </w:rPr>
              <w:t>Current maturities of capitalized lease</w:t>
            </w:r>
          </w:p>
        </w:tc>
        <w:tc>
          <w:tcPr>
            <w:tcW w:w="24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80"/>
        </w:trPr>
        <w:tc>
          <w:tcPr>
            <w:tcW w:w="6000" w:type="dxa"/>
            <w:vAlign w:val="bottom"/>
          </w:tcPr>
          <w:p>
            <w:pPr>
              <w:ind w:left="840"/>
              <w:spacing w:after="0"/>
              <w:rPr>
                <w:sz w:val="20"/>
                <w:szCs w:val="20"/>
                <w:color w:val="auto"/>
              </w:rPr>
            </w:pPr>
            <w:r>
              <w:rPr>
                <w:rFonts w:ascii="Courier New" w:cs="Courier New" w:eastAsia="Courier New" w:hAnsi="Courier New"/>
                <w:sz w:val="16"/>
                <w:szCs w:val="16"/>
                <w:color w:val="auto"/>
              </w:rPr>
              <w:t>obligations</w:t>
            </w:r>
          </w:p>
        </w:tc>
        <w:tc>
          <w:tcPr>
            <w:tcW w:w="24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333,333</w:t>
            </w:r>
          </w:p>
        </w:tc>
        <w:tc>
          <w:tcPr>
            <w:tcW w:w="1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332,083</w:t>
            </w:r>
          </w:p>
        </w:tc>
      </w:tr>
      <w:tr>
        <w:trPr>
          <w:trHeight w:val="180"/>
        </w:trPr>
        <w:tc>
          <w:tcPr>
            <w:tcW w:w="6000" w:type="dxa"/>
            <w:vAlign w:val="bottom"/>
          </w:tcPr>
          <w:p>
            <w:pPr>
              <w:spacing w:after="0"/>
              <w:rPr>
                <w:sz w:val="15"/>
                <w:szCs w:val="15"/>
                <w:color w:val="auto"/>
              </w:rPr>
            </w:pPr>
          </w:p>
        </w:tc>
        <w:tc>
          <w:tcPr>
            <w:tcW w:w="24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6000" w:type="dxa"/>
            <w:vAlign w:val="bottom"/>
          </w:tcPr>
          <w:p>
            <w:pPr>
              <w:spacing w:after="0"/>
              <w:rPr>
                <w:sz w:val="20"/>
                <w:szCs w:val="20"/>
                <w:color w:val="auto"/>
              </w:rPr>
            </w:pPr>
            <w:r>
              <w:rPr>
                <w:rFonts w:ascii="Courier New" w:cs="Courier New" w:eastAsia="Courier New" w:hAnsi="Courier New"/>
                <w:sz w:val="16"/>
                <w:szCs w:val="16"/>
                <w:color w:val="auto"/>
              </w:rPr>
              <w:t>Total current liabilities</w:t>
            </w:r>
          </w:p>
        </w:tc>
        <w:tc>
          <w:tcPr>
            <w:tcW w:w="24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2,737,200</w:t>
            </w:r>
          </w:p>
        </w:tc>
        <w:tc>
          <w:tcPr>
            <w:tcW w:w="1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3,476,211</w:t>
            </w:r>
          </w:p>
        </w:tc>
      </w:tr>
      <w:tr>
        <w:trPr>
          <w:trHeight w:val="361"/>
        </w:trPr>
        <w:tc>
          <w:tcPr>
            <w:tcW w:w="6000" w:type="dxa"/>
            <w:vAlign w:val="bottom"/>
          </w:tcPr>
          <w:p>
            <w:pPr>
              <w:spacing w:after="0"/>
              <w:rPr>
                <w:sz w:val="20"/>
                <w:szCs w:val="20"/>
                <w:color w:val="auto"/>
              </w:rPr>
            </w:pPr>
            <w:r>
              <w:rPr>
                <w:rFonts w:ascii="Courier New" w:cs="Courier New" w:eastAsia="Courier New" w:hAnsi="Courier New"/>
                <w:sz w:val="16"/>
                <w:szCs w:val="16"/>
                <w:color w:val="auto"/>
              </w:rPr>
              <w:t>Capitalized lease obligations, less current maturities</w:t>
            </w:r>
          </w:p>
        </w:tc>
        <w:tc>
          <w:tcPr>
            <w:tcW w:w="24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2,521,250</w:t>
            </w:r>
          </w:p>
        </w:tc>
        <w:tc>
          <w:tcPr>
            <w:tcW w:w="1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2,605,000</w:t>
            </w:r>
          </w:p>
        </w:tc>
      </w:tr>
      <w:tr>
        <w:trPr>
          <w:trHeight w:val="180"/>
        </w:trPr>
        <w:tc>
          <w:tcPr>
            <w:tcW w:w="6000" w:type="dxa"/>
            <w:vAlign w:val="bottom"/>
          </w:tcPr>
          <w:p>
            <w:pPr>
              <w:spacing w:after="0"/>
              <w:rPr>
                <w:sz w:val="20"/>
                <w:szCs w:val="20"/>
                <w:color w:val="auto"/>
              </w:rPr>
            </w:pPr>
            <w:r>
              <w:rPr>
                <w:rFonts w:ascii="Courier New" w:cs="Courier New" w:eastAsia="Courier New" w:hAnsi="Courier New"/>
                <w:sz w:val="16"/>
                <w:szCs w:val="16"/>
                <w:color w:val="auto"/>
              </w:rPr>
              <w:t>Deposits</w:t>
            </w:r>
          </w:p>
        </w:tc>
        <w:tc>
          <w:tcPr>
            <w:tcW w:w="24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26,000</w:t>
            </w:r>
          </w:p>
        </w:tc>
        <w:tc>
          <w:tcPr>
            <w:tcW w:w="1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26,000</w:t>
            </w:r>
          </w:p>
        </w:tc>
      </w:tr>
      <w:tr>
        <w:trPr>
          <w:trHeight w:val="180"/>
        </w:trPr>
        <w:tc>
          <w:tcPr>
            <w:tcW w:w="6000" w:type="dxa"/>
            <w:vAlign w:val="bottom"/>
          </w:tcPr>
          <w:p>
            <w:pPr>
              <w:spacing w:after="0"/>
              <w:rPr>
                <w:sz w:val="20"/>
                <w:szCs w:val="20"/>
                <w:color w:val="auto"/>
              </w:rPr>
            </w:pPr>
            <w:r>
              <w:rPr>
                <w:rFonts w:ascii="Courier New" w:cs="Courier New" w:eastAsia="Courier New" w:hAnsi="Courier New"/>
                <w:sz w:val="16"/>
                <w:szCs w:val="16"/>
                <w:color w:val="auto"/>
              </w:rPr>
              <w:t>Deferred rent</w:t>
            </w:r>
          </w:p>
        </w:tc>
        <w:tc>
          <w:tcPr>
            <w:tcW w:w="24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760,508</w:t>
            </w:r>
          </w:p>
        </w:tc>
        <w:tc>
          <w:tcPr>
            <w:tcW w:w="1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705,746</w:t>
            </w:r>
          </w:p>
        </w:tc>
      </w:tr>
      <w:tr>
        <w:trPr>
          <w:trHeight w:val="180"/>
        </w:trPr>
        <w:tc>
          <w:tcPr>
            <w:tcW w:w="600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24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80"/>
        </w:trPr>
        <w:tc>
          <w:tcPr>
            <w:tcW w:w="6000" w:type="dxa"/>
            <w:vAlign w:val="bottom"/>
          </w:tcPr>
          <w:p>
            <w:pPr>
              <w:ind w:left="460"/>
              <w:spacing w:after="0"/>
              <w:rPr>
                <w:sz w:val="20"/>
                <w:szCs w:val="20"/>
                <w:color w:val="auto"/>
              </w:rPr>
            </w:pPr>
            <w:r>
              <w:rPr>
                <w:rFonts w:ascii="Courier New" w:cs="Courier New" w:eastAsia="Courier New" w:hAnsi="Courier New"/>
                <w:sz w:val="16"/>
                <w:szCs w:val="16"/>
                <w:color w:val="auto"/>
              </w:rPr>
              <w:t>Convertible preferred stock, $.01 par value;</w:t>
            </w:r>
          </w:p>
        </w:tc>
        <w:tc>
          <w:tcPr>
            <w:tcW w:w="24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80"/>
        </w:trPr>
        <w:tc>
          <w:tcPr>
            <w:tcW w:w="6000" w:type="dxa"/>
            <w:vAlign w:val="bottom"/>
          </w:tcPr>
          <w:p>
            <w:pPr>
              <w:ind w:left="460"/>
              <w:spacing w:after="0"/>
              <w:rPr>
                <w:sz w:val="20"/>
                <w:szCs w:val="20"/>
                <w:color w:val="auto"/>
              </w:rPr>
            </w:pPr>
            <w:r>
              <w:rPr>
                <w:rFonts w:ascii="Courier New" w:cs="Courier New" w:eastAsia="Courier New" w:hAnsi="Courier New"/>
                <w:sz w:val="16"/>
                <w:szCs w:val="16"/>
                <w:color w:val="auto"/>
              </w:rPr>
              <w:t>1,000,000 shares unauthorized, 2,626 designated as 6%</w:t>
            </w:r>
          </w:p>
        </w:tc>
        <w:tc>
          <w:tcPr>
            <w:tcW w:w="24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80"/>
        </w:trPr>
        <w:tc>
          <w:tcPr>
            <w:tcW w:w="6000" w:type="dxa"/>
            <w:vAlign w:val="bottom"/>
          </w:tcPr>
          <w:p>
            <w:pPr>
              <w:ind w:left="460"/>
              <w:spacing w:after="0"/>
              <w:rPr>
                <w:sz w:val="20"/>
                <w:szCs w:val="20"/>
                <w:color w:val="auto"/>
              </w:rPr>
            </w:pPr>
            <w:r>
              <w:rPr>
                <w:rFonts w:ascii="Courier New" w:cs="Courier New" w:eastAsia="Courier New" w:hAnsi="Courier New"/>
                <w:sz w:val="16"/>
                <w:szCs w:val="16"/>
                <w:color w:val="auto"/>
              </w:rPr>
              <w:t>Cumulative Convertible Preferred Stock 1,500,000</w:t>
            </w:r>
          </w:p>
        </w:tc>
        <w:tc>
          <w:tcPr>
            <w:tcW w:w="24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80"/>
        </w:trPr>
        <w:tc>
          <w:tcPr>
            <w:tcW w:w="6000" w:type="dxa"/>
            <w:vAlign w:val="bottom"/>
          </w:tcPr>
          <w:p>
            <w:pPr>
              <w:ind w:left="460"/>
              <w:spacing w:after="0"/>
              <w:rPr>
                <w:sz w:val="20"/>
                <w:szCs w:val="20"/>
                <w:color w:val="auto"/>
              </w:rPr>
            </w:pPr>
            <w:r>
              <w:rPr>
                <w:rFonts w:ascii="Courier New" w:cs="Courier New" w:eastAsia="Courier New" w:hAnsi="Courier New"/>
                <w:sz w:val="16"/>
                <w:szCs w:val="16"/>
                <w:color w:val="auto"/>
              </w:rPr>
              <w:t>shares issued and outstanding at March 31, 2000,</w:t>
            </w:r>
          </w:p>
        </w:tc>
        <w:tc>
          <w:tcPr>
            <w:tcW w:w="24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80"/>
        </w:trPr>
        <w:tc>
          <w:tcPr>
            <w:tcW w:w="6000" w:type="dxa"/>
            <w:vAlign w:val="bottom"/>
          </w:tcPr>
          <w:p>
            <w:pPr>
              <w:ind w:left="460"/>
              <w:spacing w:after="0"/>
              <w:rPr>
                <w:sz w:val="20"/>
                <w:szCs w:val="20"/>
                <w:color w:val="auto"/>
              </w:rPr>
            </w:pPr>
            <w:r>
              <w:rPr>
                <w:rFonts w:ascii="Courier New" w:cs="Courier New" w:eastAsia="Courier New" w:hAnsi="Courier New"/>
                <w:sz w:val="16"/>
                <w:szCs w:val="16"/>
                <w:color w:val="auto"/>
              </w:rPr>
              <w:t>none at December 31, 2000</w:t>
            </w:r>
          </w:p>
        </w:tc>
        <w:tc>
          <w:tcPr>
            <w:tcW w:w="24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1,500,000</w:t>
            </w:r>
          </w:p>
        </w:tc>
        <w:tc>
          <w:tcPr>
            <w:tcW w:w="1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1,500,000</w:t>
            </w:r>
          </w:p>
        </w:tc>
      </w:tr>
      <w:tr>
        <w:trPr>
          <w:trHeight w:val="361"/>
        </w:trPr>
        <w:tc>
          <w:tcPr>
            <w:tcW w:w="6000" w:type="dxa"/>
            <w:vAlign w:val="bottom"/>
          </w:tcPr>
          <w:p>
            <w:pPr>
              <w:ind w:left="460"/>
              <w:spacing w:after="0"/>
              <w:rPr>
                <w:sz w:val="20"/>
                <w:szCs w:val="20"/>
                <w:color w:val="auto"/>
              </w:rPr>
            </w:pPr>
            <w:r>
              <w:rPr>
                <w:rFonts w:ascii="Courier New" w:cs="Courier New" w:eastAsia="Courier New" w:hAnsi="Courier New"/>
                <w:sz w:val="16"/>
                <w:szCs w:val="16"/>
                <w:color w:val="auto"/>
              </w:rPr>
              <w:t>Common stock, $.01 par value; 45,000,000</w:t>
            </w:r>
          </w:p>
        </w:tc>
        <w:tc>
          <w:tcPr>
            <w:tcW w:w="244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80"/>
        </w:trPr>
        <w:tc>
          <w:tcPr>
            <w:tcW w:w="6000" w:type="dxa"/>
            <w:vAlign w:val="bottom"/>
          </w:tcPr>
          <w:p>
            <w:pPr>
              <w:ind w:left="460"/>
              <w:spacing w:after="0"/>
              <w:rPr>
                <w:sz w:val="20"/>
                <w:szCs w:val="20"/>
                <w:color w:val="auto"/>
              </w:rPr>
            </w:pPr>
            <w:r>
              <w:rPr>
                <w:rFonts w:ascii="Courier New" w:cs="Courier New" w:eastAsia="Courier New" w:hAnsi="Courier New"/>
                <w:sz w:val="16"/>
                <w:szCs w:val="16"/>
                <w:color w:val="auto"/>
              </w:rPr>
              <w:t>shares authorized; 21,458,211 and 20,956,887 shares</w:t>
            </w:r>
          </w:p>
        </w:tc>
        <w:tc>
          <w:tcPr>
            <w:tcW w:w="24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80"/>
        </w:trPr>
        <w:tc>
          <w:tcPr>
            <w:tcW w:w="6000" w:type="dxa"/>
            <w:vAlign w:val="bottom"/>
          </w:tcPr>
          <w:p>
            <w:pPr>
              <w:ind w:left="460"/>
              <w:spacing w:after="0"/>
              <w:rPr>
                <w:sz w:val="20"/>
                <w:szCs w:val="20"/>
                <w:color w:val="auto"/>
              </w:rPr>
            </w:pPr>
            <w:r>
              <w:rPr>
                <w:rFonts w:ascii="Courier New" w:cs="Courier New" w:eastAsia="Courier New" w:hAnsi="Courier New"/>
                <w:sz w:val="16"/>
                <w:szCs w:val="16"/>
                <w:color w:val="auto"/>
              </w:rPr>
              <w:t>issued and outstanding at March 31, 2001 and</w:t>
            </w:r>
          </w:p>
        </w:tc>
        <w:tc>
          <w:tcPr>
            <w:tcW w:w="24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80"/>
        </w:trPr>
        <w:tc>
          <w:tcPr>
            <w:tcW w:w="6000" w:type="dxa"/>
            <w:vAlign w:val="bottom"/>
          </w:tcPr>
          <w:p>
            <w:pPr>
              <w:ind w:left="460"/>
              <w:spacing w:after="0"/>
              <w:rPr>
                <w:sz w:val="20"/>
                <w:szCs w:val="20"/>
                <w:color w:val="auto"/>
              </w:rPr>
            </w:pPr>
            <w:r>
              <w:rPr>
                <w:rFonts w:ascii="Courier New" w:cs="Courier New" w:eastAsia="Courier New" w:hAnsi="Courier New"/>
                <w:sz w:val="16"/>
                <w:szCs w:val="16"/>
                <w:color w:val="auto"/>
              </w:rPr>
              <w:t>December 31, 2000, respectively</w:t>
            </w:r>
          </w:p>
        </w:tc>
        <w:tc>
          <w:tcPr>
            <w:tcW w:w="24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214,612</w:t>
            </w:r>
          </w:p>
        </w:tc>
        <w:tc>
          <w:tcPr>
            <w:tcW w:w="1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209,569</w:t>
            </w:r>
          </w:p>
        </w:tc>
      </w:tr>
      <w:tr>
        <w:trPr>
          <w:trHeight w:val="361"/>
        </w:trPr>
        <w:tc>
          <w:tcPr>
            <w:tcW w:w="6000" w:type="dxa"/>
            <w:vAlign w:val="bottom"/>
          </w:tcPr>
          <w:p>
            <w:pPr>
              <w:ind w:left="840"/>
              <w:spacing w:after="0"/>
              <w:rPr>
                <w:sz w:val="20"/>
                <w:szCs w:val="20"/>
                <w:color w:val="auto"/>
              </w:rPr>
            </w:pPr>
            <w:r>
              <w:rPr>
                <w:rFonts w:ascii="Courier New" w:cs="Courier New" w:eastAsia="Courier New" w:hAnsi="Courier New"/>
                <w:sz w:val="16"/>
                <w:szCs w:val="16"/>
                <w:color w:val="auto"/>
              </w:rPr>
              <w:t>Additional paid in capital</w:t>
            </w:r>
          </w:p>
        </w:tc>
        <w:tc>
          <w:tcPr>
            <w:tcW w:w="24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137,608,696</w:t>
            </w:r>
          </w:p>
        </w:tc>
        <w:tc>
          <w:tcPr>
            <w:tcW w:w="1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138,150,067</w:t>
            </w:r>
          </w:p>
        </w:tc>
      </w:tr>
      <w:tr>
        <w:trPr>
          <w:trHeight w:val="180"/>
        </w:trPr>
        <w:tc>
          <w:tcPr>
            <w:tcW w:w="6000" w:type="dxa"/>
            <w:vAlign w:val="bottom"/>
          </w:tcPr>
          <w:p>
            <w:pPr>
              <w:ind w:left="840"/>
              <w:spacing w:after="0"/>
              <w:rPr>
                <w:sz w:val="20"/>
                <w:szCs w:val="20"/>
                <w:color w:val="auto"/>
              </w:rPr>
            </w:pPr>
            <w:r>
              <w:rPr>
                <w:rFonts w:ascii="Courier New" w:cs="Courier New" w:eastAsia="Courier New" w:hAnsi="Courier New"/>
                <w:sz w:val="16"/>
                <w:szCs w:val="16"/>
                <w:color w:val="auto"/>
              </w:rPr>
              <w:t>Accumulated deficit</w:t>
            </w:r>
          </w:p>
        </w:tc>
        <w:tc>
          <w:tcPr>
            <w:tcW w:w="24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(130,229,646)</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(130,498,187)</w:t>
            </w:r>
          </w:p>
        </w:tc>
      </w:tr>
      <w:tr>
        <w:trPr>
          <w:trHeight w:val="180"/>
        </w:trPr>
        <w:tc>
          <w:tcPr>
            <w:tcW w:w="6000" w:type="dxa"/>
            <w:vAlign w:val="bottom"/>
          </w:tcPr>
          <w:p>
            <w:pPr>
              <w:ind w:left="840"/>
              <w:spacing w:after="0"/>
              <w:rPr>
                <w:sz w:val="20"/>
                <w:szCs w:val="20"/>
                <w:color w:val="auto"/>
              </w:rPr>
            </w:pPr>
            <w:r>
              <w:rPr>
                <w:rFonts w:ascii="Courier New" w:cs="Courier New" w:eastAsia="Courier New" w:hAnsi="Courier New"/>
                <w:sz w:val="16"/>
                <w:szCs w:val="16"/>
                <w:color w:val="auto"/>
              </w:rPr>
              <w:t>Accumulated other comprehensive</w:t>
            </w:r>
          </w:p>
        </w:tc>
        <w:tc>
          <w:tcPr>
            <w:tcW w:w="24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80"/>
        </w:trPr>
        <w:tc>
          <w:tcPr>
            <w:tcW w:w="6000" w:type="dxa"/>
            <w:vAlign w:val="bottom"/>
          </w:tcPr>
          <w:p>
            <w:pPr>
              <w:ind w:left="1300"/>
              <w:spacing w:after="0"/>
              <w:rPr>
                <w:sz w:val="20"/>
                <w:szCs w:val="20"/>
                <w:color w:val="auto"/>
              </w:rPr>
            </w:pPr>
            <w:r>
              <w:rPr>
                <w:rFonts w:ascii="Courier New" w:cs="Courier New" w:eastAsia="Courier New" w:hAnsi="Courier New"/>
                <w:sz w:val="16"/>
                <w:szCs w:val="16"/>
                <w:color w:val="auto"/>
              </w:rPr>
              <w:t>income</w:t>
            </w:r>
          </w:p>
        </w:tc>
        <w:tc>
          <w:tcPr>
            <w:tcW w:w="24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8,412,650</w:t>
            </w:r>
          </w:p>
        </w:tc>
        <w:tc>
          <w:tcPr>
            <w:tcW w:w="1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16,356,334</w:t>
            </w:r>
          </w:p>
        </w:tc>
      </w:tr>
      <w:tr>
        <w:trPr>
          <w:trHeight w:val="180"/>
        </w:trPr>
        <w:tc>
          <w:tcPr>
            <w:tcW w:w="6000" w:type="dxa"/>
            <w:vAlign w:val="bottom"/>
          </w:tcPr>
          <w:p>
            <w:pPr>
              <w:ind w:left="840"/>
              <w:spacing w:after="0"/>
              <w:rPr>
                <w:sz w:val="20"/>
                <w:szCs w:val="20"/>
                <w:color w:val="auto"/>
              </w:rPr>
            </w:pPr>
            <w:r>
              <w:rPr>
                <w:rFonts w:ascii="Courier New" w:cs="Courier New" w:eastAsia="Courier New" w:hAnsi="Courier New"/>
                <w:sz w:val="16"/>
                <w:szCs w:val="16"/>
                <w:color w:val="auto"/>
              </w:rPr>
              <w:t>Deferred compensation</w:t>
            </w:r>
          </w:p>
        </w:tc>
        <w:tc>
          <w:tcPr>
            <w:tcW w:w="24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(2,044,609)</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(2,735,761)</w:t>
            </w:r>
          </w:p>
        </w:tc>
      </w:tr>
      <w:tr>
        <w:trPr>
          <w:trHeight w:val="180"/>
        </w:trPr>
        <w:tc>
          <w:tcPr>
            <w:tcW w:w="6000" w:type="dxa"/>
            <w:vAlign w:val="bottom"/>
          </w:tcPr>
          <w:p>
            <w:pPr>
              <w:spacing w:after="0"/>
              <w:rPr>
                <w:sz w:val="15"/>
                <w:szCs w:val="15"/>
                <w:color w:val="auto"/>
              </w:rPr>
            </w:pPr>
          </w:p>
        </w:tc>
        <w:tc>
          <w:tcPr>
            <w:tcW w:w="24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000" w:type="dxa"/>
            <w:vAlign w:val="bottom"/>
          </w:tcPr>
          <w:p>
            <w:pPr>
              <w:ind w:left="1300"/>
              <w:spacing w:after="0"/>
              <w:rPr>
                <w:sz w:val="20"/>
                <w:szCs w:val="20"/>
                <w:color w:val="auto"/>
              </w:rPr>
            </w:pPr>
            <w:r>
              <w:rPr>
                <w:rFonts w:ascii="Courier New" w:cs="Courier New" w:eastAsia="Courier New" w:hAnsi="Courier New"/>
                <w:sz w:val="16"/>
                <w:szCs w:val="16"/>
                <w:color w:val="auto"/>
              </w:rPr>
              <w:t>Total stockholders' equity</w:t>
            </w:r>
          </w:p>
        </w:tc>
        <w:tc>
          <w:tcPr>
            <w:tcW w:w="24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15,461,703</w:t>
            </w:r>
          </w:p>
        </w:tc>
        <w:tc>
          <w:tcPr>
            <w:tcW w:w="1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22,982,022</w:t>
            </w:r>
          </w:p>
        </w:tc>
      </w:tr>
      <w:tr>
        <w:trPr>
          <w:trHeight w:val="180"/>
        </w:trPr>
        <w:tc>
          <w:tcPr>
            <w:tcW w:w="6000" w:type="dxa"/>
            <w:vAlign w:val="bottom"/>
          </w:tcPr>
          <w:p>
            <w:pPr>
              <w:spacing w:after="0"/>
              <w:rPr>
                <w:sz w:val="15"/>
                <w:szCs w:val="15"/>
                <w:color w:val="auto"/>
              </w:rPr>
            </w:pPr>
          </w:p>
        </w:tc>
        <w:tc>
          <w:tcPr>
            <w:tcW w:w="24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6000" w:type="dxa"/>
            <w:vAlign w:val="bottom"/>
          </w:tcPr>
          <w:p>
            <w:pPr>
              <w:ind w:left="1300"/>
              <w:spacing w:after="0"/>
              <w:rPr>
                <w:sz w:val="20"/>
                <w:szCs w:val="20"/>
                <w:color w:val="auto"/>
              </w:rPr>
            </w:pPr>
            <w:r>
              <w:rPr>
                <w:rFonts w:ascii="Courier New" w:cs="Courier New" w:eastAsia="Courier New" w:hAnsi="Courier New"/>
                <w:sz w:val="16"/>
                <w:szCs w:val="16"/>
                <w:color w:val="auto"/>
              </w:rPr>
              <w:t>Total liabilities and stockholders'</w:t>
            </w:r>
          </w:p>
        </w:tc>
        <w:tc>
          <w:tcPr>
            <w:tcW w:w="244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80"/>
        </w:trPr>
        <w:tc>
          <w:tcPr>
            <w:tcW w:w="6000" w:type="dxa"/>
            <w:vAlign w:val="bottom"/>
          </w:tcPr>
          <w:p>
            <w:pPr>
              <w:ind w:left="1680"/>
              <w:spacing w:after="0"/>
              <w:rPr>
                <w:sz w:val="20"/>
                <w:szCs w:val="20"/>
                <w:color w:val="auto"/>
              </w:rPr>
            </w:pPr>
            <w:r>
              <w:rPr>
                <w:rFonts w:ascii="Courier New" w:cs="Courier New" w:eastAsia="Courier New" w:hAnsi="Courier New"/>
                <w:sz w:val="16"/>
                <w:szCs w:val="16"/>
                <w:color w:val="auto"/>
              </w:rPr>
              <w:t>equity</w:t>
            </w:r>
          </w:p>
        </w:tc>
        <w:tc>
          <w:tcPr>
            <w:tcW w:w="24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$21,506,661</w:t>
            </w:r>
          </w:p>
        </w:tc>
        <w:tc>
          <w:tcPr>
            <w:tcW w:w="1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$29,794,979</w:t>
            </w:r>
          </w:p>
        </w:tc>
      </w:tr>
      <w:tr>
        <w:trPr>
          <w:trHeight w:val="180"/>
        </w:trPr>
        <w:tc>
          <w:tcPr>
            <w:tcW w:w="6000" w:type="dxa"/>
            <w:vAlign w:val="bottom"/>
          </w:tcPr>
          <w:p>
            <w:pPr>
              <w:spacing w:after="0"/>
              <w:rPr>
                <w:sz w:val="15"/>
                <w:szCs w:val="15"/>
                <w:color w:val="auto"/>
              </w:rPr>
            </w:pPr>
          </w:p>
        </w:tc>
        <w:tc>
          <w:tcPr>
            <w:tcW w:w="24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200" w:lineRule="exact"/>
        <w:rPr>
          <w:sz w:val="20"/>
          <w:szCs w:val="20"/>
          <w:color w:val="auto"/>
        </w:rPr>
      </w:pPr>
    </w:p>
    <w:p>
      <w:pPr>
        <w:spacing w:after="0" w:line="34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320"/>
          </w:cols>
          <w:pgMar w:left="240" w:top="654" w:right="1339" w:bottom="1440" w:gutter="0" w:footer="0" w:header="0"/>
        </w:sectPr>
      </w:pPr>
    </w:p>
    <w:bookmarkStart w:id="2" w:name="page3"/>
    <w:bookmarkEnd w:id="2"/>
    <w:p>
      <w:pPr>
        <w:jc w:val="center"/>
        <w:ind w:right="2900"/>
        <w:spacing w:after="0"/>
        <w:rPr>
          <w:sz w:val="20"/>
          <w:szCs w:val="20"/>
          <w:color w:val="auto"/>
        </w:rPr>
      </w:pPr>
      <w:r>
        <w:rPr>
          <w:rFonts w:ascii="Courier New" w:cs="Courier New" w:eastAsia="Courier New" w:hAnsi="Courier New"/>
          <w:sz w:val="16"/>
          <w:szCs w:val="16"/>
          <w:color w:val="auto"/>
        </w:rPr>
        <w:t>STEMCELLS, INC.</w:t>
      </w:r>
    </w:p>
    <w:p>
      <w:pPr>
        <w:jc w:val="center"/>
        <w:ind w:right="2900"/>
        <w:spacing w:after="0"/>
        <w:rPr>
          <w:sz w:val="20"/>
          <w:szCs w:val="20"/>
          <w:color w:val="auto"/>
        </w:rPr>
      </w:pPr>
      <w:r>
        <w:rPr>
          <w:rFonts w:ascii="Courier New" w:cs="Courier New" w:eastAsia="Courier New" w:hAnsi="Courier New"/>
          <w:sz w:val="16"/>
          <w:szCs w:val="16"/>
          <w:color w:val="auto"/>
        </w:rPr>
        <w:t>CONDENSED CONSOLIDATED STATEMENTS OF OPERATIONS</w:t>
      </w:r>
    </w:p>
    <w:p>
      <w:pPr>
        <w:jc w:val="center"/>
        <w:ind w:right="2900"/>
        <w:spacing w:after="0" w:line="237" w:lineRule="auto"/>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spacing w:after="0"/>
              <w:rPr>
                <w:sz w:val="15"/>
                <w:szCs w:val="15"/>
                <w:color w:val="auto"/>
              </w:rPr>
            </w:pPr>
          </w:p>
        </w:tc>
        <w:tc>
          <w:tcPr>
            <w:tcW w:w="4780" w:type="dxa"/>
            <w:vAlign w:val="bottom"/>
            <w:gridSpan w:val="3"/>
          </w:tcPr>
          <w:p>
            <w:pPr>
              <w:jc w:val="right"/>
              <w:ind w:right="762"/>
              <w:spacing w:after="0"/>
              <w:rPr>
                <w:sz w:val="20"/>
                <w:szCs w:val="20"/>
                <w:color w:val="auto"/>
              </w:rPr>
            </w:pPr>
            <w:r>
              <w:rPr>
                <w:rFonts w:ascii="Courier New" w:cs="Courier New" w:eastAsia="Courier New" w:hAnsi="Courier New"/>
                <w:sz w:val="16"/>
                <w:szCs w:val="16"/>
                <w:color w:val="auto"/>
              </w:rPr>
              <w:t>THREE MONTHS ENDED</w:t>
            </w:r>
          </w:p>
        </w:tc>
      </w:tr>
      <w:tr>
        <w:trPr>
          <w:trHeight w:val="180"/>
        </w:trPr>
        <w:tc>
          <w:tcPr>
            <w:tcW w:w="57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MARCH 31,</w:t>
            </w:r>
          </w:p>
        </w:tc>
        <w:tc>
          <w:tcPr>
            <w:tcW w:w="1040" w:type="dxa"/>
            <w:vAlign w:val="bottom"/>
          </w:tcPr>
          <w:p>
            <w:pPr>
              <w:spacing w:after="0"/>
              <w:rPr>
                <w:sz w:val="15"/>
                <w:szCs w:val="15"/>
                <w:color w:val="auto"/>
              </w:rPr>
            </w:pPr>
          </w:p>
        </w:tc>
      </w:tr>
      <w:tr>
        <w:trPr>
          <w:trHeight w:val="180"/>
        </w:trPr>
        <w:tc>
          <w:tcPr>
            <w:tcW w:w="5720" w:type="dxa"/>
            <w:vAlign w:val="bottom"/>
          </w:tcPr>
          <w:p>
            <w:pPr>
              <w:spacing w:after="0"/>
              <w:rPr>
                <w:sz w:val="15"/>
                <w:szCs w:val="15"/>
                <w:color w:val="auto"/>
              </w:rPr>
            </w:pPr>
          </w:p>
        </w:tc>
        <w:tc>
          <w:tcPr>
            <w:tcW w:w="25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2001</w:t>
            </w:r>
          </w:p>
        </w:tc>
        <w:tc>
          <w:tcPr>
            <w:tcW w:w="120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2000</w:t>
            </w:r>
          </w:p>
        </w:tc>
      </w:tr>
      <w:tr>
        <w:trPr>
          <w:trHeight w:val="180"/>
        </w:trPr>
        <w:tc>
          <w:tcPr>
            <w:tcW w:w="5720" w:type="dxa"/>
            <w:vAlign w:val="bottom"/>
          </w:tcPr>
          <w:p>
            <w:pPr>
              <w:spacing w:after="0"/>
              <w:rPr>
                <w:sz w:val="15"/>
                <w:szCs w:val="15"/>
                <w:color w:val="auto"/>
              </w:rPr>
            </w:pPr>
          </w:p>
        </w:tc>
        <w:tc>
          <w:tcPr>
            <w:tcW w:w="25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rPr>
              <w:t>Revenue from grants</w:t>
            </w:r>
          </w:p>
        </w:tc>
        <w:tc>
          <w:tcPr>
            <w:tcW w:w="254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$100,000</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2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Research and development</w:t>
            </w:r>
          </w:p>
        </w:tc>
        <w:tc>
          <w:tcPr>
            <w:tcW w:w="254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1,644,257</w:t>
            </w:r>
          </w:p>
        </w:tc>
        <w:tc>
          <w:tcPr>
            <w:tcW w:w="120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906,632</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General and administrative</w:t>
            </w:r>
          </w:p>
        </w:tc>
        <w:tc>
          <w:tcPr>
            <w:tcW w:w="254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996,862</w:t>
            </w:r>
          </w:p>
        </w:tc>
        <w:tc>
          <w:tcPr>
            <w:tcW w:w="120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657,714</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Wind-down expenses</w:t>
            </w:r>
          </w:p>
        </w:tc>
        <w:tc>
          <w:tcPr>
            <w:tcW w:w="254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234,386</w:t>
            </w:r>
          </w:p>
        </w:tc>
      </w:tr>
      <w:tr>
        <w:trPr>
          <w:trHeight w:val="180"/>
        </w:trPr>
        <w:tc>
          <w:tcPr>
            <w:tcW w:w="5720" w:type="dxa"/>
            <w:vAlign w:val="bottom"/>
          </w:tcPr>
          <w:p>
            <w:pPr>
              <w:spacing w:after="0"/>
              <w:rPr>
                <w:sz w:val="15"/>
                <w:szCs w:val="15"/>
                <w:color w:val="auto"/>
              </w:rPr>
            </w:pPr>
          </w:p>
        </w:tc>
        <w:tc>
          <w:tcPr>
            <w:tcW w:w="254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22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rPr>
              <w:t>Loss from operations</w:t>
            </w:r>
          </w:p>
        </w:tc>
        <w:tc>
          <w:tcPr>
            <w:tcW w:w="25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(2,541,119)</w:t>
            </w:r>
          </w:p>
        </w:tc>
        <w:tc>
          <w:tcPr>
            <w:tcW w:w="1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(1,798,732)</w:t>
            </w: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2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Investment income</w:t>
            </w:r>
          </w:p>
        </w:tc>
        <w:tc>
          <w:tcPr>
            <w:tcW w:w="254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79,041</w:t>
            </w:r>
          </w:p>
        </w:tc>
        <w:tc>
          <w:tcPr>
            <w:tcW w:w="120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73,332</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Interest income</w:t>
            </w:r>
          </w:p>
        </w:tc>
        <w:tc>
          <w:tcPr>
            <w:tcW w:w="254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(68,858)</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Gain on sale of investments</w:t>
            </w:r>
          </w:p>
        </w:tc>
        <w:tc>
          <w:tcPr>
            <w:tcW w:w="254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2,550,230</w:t>
            </w:r>
          </w:p>
        </w:tc>
        <w:tc>
          <w:tcPr>
            <w:tcW w:w="120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Other income</w:t>
            </w:r>
          </w:p>
        </w:tc>
        <w:tc>
          <w:tcPr>
            <w:tcW w:w="254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180,389</w:t>
            </w:r>
          </w:p>
        </w:tc>
        <w:tc>
          <w:tcPr>
            <w:tcW w:w="120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254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22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rPr>
              <w:t>Total other income, net</w:t>
            </w:r>
          </w:p>
        </w:tc>
        <w:tc>
          <w:tcPr>
            <w:tcW w:w="254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2,809,660</w:t>
            </w:r>
          </w:p>
        </w:tc>
        <w:tc>
          <w:tcPr>
            <w:tcW w:w="1200" w:type="dxa"/>
            <w:vAlign w:val="bottom"/>
          </w:tcPr>
          <w:p>
            <w:pPr>
              <w:spacing w:after="0"/>
              <w:rPr>
                <w:sz w:val="24"/>
                <w:szCs w:val="24"/>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4,474</w:t>
            </w:r>
          </w:p>
        </w:tc>
      </w:tr>
      <w:tr>
        <w:trPr>
          <w:trHeight w:val="180"/>
        </w:trPr>
        <w:tc>
          <w:tcPr>
            <w:tcW w:w="5720" w:type="dxa"/>
            <w:vAlign w:val="bottom"/>
          </w:tcPr>
          <w:p>
            <w:pPr>
              <w:spacing w:after="0"/>
              <w:rPr>
                <w:sz w:val="15"/>
                <w:szCs w:val="15"/>
                <w:color w:val="auto"/>
              </w:rPr>
            </w:pPr>
          </w:p>
        </w:tc>
        <w:tc>
          <w:tcPr>
            <w:tcW w:w="254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254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$268,541</w:t>
            </w:r>
          </w:p>
        </w:tc>
        <w:tc>
          <w:tcPr>
            <w:tcW w:w="2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$(1,794,258)</w:t>
            </w:r>
          </w:p>
        </w:tc>
      </w:tr>
      <w:tr>
        <w:trPr>
          <w:trHeight w:val="180"/>
        </w:trPr>
        <w:tc>
          <w:tcPr>
            <w:tcW w:w="5720" w:type="dxa"/>
            <w:vAlign w:val="bottom"/>
          </w:tcPr>
          <w:p>
            <w:pPr>
              <w:spacing w:after="0"/>
              <w:rPr>
                <w:sz w:val="15"/>
                <w:szCs w:val="15"/>
                <w:color w:val="auto"/>
              </w:rPr>
            </w:pPr>
          </w:p>
        </w:tc>
        <w:tc>
          <w:tcPr>
            <w:tcW w:w="254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22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2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Net income (loss) per share</w:t>
            </w:r>
          </w:p>
        </w:tc>
        <w:tc>
          <w:tcPr>
            <w:tcW w:w="254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$0.01</w:t>
            </w:r>
          </w:p>
        </w:tc>
        <w:tc>
          <w:tcPr>
            <w:tcW w:w="1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$(0.09)</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Shares - basic net income (loss) per share</w:t>
            </w:r>
          </w:p>
        </w:tc>
        <w:tc>
          <w:tcPr>
            <w:tcW w:w="254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20,989,127</w:t>
            </w:r>
          </w:p>
        </w:tc>
        <w:tc>
          <w:tcPr>
            <w:tcW w:w="120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19,329,517</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2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Net income (loss) per share</w:t>
            </w:r>
          </w:p>
        </w:tc>
        <w:tc>
          <w:tcPr>
            <w:tcW w:w="254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$0.01</w:t>
            </w:r>
          </w:p>
        </w:tc>
        <w:tc>
          <w:tcPr>
            <w:tcW w:w="1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$(0.09)</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Shares - diluted income per share</w:t>
            </w:r>
          </w:p>
        </w:tc>
        <w:tc>
          <w:tcPr>
            <w:tcW w:w="254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22,405,358</w:t>
            </w:r>
          </w:p>
        </w:tc>
        <w:tc>
          <w:tcPr>
            <w:tcW w:w="120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19,329,517</w:t>
            </w: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200" w:lineRule="exact"/>
        <w:rPr>
          <w:sz w:val="20"/>
          <w:szCs w:val="20"/>
          <w:color w:val="auto"/>
        </w:rPr>
      </w:pPr>
    </w:p>
    <w:p>
      <w:pPr>
        <w:spacing w:after="0" w:line="34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500"/>
          </w:cols>
          <w:pgMar w:left="240" w:top="1195" w:right="1159" w:bottom="1440" w:gutter="0" w:footer="0" w:header="0"/>
        </w:sectPr>
      </w:pPr>
    </w:p>
    <w:bookmarkStart w:id="3" w:name="page4"/>
    <w:bookmarkEnd w:id="3"/>
    <w:p>
      <w:pPr>
        <w:ind w:left="3180"/>
        <w:spacing w:after="0"/>
        <w:rPr>
          <w:sz w:val="20"/>
          <w:szCs w:val="20"/>
          <w:color w:val="auto"/>
        </w:rPr>
      </w:pPr>
      <w:r>
        <w:rPr>
          <w:rFonts w:ascii="Courier New" w:cs="Courier New" w:eastAsia="Courier New" w:hAnsi="Courier New"/>
          <w:sz w:val="16"/>
          <w:szCs w:val="16"/>
          <w:color w:val="auto"/>
        </w:rPr>
        <w:t>STEMCELLS, INC.</w:t>
      </w:r>
    </w:p>
    <w:p>
      <w:pPr>
        <w:ind w:left="2160"/>
        <w:spacing w:after="0"/>
        <w:rPr>
          <w:sz w:val="20"/>
          <w:szCs w:val="20"/>
          <w:color w:val="auto"/>
        </w:rPr>
      </w:pPr>
      <w:r>
        <w:rPr>
          <w:rFonts w:ascii="Courier New" w:cs="Courier New" w:eastAsia="Courier New" w:hAnsi="Courier New"/>
          <w:sz w:val="16"/>
          <w:szCs w:val="16"/>
          <w:color w:val="auto"/>
        </w:rPr>
        <w:t>CONDENSED STATEMENTS OF CASH FLOWS</w:t>
      </w:r>
    </w:p>
    <w:tbl>
      <w:tblPr>
        <w:tblLayout w:type="fixed"/>
        <w:tblInd w:w="0" w:type="dxa"/>
        <w:tblCellMar>
          <w:top w:w="0" w:type="dxa"/>
          <w:left w:w="0" w:type="dxa"/>
          <w:bottom w:w="0" w:type="dxa"/>
          <w:right w:w="0" w:type="dxa"/>
        </w:tblCellMar>
      </w:tblPr>
      <w:tr>
        <w:trPr>
          <w:trHeight w:val="179"/>
        </w:trPr>
        <w:tc>
          <w:tcPr>
            <w:tcW w:w="6140" w:type="dxa"/>
            <w:vAlign w:val="bottom"/>
          </w:tcPr>
          <w:p>
            <w:pPr>
              <w:ind w:left="3280"/>
              <w:spacing w:after="0" w:line="179" w:lineRule="exact"/>
              <w:rPr>
                <w:sz w:val="20"/>
                <w:szCs w:val="20"/>
                <w:color w:val="auto"/>
              </w:rPr>
            </w:pPr>
            <w:r>
              <w:rPr>
                <w:rFonts w:ascii="Courier New" w:cs="Courier New" w:eastAsia="Courier New" w:hAnsi="Courier New"/>
                <w:sz w:val="16"/>
                <w:szCs w:val="16"/>
                <w:color w:val="auto"/>
              </w:rPr>
              <w:t>(unaudited)</w:t>
            </w:r>
          </w:p>
        </w:tc>
        <w:tc>
          <w:tcPr>
            <w:tcW w:w="21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721"/>
        </w:trPr>
        <w:tc>
          <w:tcPr>
            <w:tcW w:w="6140" w:type="dxa"/>
            <w:vAlign w:val="bottom"/>
          </w:tcPr>
          <w:p>
            <w:pPr>
              <w:spacing w:after="0"/>
              <w:rPr>
                <w:sz w:val="24"/>
                <w:szCs w:val="24"/>
                <w:color w:val="auto"/>
              </w:rPr>
            </w:pPr>
          </w:p>
        </w:tc>
        <w:tc>
          <w:tcPr>
            <w:tcW w:w="4360" w:type="dxa"/>
            <w:vAlign w:val="bottom"/>
            <w:gridSpan w:val="2"/>
          </w:tcPr>
          <w:p>
            <w:pPr>
              <w:jc w:val="right"/>
              <w:ind w:right="762"/>
              <w:spacing w:after="0"/>
              <w:rPr>
                <w:sz w:val="20"/>
                <w:szCs w:val="20"/>
                <w:color w:val="auto"/>
              </w:rPr>
            </w:pPr>
            <w:r>
              <w:rPr>
                <w:rFonts w:ascii="Courier New" w:cs="Courier New" w:eastAsia="Courier New" w:hAnsi="Courier New"/>
                <w:sz w:val="16"/>
                <w:szCs w:val="16"/>
                <w:color w:val="auto"/>
              </w:rPr>
              <w:t>THREE MONTHS ENDED</w:t>
            </w:r>
          </w:p>
        </w:tc>
      </w:tr>
      <w:tr>
        <w:trPr>
          <w:trHeight w:val="180"/>
        </w:trPr>
        <w:tc>
          <w:tcPr>
            <w:tcW w:w="61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24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MARCH 31,</w:t>
            </w:r>
          </w:p>
        </w:tc>
      </w:tr>
      <w:tr>
        <w:trPr>
          <w:trHeight w:val="180"/>
        </w:trPr>
        <w:tc>
          <w:tcPr>
            <w:tcW w:w="6140" w:type="dxa"/>
            <w:vAlign w:val="bottom"/>
          </w:tcPr>
          <w:p>
            <w:pPr>
              <w:spacing w:after="0"/>
              <w:rPr>
                <w:sz w:val="15"/>
                <w:szCs w:val="15"/>
                <w:color w:val="auto"/>
              </w:rPr>
            </w:pPr>
          </w:p>
        </w:tc>
        <w:tc>
          <w:tcPr>
            <w:tcW w:w="21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2001</w:t>
            </w:r>
          </w:p>
        </w:tc>
        <w:tc>
          <w:tcPr>
            <w:tcW w:w="22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2000</w:t>
            </w:r>
          </w:p>
        </w:tc>
      </w:tr>
      <w:tr>
        <w:trPr>
          <w:trHeight w:val="180"/>
        </w:trPr>
        <w:tc>
          <w:tcPr>
            <w:tcW w:w="6140" w:type="dxa"/>
            <w:vAlign w:val="bottom"/>
          </w:tcPr>
          <w:p>
            <w:pPr>
              <w:spacing w:after="0"/>
              <w:rPr>
                <w:sz w:val="15"/>
                <w:szCs w:val="15"/>
                <w:color w:val="auto"/>
              </w:rPr>
            </w:pPr>
          </w:p>
        </w:tc>
        <w:tc>
          <w:tcPr>
            <w:tcW w:w="21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22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361"/>
        </w:trPr>
        <w:tc>
          <w:tcPr>
            <w:tcW w:w="614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21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80"/>
        </w:trPr>
        <w:tc>
          <w:tcPr>
            <w:tcW w:w="6140" w:type="dxa"/>
            <w:vAlign w:val="bottom"/>
          </w:tcPr>
          <w:p>
            <w:pPr>
              <w:ind w:left="460"/>
              <w:spacing w:after="0"/>
              <w:rPr>
                <w:sz w:val="20"/>
                <w:szCs w:val="20"/>
                <w:color w:val="auto"/>
              </w:rPr>
            </w:pPr>
            <w:r>
              <w:rPr>
                <w:rFonts w:ascii="Courier New" w:cs="Courier New" w:eastAsia="Courier New" w:hAnsi="Courier New"/>
                <w:sz w:val="16"/>
                <w:szCs w:val="16"/>
                <w:color w:val="auto"/>
              </w:rPr>
              <w:t>Net income (loss</w:t>
            </w:r>
          </w:p>
        </w:tc>
        <w:tc>
          <w:tcPr>
            <w:tcW w:w="212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$268,541</w:t>
            </w:r>
          </w:p>
        </w:tc>
        <w:tc>
          <w:tcPr>
            <w:tcW w:w="2240" w:type="dxa"/>
            <w:vAlign w:val="bottom"/>
          </w:tcPr>
          <w:p>
            <w:pPr>
              <w:jc w:val="right"/>
              <w:spacing w:after="0"/>
              <w:rPr>
                <w:sz w:val="20"/>
                <w:szCs w:val="20"/>
                <w:color w:val="auto"/>
              </w:rPr>
            </w:pPr>
            <w:r>
              <w:rPr>
                <w:rFonts w:ascii="Courier New" w:cs="Courier New" w:eastAsia="Courier New" w:hAnsi="Courier New"/>
                <w:sz w:val="16"/>
                <w:szCs w:val="16"/>
                <w:color w:val="auto"/>
              </w:rPr>
              <w:t>$(1,794,258)</w:t>
            </w:r>
          </w:p>
        </w:tc>
      </w:tr>
      <w:tr>
        <w:trPr>
          <w:trHeight w:val="180"/>
        </w:trPr>
        <w:tc>
          <w:tcPr>
            <w:tcW w:w="6140" w:type="dxa"/>
            <w:vAlign w:val="bottom"/>
          </w:tcPr>
          <w:p>
            <w:pPr>
              <w:ind w:left="460"/>
              <w:spacing w:after="0"/>
              <w:rPr>
                <w:sz w:val="20"/>
                <w:szCs w:val="20"/>
                <w:color w:val="auto"/>
              </w:rPr>
            </w:pPr>
            <w:r>
              <w:rPr>
                <w:rFonts w:ascii="Courier New" w:cs="Courier New" w:eastAsia="Courier New" w:hAnsi="Courier New"/>
                <w:sz w:val="16"/>
                <w:szCs w:val="16"/>
                <w:color w:val="auto"/>
              </w:rPr>
              <w:t>Adjustments to reconcile net income (loss) to net</w:t>
            </w:r>
          </w:p>
        </w:tc>
        <w:tc>
          <w:tcPr>
            <w:tcW w:w="21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80"/>
        </w:trPr>
        <w:tc>
          <w:tcPr>
            <w:tcW w:w="6140" w:type="dxa"/>
            <w:vAlign w:val="bottom"/>
          </w:tcPr>
          <w:p>
            <w:pPr>
              <w:ind w:left="840"/>
              <w:spacing w:after="0"/>
              <w:rPr>
                <w:sz w:val="20"/>
                <w:szCs w:val="20"/>
                <w:color w:val="auto"/>
              </w:rPr>
            </w:pPr>
            <w:r>
              <w:rPr>
                <w:rFonts w:ascii="Courier New" w:cs="Courier New" w:eastAsia="Courier New" w:hAnsi="Courier New"/>
                <w:sz w:val="16"/>
                <w:szCs w:val="16"/>
                <w:color w:val="auto"/>
              </w:rPr>
              <w:t>cash used for operating activities:</w:t>
            </w:r>
          </w:p>
        </w:tc>
        <w:tc>
          <w:tcPr>
            <w:tcW w:w="21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80"/>
        </w:trPr>
        <w:tc>
          <w:tcPr>
            <w:tcW w:w="6140" w:type="dxa"/>
            <w:vAlign w:val="bottom"/>
          </w:tcPr>
          <w:p>
            <w:pPr>
              <w:ind w:left="840"/>
              <w:spacing w:after="0"/>
              <w:rPr>
                <w:sz w:val="20"/>
                <w:szCs w:val="20"/>
                <w:color w:val="auto"/>
              </w:rPr>
            </w:pPr>
            <w:r>
              <w:rPr>
                <w:rFonts w:ascii="Courier New" w:cs="Courier New" w:eastAsia="Courier New" w:hAnsi="Courier New"/>
                <w:sz w:val="16"/>
                <w:szCs w:val="16"/>
                <w:color w:val="auto"/>
              </w:rPr>
              <w:t>Depreciation and amortization</w:t>
            </w:r>
          </w:p>
        </w:tc>
        <w:tc>
          <w:tcPr>
            <w:tcW w:w="212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142,554</w:t>
            </w:r>
          </w:p>
        </w:tc>
        <w:tc>
          <w:tcPr>
            <w:tcW w:w="22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204,449</w:t>
            </w:r>
          </w:p>
        </w:tc>
      </w:tr>
      <w:tr>
        <w:trPr>
          <w:trHeight w:val="180"/>
        </w:trPr>
        <w:tc>
          <w:tcPr>
            <w:tcW w:w="6140" w:type="dxa"/>
            <w:vAlign w:val="bottom"/>
          </w:tcPr>
          <w:p>
            <w:pPr>
              <w:ind w:left="840"/>
              <w:spacing w:after="0"/>
              <w:rPr>
                <w:sz w:val="20"/>
                <w:szCs w:val="20"/>
                <w:color w:val="auto"/>
              </w:rPr>
            </w:pPr>
            <w:r>
              <w:rPr>
                <w:rFonts w:ascii="Courier New" w:cs="Courier New" w:eastAsia="Courier New" w:hAnsi="Courier New"/>
                <w:sz w:val="16"/>
                <w:szCs w:val="16"/>
                <w:color w:val="auto"/>
              </w:rPr>
              <w:t>Gain on sale of investments</w:t>
            </w:r>
          </w:p>
        </w:tc>
        <w:tc>
          <w:tcPr>
            <w:tcW w:w="2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(2,550,230)</w:t>
            </w:r>
          </w:p>
        </w:tc>
        <w:tc>
          <w:tcPr>
            <w:tcW w:w="22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140" w:type="dxa"/>
            <w:vAlign w:val="bottom"/>
          </w:tcPr>
          <w:p>
            <w:pPr>
              <w:ind w:left="840"/>
              <w:spacing w:after="0"/>
              <w:rPr>
                <w:sz w:val="20"/>
                <w:szCs w:val="20"/>
                <w:color w:val="auto"/>
              </w:rPr>
            </w:pPr>
            <w:r>
              <w:rPr>
                <w:rFonts w:ascii="Courier New" w:cs="Courier New" w:eastAsia="Courier New" w:hAnsi="Courier New"/>
                <w:sz w:val="16"/>
                <w:szCs w:val="16"/>
                <w:color w:val="auto"/>
              </w:rPr>
              <w:t>Compensation expense relating to the grant</w:t>
            </w:r>
          </w:p>
        </w:tc>
        <w:tc>
          <w:tcPr>
            <w:tcW w:w="21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80"/>
        </w:trPr>
        <w:tc>
          <w:tcPr>
            <w:tcW w:w="6140" w:type="dxa"/>
            <w:vAlign w:val="bottom"/>
          </w:tcPr>
          <w:p>
            <w:pPr>
              <w:ind w:left="1300"/>
              <w:spacing w:after="0"/>
              <w:rPr>
                <w:sz w:val="20"/>
                <w:szCs w:val="20"/>
                <w:color w:val="auto"/>
              </w:rPr>
            </w:pPr>
            <w:r>
              <w:rPr>
                <w:rFonts w:ascii="Courier New" w:cs="Courier New" w:eastAsia="Courier New" w:hAnsi="Courier New"/>
                <w:sz w:val="16"/>
                <w:szCs w:val="16"/>
                <w:color w:val="auto"/>
              </w:rPr>
              <w:t>of stock options</w:t>
            </w:r>
          </w:p>
        </w:tc>
        <w:tc>
          <w:tcPr>
            <w:tcW w:w="212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128,220</w:t>
            </w:r>
          </w:p>
        </w:tc>
        <w:tc>
          <w:tcPr>
            <w:tcW w:w="22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43,750</w:t>
            </w:r>
          </w:p>
        </w:tc>
      </w:tr>
      <w:tr>
        <w:trPr>
          <w:trHeight w:val="180"/>
        </w:trPr>
        <w:tc>
          <w:tcPr>
            <w:tcW w:w="6140" w:type="dxa"/>
            <w:vAlign w:val="bottom"/>
          </w:tcPr>
          <w:p>
            <w:pPr>
              <w:ind w:left="840"/>
              <w:spacing w:after="0"/>
              <w:rPr>
                <w:sz w:val="20"/>
                <w:szCs w:val="20"/>
                <w:color w:val="auto"/>
              </w:rPr>
            </w:pPr>
            <w:r>
              <w:rPr>
                <w:rFonts w:ascii="Courier New" w:cs="Courier New" w:eastAsia="Courier New" w:hAnsi="Courier New"/>
                <w:sz w:val="16"/>
                <w:szCs w:val="16"/>
                <w:color w:val="auto"/>
              </w:rPr>
              <w:t>Net changes in operating assets and liabilities</w:t>
            </w:r>
          </w:p>
        </w:tc>
        <w:tc>
          <w:tcPr>
            <w:tcW w:w="2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(1,812,084)</w:t>
            </w:r>
          </w:p>
        </w:tc>
        <w:tc>
          <w:tcPr>
            <w:tcW w:w="2240" w:type="dxa"/>
            <w:vAlign w:val="bottom"/>
          </w:tcPr>
          <w:p>
            <w:pPr>
              <w:jc w:val="right"/>
              <w:spacing w:after="0"/>
              <w:rPr>
                <w:sz w:val="20"/>
                <w:szCs w:val="20"/>
                <w:color w:val="auto"/>
              </w:rPr>
            </w:pPr>
            <w:r>
              <w:rPr>
                <w:rFonts w:ascii="Courier New" w:cs="Courier New" w:eastAsia="Courier New" w:hAnsi="Courier New"/>
                <w:sz w:val="16"/>
                <w:szCs w:val="16"/>
                <w:color w:val="auto"/>
              </w:rPr>
              <w:t>(1,776,812)</w:t>
            </w:r>
          </w:p>
        </w:tc>
      </w:tr>
      <w:tr>
        <w:trPr>
          <w:trHeight w:val="180"/>
        </w:trPr>
        <w:tc>
          <w:tcPr>
            <w:tcW w:w="6140" w:type="dxa"/>
            <w:vAlign w:val="bottom"/>
          </w:tcPr>
          <w:p>
            <w:pPr>
              <w:spacing w:after="0"/>
              <w:rPr>
                <w:sz w:val="15"/>
                <w:szCs w:val="15"/>
                <w:color w:val="auto"/>
              </w:rPr>
            </w:pPr>
          </w:p>
        </w:tc>
        <w:tc>
          <w:tcPr>
            <w:tcW w:w="2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2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140" w:type="dxa"/>
            <w:vAlign w:val="bottom"/>
          </w:tcPr>
          <w:p>
            <w:pPr>
              <w:ind w:left="460"/>
              <w:spacing w:after="0"/>
              <w:rPr>
                <w:sz w:val="20"/>
                <w:szCs w:val="20"/>
                <w:color w:val="auto"/>
              </w:rPr>
            </w:pPr>
            <w:r>
              <w:rPr>
                <w:rFonts w:ascii="Courier New" w:cs="Courier New" w:eastAsia="Courier New" w:hAnsi="Courier New"/>
                <w:sz w:val="16"/>
                <w:szCs w:val="16"/>
                <w:color w:val="auto"/>
              </w:rPr>
              <w:t>Net cash used in operating activities</w:t>
            </w:r>
          </w:p>
        </w:tc>
        <w:tc>
          <w:tcPr>
            <w:tcW w:w="2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(3,822,999)</w:t>
            </w:r>
          </w:p>
        </w:tc>
        <w:tc>
          <w:tcPr>
            <w:tcW w:w="2240" w:type="dxa"/>
            <w:vAlign w:val="bottom"/>
          </w:tcPr>
          <w:p>
            <w:pPr>
              <w:jc w:val="right"/>
              <w:spacing w:after="0"/>
              <w:rPr>
                <w:sz w:val="20"/>
                <w:szCs w:val="20"/>
                <w:color w:val="auto"/>
              </w:rPr>
            </w:pPr>
            <w:r>
              <w:rPr>
                <w:rFonts w:ascii="Courier New" w:cs="Courier New" w:eastAsia="Courier New" w:hAnsi="Courier New"/>
                <w:sz w:val="16"/>
                <w:szCs w:val="16"/>
                <w:color w:val="auto"/>
              </w:rPr>
              <w:t>(3,322,870)</w:t>
            </w:r>
          </w:p>
        </w:tc>
      </w:tr>
      <w:tr>
        <w:trPr>
          <w:trHeight w:val="180"/>
        </w:trPr>
        <w:tc>
          <w:tcPr>
            <w:tcW w:w="6140" w:type="dxa"/>
            <w:vAlign w:val="bottom"/>
          </w:tcPr>
          <w:p>
            <w:pPr>
              <w:spacing w:after="0"/>
              <w:rPr>
                <w:sz w:val="15"/>
                <w:szCs w:val="15"/>
                <w:color w:val="auto"/>
              </w:rPr>
            </w:pPr>
          </w:p>
        </w:tc>
        <w:tc>
          <w:tcPr>
            <w:tcW w:w="2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2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14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21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80"/>
        </w:trPr>
        <w:tc>
          <w:tcPr>
            <w:tcW w:w="6140" w:type="dxa"/>
            <w:vAlign w:val="bottom"/>
          </w:tcPr>
          <w:p>
            <w:pPr>
              <w:ind w:left="460"/>
              <w:spacing w:after="0"/>
              <w:rPr>
                <w:sz w:val="20"/>
                <w:szCs w:val="20"/>
                <w:color w:val="auto"/>
              </w:rPr>
            </w:pPr>
            <w:r>
              <w:rPr>
                <w:rFonts w:ascii="Courier New" w:cs="Courier New" w:eastAsia="Courier New" w:hAnsi="Courier New"/>
                <w:sz w:val="16"/>
                <w:szCs w:val="16"/>
                <w:color w:val="auto"/>
              </w:rPr>
              <w:t>Proceeds from sale of investments</w:t>
            </w:r>
          </w:p>
        </w:tc>
        <w:tc>
          <w:tcPr>
            <w:tcW w:w="212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2,550,230</w:t>
            </w:r>
          </w:p>
        </w:tc>
        <w:tc>
          <w:tcPr>
            <w:tcW w:w="22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140" w:type="dxa"/>
            <w:vAlign w:val="bottom"/>
          </w:tcPr>
          <w:p>
            <w:pPr>
              <w:ind w:left="460"/>
              <w:spacing w:after="0"/>
              <w:rPr>
                <w:sz w:val="20"/>
                <w:szCs w:val="20"/>
                <w:color w:val="auto"/>
              </w:rPr>
            </w:pPr>
            <w:r>
              <w:rPr>
                <w:rFonts w:ascii="Courier New" w:cs="Courier New" w:eastAsia="Courier New" w:hAnsi="Courier New"/>
                <w:sz w:val="16"/>
                <w:szCs w:val="16"/>
                <w:color w:val="auto"/>
              </w:rPr>
              <w:t>Purchase of property, plant and equipment</w:t>
            </w:r>
          </w:p>
        </w:tc>
        <w:tc>
          <w:tcPr>
            <w:tcW w:w="2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(114,734)</w:t>
            </w:r>
          </w:p>
        </w:tc>
        <w:tc>
          <w:tcPr>
            <w:tcW w:w="2240" w:type="dxa"/>
            <w:vAlign w:val="bottom"/>
          </w:tcPr>
          <w:p>
            <w:pPr>
              <w:jc w:val="right"/>
              <w:spacing w:after="0"/>
              <w:rPr>
                <w:sz w:val="20"/>
                <w:szCs w:val="20"/>
                <w:color w:val="auto"/>
              </w:rPr>
            </w:pPr>
            <w:r>
              <w:rPr>
                <w:rFonts w:ascii="Courier New" w:cs="Courier New" w:eastAsia="Courier New" w:hAnsi="Courier New"/>
                <w:sz w:val="16"/>
                <w:szCs w:val="16"/>
                <w:color w:val="auto"/>
              </w:rPr>
              <w:t>(7,542)</w:t>
            </w:r>
          </w:p>
        </w:tc>
      </w:tr>
      <w:tr>
        <w:trPr>
          <w:trHeight w:val="180"/>
        </w:trPr>
        <w:tc>
          <w:tcPr>
            <w:tcW w:w="6140" w:type="dxa"/>
            <w:vAlign w:val="bottom"/>
          </w:tcPr>
          <w:p>
            <w:pPr>
              <w:ind w:left="460"/>
              <w:spacing w:after="0"/>
              <w:rPr>
                <w:sz w:val="20"/>
                <w:szCs w:val="20"/>
                <w:color w:val="auto"/>
              </w:rPr>
            </w:pPr>
            <w:r>
              <w:rPr>
                <w:rFonts w:ascii="Courier New" w:cs="Courier New" w:eastAsia="Courier New" w:hAnsi="Courier New"/>
                <w:sz w:val="16"/>
                <w:szCs w:val="16"/>
                <w:color w:val="auto"/>
              </w:rPr>
              <w:t>Acquisition of other assets</w:t>
            </w:r>
          </w:p>
        </w:tc>
        <w:tc>
          <w:tcPr>
            <w:tcW w:w="2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(126,391)</w:t>
            </w:r>
          </w:p>
        </w:tc>
        <w:tc>
          <w:tcPr>
            <w:tcW w:w="22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140" w:type="dxa"/>
            <w:vAlign w:val="bottom"/>
          </w:tcPr>
          <w:p>
            <w:pPr>
              <w:ind w:left="460"/>
              <w:spacing w:after="0"/>
              <w:rPr>
                <w:sz w:val="20"/>
                <w:szCs w:val="20"/>
                <w:color w:val="auto"/>
              </w:rPr>
            </w:pPr>
            <w:r>
              <w:rPr>
                <w:rFonts w:ascii="Courier New" w:cs="Courier New" w:eastAsia="Courier New" w:hAnsi="Courier New"/>
                <w:sz w:val="16"/>
                <w:szCs w:val="16"/>
                <w:color w:val="auto"/>
              </w:rPr>
              <w:t>Proceeds from sales of technology</w:t>
            </w:r>
          </w:p>
        </w:tc>
        <w:tc>
          <w:tcPr>
            <w:tcW w:w="212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22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2,800,000</w:t>
            </w:r>
          </w:p>
        </w:tc>
      </w:tr>
      <w:tr>
        <w:trPr>
          <w:trHeight w:val="180"/>
        </w:trPr>
        <w:tc>
          <w:tcPr>
            <w:tcW w:w="6140" w:type="dxa"/>
            <w:vAlign w:val="bottom"/>
          </w:tcPr>
          <w:p>
            <w:pPr>
              <w:spacing w:after="0"/>
              <w:rPr>
                <w:sz w:val="15"/>
                <w:szCs w:val="15"/>
                <w:color w:val="auto"/>
              </w:rPr>
            </w:pPr>
          </w:p>
        </w:tc>
        <w:tc>
          <w:tcPr>
            <w:tcW w:w="212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22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6140" w:type="dxa"/>
            <w:vAlign w:val="bottom"/>
          </w:tcPr>
          <w:p>
            <w:pPr>
              <w:ind w:left="460"/>
              <w:spacing w:after="0"/>
              <w:rPr>
                <w:sz w:val="20"/>
                <w:szCs w:val="20"/>
                <w:color w:val="auto"/>
              </w:rPr>
            </w:pPr>
            <w:r>
              <w:rPr>
                <w:rFonts w:ascii="Courier New" w:cs="Courier New" w:eastAsia="Courier New" w:hAnsi="Courier New"/>
                <w:sz w:val="16"/>
                <w:szCs w:val="16"/>
                <w:color w:val="auto"/>
              </w:rPr>
              <w:t>Net cash provided by investing activities</w:t>
            </w:r>
          </w:p>
        </w:tc>
        <w:tc>
          <w:tcPr>
            <w:tcW w:w="212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2,309,105</w:t>
            </w:r>
          </w:p>
        </w:tc>
        <w:tc>
          <w:tcPr>
            <w:tcW w:w="22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2,792,458</w:t>
            </w:r>
          </w:p>
        </w:tc>
      </w:tr>
      <w:tr>
        <w:trPr>
          <w:trHeight w:val="180"/>
        </w:trPr>
        <w:tc>
          <w:tcPr>
            <w:tcW w:w="6140" w:type="dxa"/>
            <w:vAlign w:val="bottom"/>
          </w:tcPr>
          <w:p>
            <w:pPr>
              <w:spacing w:after="0"/>
              <w:rPr>
                <w:sz w:val="15"/>
                <w:szCs w:val="15"/>
                <w:color w:val="auto"/>
              </w:rPr>
            </w:pPr>
          </w:p>
        </w:tc>
        <w:tc>
          <w:tcPr>
            <w:tcW w:w="212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22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614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21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80"/>
        </w:trPr>
        <w:tc>
          <w:tcPr>
            <w:tcW w:w="6140" w:type="dxa"/>
            <w:vAlign w:val="bottom"/>
          </w:tcPr>
          <w:p>
            <w:pPr>
              <w:ind w:left="460"/>
              <w:spacing w:after="0"/>
              <w:rPr>
                <w:sz w:val="20"/>
                <w:szCs w:val="20"/>
                <w:color w:val="auto"/>
              </w:rPr>
            </w:pPr>
            <w:r>
              <w:rPr>
                <w:rFonts w:ascii="Courier New" w:cs="Courier New" w:eastAsia="Courier New" w:hAnsi="Courier New"/>
                <w:sz w:val="16"/>
                <w:szCs w:val="16"/>
                <w:color w:val="auto"/>
              </w:rPr>
              <w:t>Proceeds from the exercise of stock options</w:t>
            </w:r>
          </w:p>
        </w:tc>
        <w:tc>
          <w:tcPr>
            <w:tcW w:w="21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80"/>
        </w:trPr>
        <w:tc>
          <w:tcPr>
            <w:tcW w:w="6140" w:type="dxa"/>
            <w:vAlign w:val="bottom"/>
          </w:tcPr>
          <w:p>
            <w:pPr>
              <w:ind w:left="840"/>
              <w:spacing w:after="0"/>
              <w:rPr>
                <w:sz w:val="20"/>
                <w:szCs w:val="20"/>
                <w:color w:val="auto"/>
              </w:rPr>
            </w:pPr>
            <w:r>
              <w:rPr>
                <w:rFonts w:ascii="Courier New" w:cs="Courier New" w:eastAsia="Courier New" w:hAnsi="Courier New"/>
                <w:sz w:val="16"/>
                <w:szCs w:val="16"/>
                <w:color w:val="auto"/>
              </w:rPr>
              <w:t>and warrants</w:t>
            </w:r>
          </w:p>
        </w:tc>
        <w:tc>
          <w:tcPr>
            <w:tcW w:w="212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26,605</w:t>
            </w:r>
          </w:p>
        </w:tc>
        <w:tc>
          <w:tcPr>
            <w:tcW w:w="22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352,557</w:t>
            </w:r>
          </w:p>
        </w:tc>
      </w:tr>
      <w:tr>
        <w:trPr>
          <w:trHeight w:val="180"/>
        </w:trPr>
        <w:tc>
          <w:tcPr>
            <w:tcW w:w="6140" w:type="dxa"/>
            <w:vAlign w:val="bottom"/>
          </w:tcPr>
          <w:p>
            <w:pPr>
              <w:ind w:left="460"/>
              <w:spacing w:after="0"/>
              <w:rPr>
                <w:sz w:val="20"/>
                <w:szCs w:val="20"/>
                <w:color w:val="auto"/>
              </w:rPr>
            </w:pPr>
            <w:r>
              <w:rPr>
                <w:rFonts w:ascii="Courier New" w:cs="Courier New" w:eastAsia="Courier New" w:hAnsi="Courier New"/>
                <w:sz w:val="16"/>
                <w:szCs w:val="16"/>
                <w:color w:val="auto"/>
              </w:rPr>
              <w:t>Principal payments under capitalized lease</w:t>
            </w:r>
          </w:p>
        </w:tc>
        <w:tc>
          <w:tcPr>
            <w:tcW w:w="21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80"/>
        </w:trPr>
        <w:tc>
          <w:tcPr>
            <w:tcW w:w="6140" w:type="dxa"/>
            <w:vAlign w:val="bottom"/>
          </w:tcPr>
          <w:p>
            <w:pPr>
              <w:ind w:left="840"/>
              <w:spacing w:after="0"/>
              <w:rPr>
                <w:sz w:val="20"/>
                <w:szCs w:val="20"/>
                <w:color w:val="auto"/>
              </w:rPr>
            </w:pPr>
            <w:r>
              <w:rPr>
                <w:rFonts w:ascii="Courier New" w:cs="Courier New" w:eastAsia="Courier New" w:hAnsi="Courier New"/>
                <w:sz w:val="16"/>
                <w:szCs w:val="16"/>
                <w:color w:val="auto"/>
              </w:rPr>
              <w:t>obligations</w:t>
            </w:r>
          </w:p>
        </w:tc>
        <w:tc>
          <w:tcPr>
            <w:tcW w:w="2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(82,500)</w:t>
            </w:r>
          </w:p>
        </w:tc>
        <w:tc>
          <w:tcPr>
            <w:tcW w:w="2240" w:type="dxa"/>
            <w:vAlign w:val="bottom"/>
          </w:tcPr>
          <w:p>
            <w:pPr>
              <w:jc w:val="right"/>
              <w:spacing w:after="0"/>
              <w:rPr>
                <w:sz w:val="20"/>
                <w:szCs w:val="20"/>
                <w:color w:val="auto"/>
              </w:rPr>
            </w:pPr>
            <w:r>
              <w:rPr>
                <w:rFonts w:ascii="Courier New" w:cs="Courier New" w:eastAsia="Courier New" w:hAnsi="Courier New"/>
                <w:sz w:val="16"/>
                <w:szCs w:val="16"/>
                <w:color w:val="auto"/>
              </w:rPr>
              <w:t>(80,000)</w:t>
            </w:r>
          </w:p>
        </w:tc>
      </w:tr>
      <w:tr>
        <w:trPr>
          <w:trHeight w:val="180"/>
        </w:trPr>
        <w:tc>
          <w:tcPr>
            <w:tcW w:w="6140" w:type="dxa"/>
            <w:vAlign w:val="bottom"/>
          </w:tcPr>
          <w:p>
            <w:pPr>
              <w:spacing w:after="0"/>
              <w:rPr>
                <w:sz w:val="15"/>
                <w:szCs w:val="15"/>
                <w:color w:val="auto"/>
              </w:rPr>
            </w:pPr>
          </w:p>
        </w:tc>
        <w:tc>
          <w:tcPr>
            <w:tcW w:w="2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2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6140" w:type="dxa"/>
            <w:vAlign w:val="bottom"/>
          </w:tcPr>
          <w:p>
            <w:pPr>
              <w:ind w:left="460"/>
              <w:spacing w:after="0"/>
              <w:rPr>
                <w:sz w:val="20"/>
                <w:szCs w:val="20"/>
                <w:color w:val="auto"/>
              </w:rPr>
            </w:pPr>
            <w:r>
              <w:rPr>
                <w:rFonts w:ascii="Courier New" w:cs="Courier New" w:eastAsia="Courier New" w:hAnsi="Courier New"/>
                <w:sz w:val="16"/>
                <w:szCs w:val="16"/>
                <w:color w:val="auto"/>
              </w:rPr>
              <w:t>Net cash provided by (used by) financing</w:t>
            </w:r>
          </w:p>
        </w:tc>
        <w:tc>
          <w:tcPr>
            <w:tcW w:w="21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80"/>
        </w:trPr>
        <w:tc>
          <w:tcPr>
            <w:tcW w:w="6140" w:type="dxa"/>
            <w:vAlign w:val="bottom"/>
          </w:tcPr>
          <w:p>
            <w:pPr>
              <w:ind w:left="840"/>
              <w:spacing w:after="0"/>
              <w:rPr>
                <w:sz w:val="20"/>
                <w:szCs w:val="20"/>
                <w:color w:val="auto"/>
              </w:rPr>
            </w:pPr>
            <w:r>
              <w:rPr>
                <w:rFonts w:ascii="Courier New" w:cs="Courier New" w:eastAsia="Courier New" w:hAnsi="Courier New"/>
                <w:sz w:val="16"/>
                <w:szCs w:val="16"/>
                <w:color w:val="auto"/>
              </w:rPr>
              <w:t>activities</w:t>
            </w:r>
          </w:p>
        </w:tc>
        <w:tc>
          <w:tcPr>
            <w:tcW w:w="2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(55,895)</w:t>
            </w:r>
          </w:p>
        </w:tc>
        <w:tc>
          <w:tcPr>
            <w:tcW w:w="22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272,557</w:t>
            </w:r>
          </w:p>
        </w:tc>
      </w:tr>
      <w:tr>
        <w:trPr>
          <w:trHeight w:val="180"/>
        </w:trPr>
        <w:tc>
          <w:tcPr>
            <w:tcW w:w="6140" w:type="dxa"/>
            <w:vAlign w:val="bottom"/>
          </w:tcPr>
          <w:p>
            <w:pPr>
              <w:spacing w:after="0"/>
              <w:rPr>
                <w:sz w:val="15"/>
                <w:szCs w:val="15"/>
                <w:color w:val="auto"/>
              </w:rPr>
            </w:pPr>
          </w:p>
        </w:tc>
        <w:tc>
          <w:tcPr>
            <w:tcW w:w="2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22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140" w:type="dxa"/>
            <w:vAlign w:val="bottom"/>
          </w:tcPr>
          <w:p>
            <w:pPr>
              <w:spacing w:after="0"/>
              <w:rPr>
                <w:sz w:val="20"/>
                <w:szCs w:val="20"/>
                <w:color w:val="auto"/>
              </w:rPr>
            </w:pPr>
            <w:r>
              <w:rPr>
                <w:rFonts w:ascii="Courier New" w:cs="Courier New" w:eastAsia="Courier New" w:hAnsi="Courier New"/>
                <w:sz w:val="16"/>
                <w:szCs w:val="16"/>
                <w:color w:val="auto"/>
              </w:rPr>
              <w:t>Net decrease in cash and cash equivalents</w:t>
            </w:r>
          </w:p>
        </w:tc>
        <w:tc>
          <w:tcPr>
            <w:tcW w:w="2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(1,569,789)</w:t>
            </w:r>
          </w:p>
        </w:tc>
        <w:tc>
          <w:tcPr>
            <w:tcW w:w="2240" w:type="dxa"/>
            <w:vAlign w:val="bottom"/>
          </w:tcPr>
          <w:p>
            <w:pPr>
              <w:jc w:val="right"/>
              <w:spacing w:after="0"/>
              <w:rPr>
                <w:sz w:val="20"/>
                <w:szCs w:val="20"/>
                <w:color w:val="auto"/>
              </w:rPr>
            </w:pPr>
            <w:r>
              <w:rPr>
                <w:rFonts w:ascii="Courier New" w:cs="Courier New" w:eastAsia="Courier New" w:hAnsi="Courier New"/>
                <w:sz w:val="16"/>
                <w:szCs w:val="16"/>
                <w:color w:val="auto"/>
              </w:rPr>
              <w:t>(257,855)</w:t>
            </w:r>
          </w:p>
        </w:tc>
      </w:tr>
      <w:tr>
        <w:trPr>
          <w:trHeight w:val="180"/>
        </w:trPr>
        <w:tc>
          <w:tcPr>
            <w:tcW w:w="6140" w:type="dxa"/>
            <w:vAlign w:val="bottom"/>
          </w:tcPr>
          <w:p>
            <w:pPr>
              <w:spacing w:after="0"/>
              <w:rPr>
                <w:sz w:val="20"/>
                <w:szCs w:val="20"/>
                <w:color w:val="auto"/>
              </w:rPr>
            </w:pPr>
            <w:r>
              <w:rPr>
                <w:rFonts w:ascii="Courier New" w:cs="Courier New" w:eastAsia="Courier New" w:hAnsi="Courier New"/>
                <w:sz w:val="16"/>
                <w:szCs w:val="16"/>
                <w:color w:val="auto"/>
              </w:rPr>
              <w:t>Cash and cash equivalents, beginning of period</w:t>
            </w:r>
          </w:p>
        </w:tc>
        <w:tc>
          <w:tcPr>
            <w:tcW w:w="212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6,068,947</w:t>
            </w:r>
          </w:p>
        </w:tc>
        <w:tc>
          <w:tcPr>
            <w:tcW w:w="22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4,760,064</w:t>
            </w:r>
          </w:p>
        </w:tc>
      </w:tr>
      <w:tr>
        <w:trPr>
          <w:trHeight w:val="180"/>
        </w:trPr>
        <w:tc>
          <w:tcPr>
            <w:tcW w:w="6140" w:type="dxa"/>
            <w:vAlign w:val="bottom"/>
          </w:tcPr>
          <w:p>
            <w:pPr>
              <w:spacing w:after="0"/>
              <w:rPr>
                <w:sz w:val="15"/>
                <w:szCs w:val="15"/>
                <w:color w:val="auto"/>
              </w:rPr>
            </w:pPr>
          </w:p>
        </w:tc>
        <w:tc>
          <w:tcPr>
            <w:tcW w:w="212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22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6140" w:type="dxa"/>
            <w:vAlign w:val="bottom"/>
          </w:tcPr>
          <w:p>
            <w:pPr>
              <w:spacing w:after="0"/>
              <w:rPr>
                <w:sz w:val="20"/>
                <w:szCs w:val="20"/>
                <w:color w:val="auto"/>
              </w:rPr>
            </w:pPr>
            <w:r>
              <w:rPr>
                <w:rFonts w:ascii="Courier New" w:cs="Courier New" w:eastAsia="Courier New" w:hAnsi="Courier New"/>
                <w:sz w:val="16"/>
                <w:szCs w:val="16"/>
                <w:color w:val="auto"/>
              </w:rPr>
              <w:t>Cash and cash equivalents, end of period</w:t>
            </w:r>
          </w:p>
        </w:tc>
        <w:tc>
          <w:tcPr>
            <w:tcW w:w="212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$4,499,158</w:t>
            </w:r>
          </w:p>
        </w:tc>
        <w:tc>
          <w:tcPr>
            <w:tcW w:w="22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$4,502,209</w:t>
            </w:r>
          </w:p>
        </w:tc>
      </w:tr>
      <w:tr>
        <w:trPr>
          <w:trHeight w:val="180"/>
        </w:trPr>
        <w:tc>
          <w:tcPr>
            <w:tcW w:w="6140" w:type="dxa"/>
            <w:vAlign w:val="bottom"/>
          </w:tcPr>
          <w:p>
            <w:pPr>
              <w:spacing w:after="0"/>
              <w:rPr>
                <w:sz w:val="15"/>
                <w:szCs w:val="15"/>
                <w:color w:val="auto"/>
              </w:rPr>
            </w:pPr>
          </w:p>
        </w:tc>
        <w:tc>
          <w:tcPr>
            <w:tcW w:w="212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22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6140" w:type="dxa"/>
            <w:vAlign w:val="bottom"/>
          </w:tcPr>
          <w:p>
            <w:pPr>
              <w:spacing w:after="0"/>
              <w:rPr>
                <w:sz w:val="20"/>
                <w:szCs w:val="20"/>
                <w:color w:val="auto"/>
              </w:rPr>
            </w:pPr>
            <w:r>
              <w:rPr>
                <w:rFonts w:ascii="Courier New" w:cs="Courier New" w:eastAsia="Courier New" w:hAnsi="Courier New"/>
                <w:sz w:val="16"/>
                <w:szCs w:val="16"/>
                <w:color w:val="auto"/>
              </w:rPr>
              <w:t>Supplemental disclosure of cash flow information:</w:t>
            </w:r>
          </w:p>
        </w:tc>
        <w:tc>
          <w:tcPr>
            <w:tcW w:w="21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80"/>
        </w:trPr>
        <w:tc>
          <w:tcPr>
            <w:tcW w:w="6140" w:type="dxa"/>
            <w:vAlign w:val="bottom"/>
          </w:tcPr>
          <w:p>
            <w:pPr>
              <w:ind w:left="460"/>
              <w:spacing w:after="0"/>
              <w:rPr>
                <w:sz w:val="20"/>
                <w:szCs w:val="20"/>
                <w:color w:val="auto"/>
              </w:rPr>
            </w:pPr>
            <w:r>
              <w:rPr>
                <w:rFonts w:ascii="Courier New" w:cs="Courier New" w:eastAsia="Courier New" w:hAnsi="Courier New"/>
                <w:sz w:val="16"/>
                <w:szCs w:val="16"/>
                <w:color w:val="auto"/>
              </w:rPr>
              <w:t>Interest paid</w:t>
            </w:r>
          </w:p>
        </w:tc>
        <w:tc>
          <w:tcPr>
            <w:tcW w:w="212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$64,460</w:t>
            </w:r>
          </w:p>
        </w:tc>
        <w:tc>
          <w:tcPr>
            <w:tcW w:w="22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$68,858</w:t>
            </w:r>
          </w:p>
        </w:tc>
      </w:tr>
      <w:tr>
        <w:trPr>
          <w:trHeight w:val="721"/>
        </w:trPr>
        <w:tc>
          <w:tcPr>
            <w:tcW w:w="6140" w:type="dxa"/>
            <w:vAlign w:val="bottom"/>
          </w:tcPr>
          <w:p>
            <w:pPr>
              <w:ind w:left="3660"/>
              <w:spacing w:after="0"/>
              <w:rPr>
                <w:sz w:val="20"/>
                <w:szCs w:val="20"/>
                <w:color w:val="auto"/>
              </w:rPr>
            </w:pPr>
            <w:r>
              <w:rPr>
                <w:rFonts w:ascii="Courier New" w:cs="Courier New" w:eastAsia="Courier New" w:hAnsi="Courier New"/>
                <w:sz w:val="16"/>
                <w:szCs w:val="16"/>
                <w:color w:val="auto"/>
              </w:rPr>
              <w:t>-4-</w:t>
            </w:r>
          </w:p>
        </w:tc>
        <w:tc>
          <w:tcPr>
            <w:tcW w:w="212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1">
            <w:col w:w="10500"/>
          </w:cols>
          <w:pgMar w:left="240" w:top="1195" w:right="115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See accompanying notes to condensed financial statements.</w:t>
      </w:r>
    </w:p>
    <w:p>
      <w:pPr>
        <w:spacing w:after="0" w:line="360"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NOTES TO CONDENSED CONSOLIDATED</w:t>
      </w:r>
    </w:p>
    <w:p>
      <w:pPr>
        <w:ind w:left="2820"/>
        <w:spacing w:after="0"/>
        <w:rPr>
          <w:sz w:val="20"/>
          <w:szCs w:val="20"/>
          <w:color w:val="auto"/>
        </w:rPr>
      </w:pPr>
      <w:r>
        <w:rPr>
          <w:rFonts w:ascii="Courier New" w:cs="Courier New" w:eastAsia="Courier New" w:hAnsi="Courier New"/>
          <w:sz w:val="16"/>
          <w:szCs w:val="16"/>
          <w:color w:val="auto"/>
        </w:rPr>
        <w:t>FINANCIAL STATEMENTS</w:t>
      </w:r>
    </w:p>
    <w:p>
      <w:pPr>
        <w:ind w:left="3280"/>
        <w:spacing w:after="0" w:line="237" w:lineRule="auto"/>
        <w:rPr>
          <w:sz w:val="20"/>
          <w:szCs w:val="20"/>
          <w:color w:val="auto"/>
        </w:rPr>
      </w:pPr>
      <w:r>
        <w:rPr>
          <w:rFonts w:ascii="Courier New" w:cs="Courier New" w:eastAsia="Courier New" w:hAnsi="Courier New"/>
          <w:sz w:val="16"/>
          <w:szCs w:val="16"/>
          <w:color w:val="auto"/>
        </w:rPr>
        <w:t>(UNAUDITED)</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March 31, 2001 and 2000</w:t>
      </w:r>
    </w:p>
    <w:p>
      <w:pPr>
        <w:spacing w:after="0" w:line="179"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6"/>
          <w:szCs w:val="16"/>
          <w:color w:val="auto"/>
        </w:rPr>
        <w:t>NOTE 1.</w:t>
      </w:r>
      <w:r>
        <w:rPr>
          <w:sz w:val="20"/>
          <w:szCs w:val="20"/>
          <w:color w:val="auto"/>
        </w:rPr>
        <w:tab/>
      </w:r>
      <w:r>
        <w:rPr>
          <w:rFonts w:ascii="Courier New" w:cs="Courier New" w:eastAsia="Courier New" w:hAnsi="Courier New"/>
          <w:sz w:val="15"/>
          <w:szCs w:val="15"/>
          <w:color w:val="auto"/>
        </w:rPr>
        <w:t>BASIS OF PRESENTATION</w:t>
      </w:r>
    </w:p>
    <w:p>
      <w:pPr>
        <w:spacing w:after="0" w:line="185" w:lineRule="exact"/>
        <w:rPr>
          <w:sz w:val="20"/>
          <w:szCs w:val="20"/>
          <w:color w:val="auto"/>
        </w:rPr>
      </w:pPr>
    </w:p>
    <w:p>
      <w:pPr>
        <w:ind w:right="2999" w:firstLine="844"/>
        <w:spacing w:after="0" w:line="255" w:lineRule="auto"/>
        <w:rPr>
          <w:sz w:val="20"/>
          <w:szCs w:val="20"/>
          <w:color w:val="auto"/>
        </w:rPr>
      </w:pPr>
      <w:r>
        <w:rPr>
          <w:rFonts w:ascii="Courier New" w:cs="Courier New" w:eastAsia="Courier New" w:hAnsi="Courier New"/>
          <w:sz w:val="15"/>
          <w:szCs w:val="15"/>
          <w:color w:val="auto"/>
        </w:rPr>
        <w:t>On May 23, 2000, the company's name was changed to Stem Cells, Inc. from CytoTherapeutics, Inc. by vote of the shareholders at the Annual Meeting. 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three months ended March 31, 2001 are not necessarily indicative of the results that may be expected for the entire fiscal year ending December 31, 2001.</w:t>
      </w:r>
    </w:p>
    <w:p>
      <w:pPr>
        <w:spacing w:after="0" w:line="178" w:lineRule="exact"/>
        <w:rPr>
          <w:sz w:val="20"/>
          <w:szCs w:val="20"/>
          <w:color w:val="auto"/>
        </w:rPr>
      </w:pPr>
    </w:p>
    <w:p>
      <w:pPr>
        <w:ind w:right="2999" w:firstLine="844"/>
        <w:spacing w:after="0" w:line="238" w:lineRule="auto"/>
        <w:rPr>
          <w:sz w:val="20"/>
          <w:szCs w:val="20"/>
          <w:color w:val="auto"/>
        </w:rPr>
      </w:pPr>
      <w:r>
        <w:rPr>
          <w:rFonts w:ascii="Courier New" w:cs="Courier New" w:eastAsia="Courier New" w:hAnsi="Courier New"/>
          <w:sz w:val="16"/>
          <w:szCs w:val="16"/>
          <w:color w:val="auto"/>
        </w:rPr>
        <w:t>The balance sheet at December 31, 2000 has been derived from the audited financial statements at that date but does not include all of the information and footnotes required for complete financial statements in accordance with accounting principles generally accepted in the United States. For the complete financial statements, refer to the audited financial statements and footnotes thereto as of December 31, 2000, included on form 10-K as amended.</w:t>
      </w:r>
    </w:p>
    <w:p>
      <w:pPr>
        <w:spacing w:after="0" w:line="180"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6"/>
          <w:szCs w:val="16"/>
          <w:color w:val="auto"/>
        </w:rPr>
        <w:t>NOTE 2.</w:t>
      </w:r>
      <w:r>
        <w:rPr>
          <w:sz w:val="20"/>
          <w:szCs w:val="20"/>
          <w:color w:val="auto"/>
        </w:rPr>
        <w:tab/>
      </w:r>
      <w:r>
        <w:rPr>
          <w:rFonts w:ascii="Courier New" w:cs="Courier New" w:eastAsia="Courier New" w:hAnsi="Courier New"/>
          <w:sz w:val="15"/>
          <w:szCs w:val="15"/>
          <w:color w:val="auto"/>
        </w:rPr>
        <w:t>NET INCOME (LOSS) PER SHARE</w:t>
      </w:r>
    </w:p>
    <w:p>
      <w:pPr>
        <w:spacing w:after="0" w:line="185" w:lineRule="exact"/>
        <w:rPr>
          <w:sz w:val="20"/>
          <w:szCs w:val="20"/>
          <w:color w:val="auto"/>
        </w:rPr>
      </w:pPr>
    </w:p>
    <w:p>
      <w:pPr>
        <w:ind w:right="2999" w:firstLine="844"/>
        <w:spacing w:after="0" w:line="238" w:lineRule="auto"/>
        <w:rPr>
          <w:sz w:val="20"/>
          <w:szCs w:val="20"/>
          <w:color w:val="auto"/>
        </w:rPr>
      </w:pPr>
      <w:r>
        <w:rPr>
          <w:rFonts w:ascii="Courier New" w:cs="Courier New" w:eastAsia="Courier New" w:hAnsi="Courier New"/>
          <w:sz w:val="16"/>
          <w:szCs w:val="16"/>
          <w:color w:val="auto"/>
        </w:rPr>
        <w:t>Basic net income (loss) per common share is computed using the weighted average number of common shares outstanding during the period. Diluted net income per share is computed using the weighted average of common and diluted equivalent stock options and warrants outstanding during the period. We excluded all stock options and warrants from the calculation of diluted loss per common share for the period ended March 31, 2000, because these securities are antidilutive during that period.</w:t>
      </w:r>
    </w:p>
    <w:p>
      <w:pPr>
        <w:spacing w:after="0" w:line="180"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6"/>
          <w:szCs w:val="16"/>
          <w:color w:val="auto"/>
        </w:rPr>
        <w:t>NOTE 3.</w:t>
      </w:r>
      <w:r>
        <w:rPr>
          <w:sz w:val="20"/>
          <w:szCs w:val="20"/>
          <w:color w:val="auto"/>
        </w:rPr>
        <w:tab/>
      </w:r>
      <w:r>
        <w:rPr>
          <w:rFonts w:ascii="Courier New" w:cs="Courier New" w:eastAsia="Courier New" w:hAnsi="Courier New"/>
          <w:sz w:val="15"/>
          <w:szCs w:val="15"/>
          <w:color w:val="auto"/>
        </w:rPr>
        <w:t>COMPREHENSIVE LOSS</w:t>
      </w:r>
    </w:p>
    <w:p>
      <w:pPr>
        <w:spacing w:after="0" w:line="185" w:lineRule="exact"/>
        <w:rPr>
          <w:sz w:val="20"/>
          <w:szCs w:val="20"/>
          <w:color w:val="auto"/>
        </w:rPr>
      </w:pPr>
    </w:p>
    <w:p>
      <w:pPr>
        <w:ind w:right="2999" w:firstLine="844"/>
        <w:spacing w:after="0" w:line="237" w:lineRule="auto"/>
        <w:rPr>
          <w:sz w:val="20"/>
          <w:szCs w:val="20"/>
          <w:color w:val="auto"/>
        </w:rPr>
      </w:pPr>
      <w:r>
        <w:rPr>
          <w:rFonts w:ascii="Courier New" w:cs="Courier New" w:eastAsia="Courier New" w:hAnsi="Courier New"/>
          <w:sz w:val="16"/>
          <w:szCs w:val="16"/>
          <w:color w:val="auto"/>
        </w:rPr>
        <w:t>The only component of other comprehensive loss is unrealized gains and losses on available for sale securities. For the three months ended March 31, 2001 and 2000, total comprehensive loss was $7,675,143 and $1,794,258 respectively.</w:t>
      </w:r>
    </w:p>
    <w:p>
      <w:pPr>
        <w:spacing w:after="0" w:line="36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54" w:right="1440" w:bottom="1440" w:gutter="0" w:footer="0" w:header="0"/>
        </w:sectPr>
      </w:pPr>
    </w:p>
    <w:bookmarkStart w:id="5" w:name="page6"/>
    <w:bookmarkEnd w:id="5"/>
    <w:p>
      <w:pPr>
        <w:spacing w:after="0"/>
        <w:tabs>
          <w:tab w:leader="none" w:pos="1280" w:val="left"/>
        </w:tabs>
        <w:rPr>
          <w:sz w:val="20"/>
          <w:szCs w:val="20"/>
          <w:color w:val="auto"/>
        </w:rPr>
      </w:pPr>
      <w:r>
        <w:rPr>
          <w:rFonts w:ascii="Courier New" w:cs="Courier New" w:eastAsia="Courier New" w:hAnsi="Courier New"/>
          <w:sz w:val="16"/>
          <w:szCs w:val="16"/>
          <w:color w:val="auto"/>
        </w:rPr>
        <w:t>NOTE 4.</w:t>
      </w:r>
      <w:r>
        <w:rPr>
          <w:sz w:val="20"/>
          <w:szCs w:val="20"/>
          <w:color w:val="auto"/>
        </w:rPr>
        <w:tab/>
      </w:r>
      <w:r>
        <w:rPr>
          <w:rFonts w:ascii="Courier New" w:cs="Courier New" w:eastAsia="Courier New" w:hAnsi="Courier New"/>
          <w:sz w:val="15"/>
          <w:szCs w:val="15"/>
          <w:color w:val="auto"/>
        </w:rPr>
        <w:t>WIND-DOWN OF ENCAPSULATED CELL TECHNOLOGY RESEARCH AND</w:t>
      </w:r>
    </w:p>
    <w:p>
      <w:pPr>
        <w:ind w:left="1300"/>
        <w:spacing w:after="0"/>
        <w:rPr>
          <w:sz w:val="20"/>
          <w:szCs w:val="20"/>
          <w:color w:val="auto"/>
        </w:rPr>
      </w:pPr>
      <w:r>
        <w:rPr>
          <w:rFonts w:ascii="Courier New" w:cs="Courier New" w:eastAsia="Courier New" w:hAnsi="Courier New"/>
          <w:sz w:val="16"/>
          <w:szCs w:val="16"/>
          <w:color w:val="auto"/>
        </w:rPr>
        <w:t>DEVELOPMENT PROGRAM</w:t>
      </w:r>
    </w:p>
    <w:p>
      <w:pPr>
        <w:spacing w:after="0" w:line="184" w:lineRule="exact"/>
        <w:rPr>
          <w:sz w:val="20"/>
          <w:szCs w:val="20"/>
          <w:color w:val="auto"/>
        </w:rPr>
      </w:pPr>
    </w:p>
    <w:p>
      <w:pPr>
        <w:ind w:right="4400" w:firstLine="844"/>
        <w:spacing w:after="0" w:line="238" w:lineRule="auto"/>
        <w:rPr>
          <w:sz w:val="20"/>
          <w:szCs w:val="20"/>
          <w:color w:val="auto"/>
        </w:rPr>
      </w:pPr>
      <w:r>
        <w:rPr>
          <w:rFonts w:ascii="Courier New" w:cs="Courier New" w:eastAsia="Courier New" w:hAnsi="Courier New"/>
          <w:sz w:val="16"/>
          <w:szCs w:val="16"/>
          <w:color w:val="auto"/>
        </w:rPr>
        <w:t>As previously reported, in 1999 the Company restructured its operations to abandon all further encapsulated cell technology research and concentrate its resources on the research and development of its proprietary platform of stem cell technologies. The Company relocated its remaining research and development activities and its corporate headquarters to California, and has been seeking to dispose of its former science and administrative and pilot manufacturing facilities in Rhode Island. In December 2000, the company had a reserve of $1,780,000 related to the carrying costs for the Rhode Island facilities through 2001. On February 2001, the Company subleased portions of the facilities and are actively seeking to sublease, assign or sell our remaining interests in the properties. However, there can be no assurance that the Company will be able to dispose of these facilities in a reasonable time, if at all. At March 31,2001 the reserve was $1,381,000.</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5" w:lineRule="exact"/>
        <w:rPr>
          <w:sz w:val="20"/>
          <w:szCs w:val="20"/>
          <w:color w:val="auto"/>
        </w:rPr>
      </w:pPr>
    </w:p>
    <w:p>
      <w:pPr>
        <w:ind w:left="740"/>
        <w:spacing w:after="0"/>
        <w:tabs>
          <w:tab w:leader="none" w:pos="5220" w:val="left"/>
          <w:tab w:leader="none" w:pos="8420" w:val="left"/>
        </w:tabs>
        <w:rPr>
          <w:sz w:val="20"/>
          <w:szCs w:val="20"/>
          <w:color w:val="auto"/>
        </w:rPr>
      </w:pPr>
      <w:r>
        <w:rPr>
          <w:rFonts w:ascii="Courier New" w:cs="Courier New" w:eastAsia="Courier New" w:hAnsi="Courier New"/>
          <w:sz w:val="16"/>
          <w:szCs w:val="16"/>
          <w:color w:val="auto"/>
        </w:rPr>
        <w:t>Reserve as at 12/31/2000</w:t>
      </w:r>
      <w:r>
        <w:rPr>
          <w:sz w:val="20"/>
          <w:szCs w:val="20"/>
          <w:color w:val="auto"/>
        </w:rPr>
        <w:tab/>
      </w:r>
      <w:r>
        <w:rPr>
          <w:rFonts w:ascii="Courier New" w:cs="Courier New" w:eastAsia="Courier New" w:hAnsi="Courier New"/>
          <w:sz w:val="16"/>
          <w:szCs w:val="16"/>
          <w:color w:val="auto"/>
        </w:rPr>
        <w:t>$1,780,579</w:t>
      </w:r>
      <w:r>
        <w:rPr>
          <w:sz w:val="20"/>
          <w:szCs w:val="20"/>
          <w:color w:val="auto"/>
        </w:rPr>
        <w:tab/>
      </w:r>
      <w:r>
        <w:rPr>
          <w:rFonts w:ascii="Courier New" w:cs="Courier New" w:eastAsia="Courier New" w:hAnsi="Courier New"/>
          <w:sz w:val="15"/>
          <w:szCs w:val="15"/>
          <w:color w:val="auto"/>
        </w:rPr>
        <w:t>Reserve as at 03/31/01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86" w:lineRule="exact"/>
        <w:rPr>
          <w:sz w:val="20"/>
          <w:szCs w:val="20"/>
          <w:color w:val="auto"/>
        </w:rPr>
      </w:pPr>
    </w:p>
    <w:p>
      <w:pPr>
        <w:ind w:left="1400"/>
        <w:spacing w:after="0"/>
        <w:tabs>
          <w:tab w:leader="none" w:pos="5320" w:val="left"/>
          <w:tab w:leader="none" w:pos="8980" w:val="left"/>
        </w:tabs>
        <w:rPr>
          <w:sz w:val="20"/>
          <w:szCs w:val="20"/>
          <w:color w:val="auto"/>
        </w:rPr>
      </w:pPr>
      <w:r>
        <w:rPr>
          <w:rFonts w:ascii="Courier New" w:cs="Courier New" w:eastAsia="Courier New" w:hAnsi="Courier New"/>
          <w:sz w:val="16"/>
          <w:szCs w:val="16"/>
          <w:color w:val="auto"/>
        </w:rPr>
        <w:t>$1,780,579</w:t>
      </w:r>
      <w:r>
        <w:rPr>
          <w:sz w:val="20"/>
          <w:szCs w:val="20"/>
          <w:color w:val="auto"/>
        </w:rPr>
        <w:tab/>
      </w:r>
      <w:r>
        <w:rPr>
          <w:rFonts w:ascii="Courier New" w:cs="Courier New" w:eastAsia="Courier New" w:hAnsi="Courier New"/>
          <w:sz w:val="16"/>
          <w:szCs w:val="16"/>
          <w:color w:val="auto"/>
        </w:rPr>
        <w:t>$399,632</w:t>
      </w:r>
      <w:r>
        <w:rPr>
          <w:sz w:val="20"/>
          <w:szCs w:val="20"/>
          <w:color w:val="auto"/>
        </w:rPr>
        <w:tab/>
      </w:r>
      <w:r>
        <w:rPr>
          <w:rFonts w:ascii="Courier New" w:cs="Courier New" w:eastAsia="Courier New" w:hAnsi="Courier New"/>
          <w:sz w:val="15"/>
          <w:szCs w:val="15"/>
          <w:color w:val="auto"/>
        </w:rPr>
        <w:t>$1,380,947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ectPr>
          <w:pgSz w:w="11900" w:h="16838" w:orient="portrait"/>
          <w:cols w:equalWidth="0" w:num="1">
            <w:col w:w="11520"/>
          </w:cols>
          <w:pgMar w:left="240" w:top="654" w:right="139" w:bottom="1440" w:gutter="0" w:footer="0" w:header="0"/>
        </w:sect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191" w:lineRule="exact"/>
        <w:rPr>
          <w:sz w:val="20"/>
          <w:szCs w:val="20"/>
          <w:color w:val="auto"/>
        </w:rPr>
      </w:pPr>
    </w:p>
    <w:p>
      <w:pPr>
        <w:sectPr>
          <w:pgSz w:w="11900" w:h="16838" w:orient="portrait"/>
          <w:cols w:equalWidth="0" w:num="2">
            <w:col w:w="660" w:space="640"/>
            <w:col w:w="10220"/>
          </w:cols>
          <w:pgMar w:left="240" w:top="654" w:right="139" w:bottom="1440" w:gutter="0" w:footer="0" w:header="0"/>
          <w:type w:val="continuous"/>
        </w:sectPr>
      </w:pPr>
    </w:p>
    <w:p>
      <w:pPr>
        <w:ind w:right="4300" w:firstLine="844"/>
        <w:spacing w:after="0" w:line="238" w:lineRule="auto"/>
        <w:rPr>
          <w:sz w:val="20"/>
          <w:szCs w:val="20"/>
          <w:color w:val="auto"/>
        </w:rPr>
      </w:pPr>
      <w:r>
        <w:rPr>
          <w:rFonts w:ascii="Courier New" w:cs="Courier New" w:eastAsia="Courier New" w:hAnsi="Courier New"/>
          <w:sz w:val="16"/>
          <w:szCs w:val="16"/>
          <w:color w:val="auto"/>
        </w:rPr>
        <w:t>At March 31, 2001, the Company owned 103,577 shares of Modex Therapeutics Ltd. ("Modex"), a Swiss biotechnology company traded on the Swiss Exchange. On January 9, 2001, the Company sold 22,616 Modex shares for a net price of 182.00 Swiss francs per share, which converts to $112.76 per share, for total proceeds of $2,550,000. In connection with this sale, the Company agreed not to resell any more of its Modex shares until April 12, 2001. Accordingly, with an established market value, the investment is recorded as available-for-sale at an estimated fair market value. On March 31, 2001 the market price of Modex stock was 141.00 Swiss francs, or $81.22 using exchange rates on that date, which represented an estimated fair market value of $8,412,650 for the remaining shares. The unrealized gain was reported in other comprehensive income. The Company liquidated the remaining 103,577 Modex shares on April 30, 2001 for $5,232,168 net of commissions and other fees. See note 9.</w:t>
      </w:r>
    </w:p>
    <w:p>
      <w:pPr>
        <w:spacing w:after="0" w:line="184"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6"/>
          <w:szCs w:val="16"/>
          <w:color w:val="auto"/>
        </w:rPr>
        <w:t>NOTE 6.</w:t>
      </w:r>
      <w:r>
        <w:rPr>
          <w:sz w:val="20"/>
          <w:szCs w:val="20"/>
          <w:color w:val="auto"/>
        </w:rPr>
        <w:tab/>
      </w:r>
      <w:r>
        <w:rPr>
          <w:rFonts w:ascii="Courier New" w:cs="Courier New" w:eastAsia="Courier New" w:hAnsi="Courier New"/>
          <w:sz w:val="15"/>
          <w:szCs w:val="15"/>
          <w:color w:val="auto"/>
        </w:rPr>
        <w:t>SALE OF SECURITIES</w:t>
      </w:r>
    </w:p>
    <w:p>
      <w:pPr>
        <w:spacing w:after="0" w:line="185" w:lineRule="exact"/>
        <w:rPr>
          <w:sz w:val="20"/>
          <w:szCs w:val="20"/>
          <w:color w:val="auto"/>
        </w:rPr>
      </w:pPr>
    </w:p>
    <w:p>
      <w:pPr>
        <w:ind w:right="4300" w:firstLine="844"/>
        <w:spacing w:after="0" w:line="255" w:lineRule="auto"/>
        <w:rPr>
          <w:sz w:val="20"/>
          <w:szCs w:val="20"/>
          <w:color w:val="auto"/>
        </w:rPr>
      </w:pPr>
      <w:r>
        <w:rPr>
          <w:rFonts w:ascii="Courier New" w:cs="Courier New" w:eastAsia="Courier New" w:hAnsi="Courier New"/>
          <w:sz w:val="15"/>
          <w:szCs w:val="15"/>
          <w:color w:val="auto"/>
        </w:rPr>
        <w:t>On August 3, 2000, the Company completed a $4 million common stock financing transaction with Millennium Partners, LP (the "Fund"). The Fund purchased the Company's common stock at $4.33 per share. As set forth in an adjustable warrant issued to the Fund on the closing date, the Fund may be entitled to receive additional shares of common stock on eight dates beginning six months from the closing and every three months thereafter. The adjustable warrant may be exercised at any time prior to the thirtieth day after the last of such dates. On the first adjustment date, January 27, 2001, the Fund became entitled to 463,369 additional shares, and it has exercised its warrant as to such shares. The number of additional shares the Fund may be entitled to on each date will be based on the number of shares of common stock the Fund continues to hold on each date and the market price of the Company's common stock over a period prior to each date. The exercise price per share under the adjustable warrant is $.01. The</w:t>
      </w:r>
    </w:p>
    <w:p>
      <w:pPr>
        <w:spacing w:after="0" w:line="35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1520"/>
          </w:cols>
          <w:pgMar w:left="240" w:top="654" w:right="139" w:bottom="1440" w:gutter="0" w:footer="0" w:header="0"/>
          <w:type w:val="continuous"/>
        </w:sectPr>
      </w:pPr>
    </w:p>
    <w:bookmarkStart w:id="6" w:name="page7"/>
    <w:bookmarkEnd w:id="6"/>
    <w:p>
      <w:pPr>
        <w:ind w:right="2999"/>
        <w:spacing w:after="0" w:line="255" w:lineRule="auto"/>
        <w:rPr>
          <w:sz w:val="20"/>
          <w:szCs w:val="20"/>
          <w:color w:val="auto"/>
        </w:rPr>
      </w:pPr>
      <w:r>
        <w:rPr>
          <w:rFonts w:ascii="Courier New" w:cs="Courier New" w:eastAsia="Courier New" w:hAnsi="Courier New"/>
          <w:sz w:val="15"/>
          <w:szCs w:val="15"/>
          <w:color w:val="auto"/>
        </w:rPr>
        <w:t>Company will have the right, under certain circumstances, to cap the number of additional shares by purchasing part of the entitlement from the Fund at a purchase price based on the market price of such shares. The Fund also received a five-year warrant to purchase up to 101,587 shares of common stock at $4.725 per share. This warrant is callable at any time by StemCells at $7.875 per underlying share. The calculated value of this callable warrant using the Black-Scholes method is $376,888, which the Company accounts for as stock issuance cost that has no impact on stockholders' equity. The Company has accounted for the sale of the stock and warrants by adding that portion of the proceeds equal to the par value of the new shares to common stock and the balance, including the value of the warrants, to additional paid in capital. In addition, any repurchase of the shares by the Company would also be accounted for through additional paid in capital.</w:t>
      </w:r>
    </w:p>
    <w:p>
      <w:pPr>
        <w:spacing w:after="0" w:line="178" w:lineRule="exact"/>
        <w:rPr>
          <w:sz w:val="20"/>
          <w:szCs w:val="20"/>
          <w:color w:val="auto"/>
        </w:rPr>
      </w:pPr>
    </w:p>
    <w:p>
      <w:pPr>
        <w:ind w:right="2999" w:firstLine="844"/>
        <w:spacing w:after="0" w:line="255" w:lineRule="auto"/>
        <w:rPr>
          <w:sz w:val="20"/>
          <w:szCs w:val="20"/>
          <w:color w:val="auto"/>
        </w:rPr>
      </w:pPr>
      <w:r>
        <w:rPr>
          <w:rFonts w:ascii="Courier New" w:cs="Courier New" w:eastAsia="Courier New" w:hAnsi="Courier New"/>
          <w:sz w:val="15"/>
          <w:szCs w:val="15"/>
          <w:color w:val="auto"/>
        </w:rPr>
        <w:t>In the Purchase Agreement governing the August 3, 2000 sale to the Fund, the Company granted the Fund an option to purchase up to an additional $3 million of its common stock and a callable warrant and an adjustable warrant. The Fund can exercise this option in whole or in part at any time prior to August 3, 2001. The price per share of common stock to be issued upon exercise of the option will be based on the average market price of the common stock for a five-day period prior to the date on which the option is exercised. On August 23, 2000, the Fund exercised $1,000,000 of its option to purchase additional common stock. The Fund purchased the Company's common stock at $5.53 per share, which amount was based upon the average market price of the common stock for the five-day period prior to August 23, 2000. An adjustable warrant similar to the one issued on August 3, 2000 was issued to the Fund on August 30, 2000, but was cancelled on November 1, 2000 by agreement of the Company and the Fund. The Fund also received a five -year warrant to purchase up to 19,900 shares of common stock at $6.03 per share. This warrant is callable by the Company at any time at $10.05 per underlying share. The calculated value of this callable warrant using the Black-Scholes method is $139,897, which the Company accounts for as stock issuance cost that has no impact on stockholders' equity.</w:t>
      </w:r>
    </w:p>
    <w:p>
      <w:pPr>
        <w:spacing w:after="0" w:line="358" w:lineRule="exact"/>
        <w:rPr>
          <w:sz w:val="20"/>
          <w:szCs w:val="20"/>
          <w:color w:val="auto"/>
        </w:rPr>
      </w:pPr>
    </w:p>
    <w:p>
      <w:pPr>
        <w:ind w:right="3099" w:firstLine="844"/>
        <w:spacing w:after="0" w:line="237" w:lineRule="auto"/>
        <w:rPr>
          <w:sz w:val="20"/>
          <w:szCs w:val="20"/>
          <w:color w:val="auto"/>
        </w:rPr>
      </w:pPr>
      <w:r>
        <w:rPr>
          <w:rFonts w:ascii="Courier New" w:cs="Courier New" w:eastAsia="Courier New" w:hAnsi="Courier New"/>
          <w:sz w:val="16"/>
          <w:szCs w:val="16"/>
          <w:color w:val="auto"/>
        </w:rPr>
        <w:t>The adjustable warrant contains provisions regarding the adjustment or replacement of the warrants in the event of stock splits, mergers, tender offers and other similar events. The adjustable warrant also limits the number of shares that can be beneficially owned by the Fund to 9.99% of the total number of outstanding shares of Common Stock.</w:t>
      </w:r>
    </w:p>
    <w:p>
      <w:pPr>
        <w:spacing w:after="0" w:line="182"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6"/>
          <w:szCs w:val="16"/>
          <w:color w:val="auto"/>
        </w:rPr>
        <w:t>NOTE 7.</w:t>
      </w:r>
      <w:r>
        <w:rPr>
          <w:sz w:val="20"/>
          <w:szCs w:val="20"/>
          <w:color w:val="auto"/>
        </w:rPr>
        <w:tab/>
      </w:r>
      <w:r>
        <w:rPr>
          <w:rFonts w:ascii="Courier New" w:cs="Courier New" w:eastAsia="Courier New" w:hAnsi="Courier New"/>
          <w:sz w:val="16"/>
          <w:szCs w:val="16"/>
          <w:color w:val="auto"/>
        </w:rPr>
        <w:t>LEASES</w:t>
      </w:r>
    </w:p>
    <w:p>
      <w:pPr>
        <w:spacing w:after="0" w:line="185" w:lineRule="exact"/>
        <w:rPr>
          <w:sz w:val="20"/>
          <w:szCs w:val="20"/>
          <w:color w:val="auto"/>
        </w:rPr>
      </w:pPr>
    </w:p>
    <w:p>
      <w:pPr>
        <w:ind w:right="2999" w:firstLine="844"/>
        <w:spacing w:after="0" w:line="238" w:lineRule="auto"/>
        <w:rPr>
          <w:sz w:val="20"/>
          <w:szCs w:val="20"/>
          <w:color w:val="auto"/>
        </w:rPr>
      </w:pPr>
      <w:r>
        <w:rPr>
          <w:rFonts w:ascii="Courier New" w:cs="Courier New" w:eastAsia="Courier New" w:hAnsi="Courier New"/>
          <w:sz w:val="16"/>
          <w:szCs w:val="16"/>
          <w:color w:val="auto"/>
        </w:rPr>
        <w:t>As of February 1, 2001, the Company entered into a 5-year lease for a 40,000 square foot facility located in the Stanford Research Park in Palo Alto, California. The new facility includes animal space, laboratories, offices, and a GMP (Good Manufacturing Practices) suite. GMP facilities can be used to manufacture materials for clinical trials. The rent will average approximately $3.2 million per year over the term of the lease. The company paid $1.2 million upfront related to this new lease. Approximately $909,000 of this payment has been recorded as prepaid rent and is being amortized over seven months. The Company continues to lease the facilities in Lincoln, Rhode Island obtained in connection with its former encapsulated cell technology, but has now succeeded in subleasing parts of those facilities: the 3,000 square-foot cell processing facility and approximately one-third of its former scientific and administrative</w:t>
      </w:r>
    </w:p>
    <w:p>
      <w:pPr>
        <w:spacing w:after="0" w:line="36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9" w:right="1440" w:bottom="1440" w:gutter="0" w:footer="0" w:header="0"/>
        </w:sectPr>
      </w:pPr>
    </w:p>
    <w:bookmarkStart w:id="7" w:name="page8"/>
    <w:bookmarkEnd w:id="7"/>
    <w:p>
      <w:pPr>
        <w:ind w:right="3279"/>
        <w:spacing w:after="0" w:line="237" w:lineRule="auto"/>
        <w:rPr>
          <w:sz w:val="20"/>
          <w:szCs w:val="20"/>
          <w:color w:val="auto"/>
        </w:rPr>
      </w:pPr>
      <w:r>
        <w:rPr>
          <w:rFonts w:ascii="Courier New" w:cs="Courier New" w:eastAsia="Courier New" w:hAnsi="Courier New"/>
          <w:sz w:val="16"/>
          <w:szCs w:val="16"/>
          <w:color w:val="auto"/>
        </w:rPr>
        <w:t>facility ("SAF"). The Company continues to seek to sublet the remainder of the approximately 65,000 square foot SAF and the 21,000 square-foot pilot manufacturing facility, or to assign or sell its interests in these properties. There can be no assurance however, that we will be able to dispose of these properties in a reasonable time, if at all.</w:t>
      </w:r>
    </w:p>
    <w:p>
      <w:pPr>
        <w:spacing w:after="0" w:line="182"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6"/>
          <w:szCs w:val="16"/>
          <w:color w:val="auto"/>
        </w:rPr>
        <w:t>NOTE 8.</w:t>
      </w:r>
      <w:r>
        <w:rPr>
          <w:sz w:val="20"/>
          <w:szCs w:val="20"/>
          <w:color w:val="auto"/>
        </w:rPr>
        <w:tab/>
      </w:r>
      <w:r>
        <w:rPr>
          <w:rFonts w:ascii="Courier New" w:cs="Courier New" w:eastAsia="Courier New" w:hAnsi="Courier New"/>
          <w:sz w:val="16"/>
          <w:szCs w:val="16"/>
          <w:color w:val="auto"/>
        </w:rPr>
        <w:t>GRANT</w:t>
      </w:r>
    </w:p>
    <w:p>
      <w:pPr>
        <w:spacing w:after="0" w:line="185" w:lineRule="exact"/>
        <w:rPr>
          <w:sz w:val="20"/>
          <w:szCs w:val="20"/>
          <w:color w:val="auto"/>
        </w:rPr>
      </w:pPr>
    </w:p>
    <w:p>
      <w:pPr>
        <w:ind w:right="2999" w:firstLine="844"/>
        <w:spacing w:after="0" w:line="238" w:lineRule="auto"/>
        <w:rPr>
          <w:sz w:val="20"/>
          <w:szCs w:val="20"/>
          <w:color w:val="auto"/>
        </w:rPr>
      </w:pPr>
      <w:r>
        <w:rPr>
          <w:rFonts w:ascii="Courier New" w:cs="Courier New" w:eastAsia="Courier New" w:hAnsi="Courier New"/>
          <w:sz w:val="16"/>
          <w:szCs w:val="16"/>
          <w:color w:val="auto"/>
        </w:rPr>
        <w:t>In February 2001, the Company was awarded a two-year, $300,000 per year grant from the NIH's Small Business Innovation Research (SBIR) office. The grant, which will support joint work with virologist Dr. Jeffrey Glenn at Stanford University, is aimed at characterizing the human cells that can be infected by human hepatitis viruses and to develop a small animal model using the cells that are most infectable by these viruses to develop screening assays and identify novel drug for the disease. The company received and recognized as revenue $100,000 from a prior SBIR grant relating to the neural program.</w:t>
      </w:r>
    </w:p>
    <w:p>
      <w:pPr>
        <w:spacing w:after="0" w:line="181"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6"/>
          <w:szCs w:val="16"/>
          <w:color w:val="auto"/>
        </w:rPr>
        <w:t>NOTE 9.</w:t>
      </w:r>
      <w:r>
        <w:rPr>
          <w:sz w:val="20"/>
          <w:szCs w:val="20"/>
          <w:color w:val="auto"/>
        </w:rPr>
        <w:tab/>
      </w:r>
      <w:r>
        <w:rPr>
          <w:rFonts w:ascii="Courier New" w:cs="Courier New" w:eastAsia="Courier New" w:hAnsi="Courier New"/>
          <w:sz w:val="15"/>
          <w:szCs w:val="15"/>
          <w:color w:val="auto"/>
        </w:rPr>
        <w:t>SUBSEQUENT EVENTS</w:t>
      </w:r>
    </w:p>
    <w:p>
      <w:pPr>
        <w:spacing w:after="0" w:line="185" w:lineRule="exact"/>
        <w:rPr>
          <w:sz w:val="20"/>
          <w:szCs w:val="20"/>
          <w:color w:val="auto"/>
        </w:rPr>
      </w:pPr>
    </w:p>
    <w:p>
      <w:pPr>
        <w:ind w:right="2999" w:firstLine="844"/>
        <w:spacing w:after="0" w:line="238" w:lineRule="auto"/>
        <w:rPr>
          <w:sz w:val="20"/>
          <w:szCs w:val="20"/>
          <w:color w:val="auto"/>
        </w:rPr>
      </w:pPr>
      <w:r>
        <w:rPr>
          <w:rFonts w:ascii="Courier New" w:cs="Courier New" w:eastAsia="Courier New" w:hAnsi="Courier New"/>
          <w:sz w:val="16"/>
          <w:szCs w:val="16"/>
          <w:color w:val="auto"/>
        </w:rPr>
        <w:t>On April 30, 2001, StemCells sold its remaining 103,577 shares of Modex Therapeutics at 87.3 Swiss francs per share, or $50.51 per share at the exchange rate on that date, for total proceeds of $5,232,168 net of commissions and other fees. In addition, on April 30, 2001, in consideration for $300,000 received from Modex and the assistance of Modex in executing the sale of StemCells holding of Modex shares, StemCells agreed to assign to Modex the rights concerning future payments under the Asset Purchase and License Agreement between StemCells, Inc. and Neurotech SA, by which Neurotech SA purchased the Company's former encapsulated cell therapy technology.</w:t>
      </w:r>
    </w:p>
    <w:p>
      <w:pPr>
        <w:spacing w:after="0" w:line="187" w:lineRule="exact"/>
        <w:rPr>
          <w:sz w:val="20"/>
          <w:szCs w:val="20"/>
          <w:color w:val="auto"/>
        </w:rPr>
      </w:pPr>
    </w:p>
    <w:p>
      <w:pPr>
        <w:ind w:right="3099" w:firstLine="844"/>
        <w:spacing w:after="0" w:line="237" w:lineRule="auto"/>
        <w:rPr>
          <w:sz w:val="20"/>
          <w:szCs w:val="20"/>
          <w:color w:val="auto"/>
        </w:rPr>
      </w:pPr>
      <w:r>
        <w:rPr>
          <w:rFonts w:ascii="Courier New" w:cs="Courier New" w:eastAsia="Courier New" w:hAnsi="Courier New"/>
          <w:sz w:val="16"/>
          <w:szCs w:val="16"/>
          <w:color w:val="auto"/>
        </w:rPr>
        <w:t>On April 27, 2001, the Company reached an agreement to terminate as of May 15, 2001, without cost, its lease on part of its former Sunnyvale headquarters.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10. RECENT ACCOUNTING PRONOUNCEMENT</w:t>
      </w:r>
    </w:p>
    <w:p>
      <w:pPr>
        <w:spacing w:after="0" w:line="185" w:lineRule="exact"/>
        <w:rPr>
          <w:sz w:val="20"/>
          <w:szCs w:val="20"/>
          <w:color w:val="auto"/>
        </w:rPr>
      </w:pPr>
    </w:p>
    <w:p>
      <w:pPr>
        <w:ind w:right="2999" w:firstLine="844"/>
        <w:spacing w:after="0" w:line="238" w:lineRule="auto"/>
        <w:rPr>
          <w:sz w:val="20"/>
          <w:szCs w:val="20"/>
          <w:color w:val="auto"/>
        </w:rPr>
      </w:pPr>
      <w:r>
        <w:rPr>
          <w:rFonts w:ascii="Courier New" w:cs="Courier New" w:eastAsia="Courier New" w:hAnsi="Courier New"/>
          <w:sz w:val="16"/>
          <w:szCs w:val="16"/>
          <w:color w:val="auto"/>
        </w:rPr>
        <w:t>In June 1998, The Financial Accounting Standards Board issued Statement of Financial Accounting Standards No. 133, "Accounting for Derivative Financial Instruments and for Hedging Activities" ("SFAS 133"). The Statement requires the Company to recognize all derivatives on the balance sheet at fair value. Derivatives that are not hedges must be adjusted to fair value through income. If the derivative is a hedge, depending on the nature of the hedge, changes in fair value of derivatives are either offset against the change in fair value of assets, liabilities, or firm commitments through earnings or recognized in other comprehensive income until the hedged item is recognized in earnings. As the Company had no derivative instruments and does not currently engage in hedging activities, the adoption of Statement No. 133 on January 1, 2001 had no impact on StemCells results, operations or financial statement.</w:t>
      </w:r>
    </w:p>
    <w:p>
      <w:pPr>
        <w:spacing w:after="0" w:line="18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MANAGEMENT'S DISCUSSION AND ANALYSIS</w:t>
      </w:r>
    </w:p>
    <w:p>
      <w:pPr>
        <w:jc w:val="center"/>
        <w:ind w:right="2719"/>
        <w:spacing w:after="0"/>
        <w:rPr>
          <w:sz w:val="20"/>
          <w:szCs w:val="20"/>
          <w:color w:val="auto"/>
        </w:rPr>
      </w:pPr>
      <w:r>
        <w:rPr>
          <w:rFonts w:ascii="Courier New" w:cs="Courier New" w:eastAsia="Courier New" w:hAnsi="Courier New"/>
          <w:sz w:val="16"/>
          <w:szCs w:val="16"/>
          <w:color w:val="auto"/>
        </w:rPr>
        <w:t>OF FINANCIAL CONDITION AND RESULTS OF OPERATIONS</w:t>
      </w:r>
    </w:p>
    <w:p>
      <w:pPr>
        <w:spacing w:after="0" w:line="35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839" w:right="1440" w:bottom="1440" w:gutter="0" w:footer="0" w:header="0"/>
        </w:sectPr>
      </w:pPr>
    </w:p>
    <w:bookmarkStart w:id="8" w:name="page9"/>
    <w:bookmarkEnd w:id="8"/>
    <w:p>
      <w:pPr>
        <w:ind w:right="3099" w:firstLine="844"/>
        <w:spacing w:after="0" w:line="257" w:lineRule="auto"/>
        <w:rPr>
          <w:sz w:val="20"/>
          <w:szCs w:val="20"/>
          <w:color w:val="auto"/>
        </w:rPr>
      </w:pPr>
      <w:r>
        <w:rPr>
          <w:rFonts w:ascii="Courier New" w:cs="Courier New" w:eastAsia="Courier New" w:hAnsi="Courier New"/>
          <w:sz w:val="15"/>
          <w:szCs w:val="15"/>
          <w:color w:val="auto"/>
        </w:rPr>
        <w:t>The following discussion of the financial condition and results of operations of the Company for the three months ended March 31, 2001 and 2000 should be read in conjunction with the accompanying unaudited condensed consolidated financial statements and the related footnotes thereto.</w:t>
      </w:r>
    </w:p>
    <w:p>
      <w:pPr>
        <w:spacing w:after="0" w:line="174" w:lineRule="exact"/>
        <w:rPr>
          <w:sz w:val="20"/>
          <w:szCs w:val="20"/>
          <w:color w:val="auto"/>
        </w:rPr>
      </w:pPr>
    </w:p>
    <w:p>
      <w:pPr>
        <w:ind w:right="2999" w:firstLine="844"/>
        <w:spacing w:after="0" w:line="238" w:lineRule="auto"/>
        <w:rPr>
          <w:sz w:val="20"/>
          <w:szCs w:val="20"/>
          <w:color w:val="auto"/>
        </w:rPr>
      </w:pPr>
      <w:r>
        <w:rPr>
          <w:rFonts w:ascii="Courier New" w:cs="Courier New" w:eastAsia="Courier New" w:hAnsi="Courier New"/>
          <w:sz w:val="16"/>
          <w:szCs w:val="16"/>
          <w:color w:val="auto"/>
        </w:rPr>
        <w:t>This report includes forward-looking statements. You can identify these statements by forward-looking words such as "may," "will," "possibly," "expect," "anticipate," "project," "believe," "estimate" and "continue" or similar words. You should read statements that contain these words carefully because they discuss our future expectations, contain projections of our future results of operations or of our financial condition, or state other "forward-looking" information. We believe that it is important to communicate our future expectations to our investors. However, there will be events in the future that we have not been able to accurately predict or control and that may cause our actual results to differ materially from those discussed. For example, contaminations at our facilities, changes in the pharmaceutical or biotechnology industries, competition and changes in government regulations or general economic or market conditions could all have significant effects on our results. These factors should be considered carefully and readers should not place undue reliance on our forward-looking statements. Before you invest in our common stock, you should be aware that the occurrence of the events described in the "Cautionary Factors Relevant to Forward Looking Information" and "Business" sections included in our Form 10-K/A report, as of December 31, 2000 could harm our business, operating results and financial condition. All forward looking statements attributable to us or persons acting on our behalf are expressly qualified in their entirety by the cautionary statements and risk factors contained or referred to herein.</w:t>
      </w:r>
    </w:p>
    <w:p>
      <w:pPr>
        <w:spacing w:after="0" w:line="19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OVERVIEW</w:t>
      </w:r>
    </w:p>
    <w:p>
      <w:pPr>
        <w:spacing w:after="0" w:line="185" w:lineRule="exact"/>
        <w:rPr>
          <w:sz w:val="20"/>
          <w:szCs w:val="20"/>
          <w:color w:val="auto"/>
        </w:rPr>
      </w:pPr>
    </w:p>
    <w:p>
      <w:pPr>
        <w:ind w:right="2899" w:firstLine="844"/>
        <w:spacing w:after="0" w:line="238" w:lineRule="auto"/>
        <w:rPr>
          <w:sz w:val="20"/>
          <w:szCs w:val="20"/>
          <w:color w:val="auto"/>
        </w:rPr>
      </w:pPr>
      <w:r>
        <w:rPr>
          <w:rFonts w:ascii="Courier New" w:cs="Courier New" w:eastAsia="Courier New" w:hAnsi="Courier New"/>
          <w:sz w:val="16"/>
          <w:szCs w:val="16"/>
          <w:color w:val="auto"/>
        </w:rPr>
        <w:t>Since our inception in 1988, we have been primarily engaged in research and development of human therapeutic products. As a result of a restructuring in the second half of 1999, our sole focus is now on our stem cell technology. In 1999, by contrast, our corporate headquarters, most of our employees, and the main focus of our operations were primarily devoted to a different technology--encapsulated cell therapy, or ECT. Since that time, we terminated a clinical trial of the ECT then in progress, we wound down our other operations relating to the ECT, we terminated the employment of those who worked on the ECT, we sold the ECT and we relocated from Rhode Island to California. The year 2000 was a year of transition, in which we completed the consolidation and restructuring of our operations. Comparisons with the previous year's results are correspondingly less meaningful than they may be under other circumstances.</w:t>
      </w:r>
    </w:p>
    <w:p>
      <w:pPr>
        <w:spacing w:after="0" w:line="189" w:lineRule="exact"/>
        <w:rPr>
          <w:sz w:val="20"/>
          <w:szCs w:val="20"/>
          <w:color w:val="auto"/>
        </w:rPr>
      </w:pPr>
    </w:p>
    <w:p>
      <w:pPr>
        <w:ind w:right="2999" w:firstLine="844"/>
        <w:spacing w:after="0" w:line="238" w:lineRule="auto"/>
        <w:rPr>
          <w:sz w:val="20"/>
          <w:szCs w:val="20"/>
          <w:color w:val="auto"/>
        </w:rPr>
      </w:pPr>
      <w:r>
        <w:rPr>
          <w:rFonts w:ascii="Courier New" w:cs="Courier New" w:eastAsia="Courier New" w:hAnsi="Courier New"/>
          <w:sz w:val="16"/>
          <w:szCs w:val="16"/>
          <w:color w:val="auto"/>
        </w:rPr>
        <w:t>We have not derived any revenues from the sale of any products,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w:t>
      </w:r>
    </w:p>
    <w:p>
      <w:pPr>
        <w:spacing w:after="0" w:line="36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9" w:right="1440" w:bottom="1440" w:gutter="0" w:footer="0" w:header="0"/>
        </w:sectPr>
      </w:pPr>
    </w:p>
    <w:bookmarkStart w:id="9" w:name="page10"/>
    <w:bookmarkEnd w:id="9"/>
    <w:p>
      <w:pPr>
        <w:ind w:right="3099"/>
        <w:spacing w:after="0" w:line="237" w:lineRule="auto"/>
        <w:rPr>
          <w:sz w:val="20"/>
          <w:szCs w:val="20"/>
          <w:color w:val="auto"/>
        </w:rPr>
      </w:pPr>
      <w:r>
        <w:rPr>
          <w:rFonts w:ascii="Courier New" w:cs="Courier New" w:eastAsia="Courier New" w:hAnsi="Courier New"/>
          <w:sz w:val="16"/>
          <w:szCs w:val="16"/>
          <w:color w:val="auto"/>
        </w:rPr>
        <w:t>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pacing w:after="0" w:line="187" w:lineRule="exact"/>
        <w:rPr>
          <w:sz w:val="20"/>
          <w:szCs w:val="20"/>
          <w:color w:val="auto"/>
        </w:rPr>
      </w:pPr>
    </w:p>
    <w:p>
      <w:pPr>
        <w:ind w:right="2999" w:firstLine="844"/>
        <w:spacing w:after="0" w:line="256" w:lineRule="auto"/>
        <w:rPr>
          <w:sz w:val="20"/>
          <w:szCs w:val="20"/>
          <w:color w:val="auto"/>
        </w:rPr>
      </w:pPr>
      <w:r>
        <w:rPr>
          <w:rFonts w:ascii="Courier New" w:cs="Courier New" w:eastAsia="Courier New" w:hAnsi="Courier New"/>
          <w:sz w:val="15"/>
          <w:szCs w:val="15"/>
          <w:color w:val="auto"/>
        </w:rPr>
        <w:t>Our results of operations have varied significantly from year to year and quarter to quarter and may vary significantly in the future due to the occurrence of material, nonrecurring events, including without limitation the receipt of one-time, nonrecurring licensing payments, and the initiation or termination of research collaborations, in addition to the winding-down of terminated research and development programs referred to above.</w:t>
      </w:r>
    </w:p>
    <w:p>
      <w:pPr>
        <w:spacing w:after="0" w:line="170"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RESULTS OF OPERATIONS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THREE MONTHS ENDED MARCH 31, 2001 AND 2000</w:t>
      </w:r>
    </w:p>
    <w:p>
      <w:pPr>
        <w:spacing w:after="0" w:line="185" w:lineRule="exact"/>
        <w:rPr>
          <w:sz w:val="20"/>
          <w:szCs w:val="20"/>
          <w:color w:val="auto"/>
        </w:rPr>
      </w:pPr>
    </w:p>
    <w:p>
      <w:pPr>
        <w:ind w:right="3099" w:firstLine="844"/>
        <w:spacing w:after="0" w:line="237" w:lineRule="auto"/>
        <w:rPr>
          <w:sz w:val="20"/>
          <w:szCs w:val="20"/>
          <w:color w:val="auto"/>
        </w:rPr>
      </w:pPr>
      <w:r>
        <w:rPr>
          <w:rFonts w:ascii="Courier New" w:cs="Courier New" w:eastAsia="Courier New" w:hAnsi="Courier New"/>
          <w:sz w:val="16"/>
          <w:szCs w:val="16"/>
          <w:color w:val="auto"/>
        </w:rPr>
        <w:t>For the three months ended March 31, 2001, revenues from grants totaled $100,000. There was no such revenue for the three months ended March 31, 2000.</w:t>
      </w:r>
    </w:p>
    <w:p>
      <w:pPr>
        <w:spacing w:after="0" w:line="185" w:lineRule="exact"/>
        <w:rPr>
          <w:sz w:val="20"/>
          <w:szCs w:val="20"/>
          <w:color w:val="auto"/>
        </w:rPr>
      </w:pPr>
    </w:p>
    <w:p>
      <w:pPr>
        <w:ind w:right="2999" w:firstLine="844"/>
        <w:spacing w:after="0" w:line="237" w:lineRule="auto"/>
        <w:rPr>
          <w:sz w:val="20"/>
          <w:szCs w:val="20"/>
          <w:color w:val="auto"/>
        </w:rPr>
      </w:pPr>
      <w:r>
        <w:rPr>
          <w:rFonts w:ascii="Courier New" w:cs="Courier New" w:eastAsia="Courier New" w:hAnsi="Courier New"/>
          <w:sz w:val="16"/>
          <w:szCs w:val="16"/>
          <w:color w:val="auto"/>
        </w:rPr>
        <w:t>On January 9, 2001, the Company sold 22,616 Modex shares for a net price of 182.00 Swiss francs per share, which converts to $112.76 per share, for total proceeds and a realized gain of $2,550,000. In connection with this sale, the Company agreed not to resell any more of its Modex shares until April 12, 2001.</w:t>
      </w:r>
    </w:p>
    <w:p>
      <w:pPr>
        <w:spacing w:after="0" w:line="187" w:lineRule="exact"/>
        <w:rPr>
          <w:sz w:val="20"/>
          <w:szCs w:val="20"/>
          <w:color w:val="auto"/>
        </w:rPr>
      </w:pPr>
    </w:p>
    <w:p>
      <w:pPr>
        <w:ind w:right="3179" w:firstLine="844"/>
        <w:spacing w:after="0" w:line="238" w:lineRule="auto"/>
        <w:rPr>
          <w:sz w:val="20"/>
          <w:szCs w:val="20"/>
          <w:color w:val="auto"/>
        </w:rPr>
      </w:pPr>
      <w:r>
        <w:rPr>
          <w:rFonts w:ascii="Courier New" w:cs="Courier New" w:eastAsia="Courier New" w:hAnsi="Courier New"/>
          <w:sz w:val="16"/>
          <w:szCs w:val="16"/>
          <w:color w:val="auto"/>
        </w:rPr>
        <w:t>Research and development expenses totaled $1,644,257 for the three months ended March 31, 2001, compared with $906,632 for the same period in 2000. The increase of $737,625 or 81% from 2000 to 2001 was primarily attributable to the related costs of an increase in personnel from 11 full time employees to 19 full time employees to facilitate the expansion of our research programs and initiate development and the cost of leasing a larger facility.</w:t>
      </w:r>
    </w:p>
    <w:p>
      <w:pPr>
        <w:spacing w:after="0" w:line="185" w:lineRule="exact"/>
        <w:rPr>
          <w:sz w:val="20"/>
          <w:szCs w:val="20"/>
          <w:color w:val="auto"/>
        </w:rPr>
      </w:pPr>
    </w:p>
    <w:p>
      <w:pPr>
        <w:ind w:right="3099" w:firstLine="844"/>
        <w:spacing w:after="0" w:line="238" w:lineRule="auto"/>
        <w:rPr>
          <w:sz w:val="20"/>
          <w:szCs w:val="20"/>
          <w:color w:val="auto"/>
        </w:rPr>
      </w:pPr>
      <w:r>
        <w:rPr>
          <w:rFonts w:ascii="Courier New" w:cs="Courier New" w:eastAsia="Courier New" w:hAnsi="Courier New"/>
          <w:sz w:val="16"/>
          <w:szCs w:val="16"/>
          <w:color w:val="auto"/>
        </w:rPr>
        <w:t>General and administrative expenses were $996,862 for the three months ended March 31, 2001, compared with $657,714 for the same period in 2000. The increase of $339,148, or 52%, from 2000 to 2001 was primarily attributable to the related costs of an increase in personnel from 5 full time employees to 8 full time employees, which included the hiring of senior management personnel as part of the restructuring and consolidation of our operations in California and the cost of leasing a larger facility.</w:t>
      </w:r>
    </w:p>
    <w:p>
      <w:pPr>
        <w:spacing w:after="0" w:line="185" w:lineRule="exact"/>
        <w:rPr>
          <w:sz w:val="20"/>
          <w:szCs w:val="20"/>
          <w:color w:val="auto"/>
        </w:rPr>
      </w:pPr>
    </w:p>
    <w:p>
      <w:pPr>
        <w:ind w:right="2999" w:firstLine="844"/>
        <w:spacing w:after="0" w:line="256" w:lineRule="auto"/>
        <w:rPr>
          <w:sz w:val="20"/>
          <w:szCs w:val="20"/>
          <w:color w:val="auto"/>
        </w:rPr>
      </w:pPr>
      <w:r>
        <w:rPr>
          <w:rFonts w:ascii="Courier New" w:cs="Courier New" w:eastAsia="Courier New" w:hAnsi="Courier New"/>
          <w:sz w:val="15"/>
          <w:szCs w:val="15"/>
          <w:color w:val="auto"/>
        </w:rPr>
        <w:t>Wind-down expenses related to our ECT research, our Rhode Island operations and the transfer of our headquarters to Sunnyvale, California for the three months ended March 31, 2000 were $234,386. In December 2000, we created a reserve of $1,780,578 related to the carrying costs for the Rhode Island facilities through 2001. At March 31, 2001 the reserve was $1,381,946.</w:t>
      </w:r>
    </w:p>
    <w:p>
      <w:pPr>
        <w:spacing w:after="0" w:line="176" w:lineRule="exact"/>
        <w:rPr>
          <w:sz w:val="20"/>
          <w:szCs w:val="20"/>
          <w:color w:val="auto"/>
        </w:rPr>
      </w:pPr>
    </w:p>
    <w:p>
      <w:pPr>
        <w:ind w:right="3179" w:firstLine="844"/>
        <w:spacing w:after="0" w:line="237" w:lineRule="auto"/>
        <w:rPr>
          <w:sz w:val="20"/>
          <w:szCs w:val="20"/>
          <w:color w:val="auto"/>
        </w:rPr>
      </w:pPr>
      <w:r>
        <w:rPr>
          <w:rFonts w:ascii="Courier New" w:cs="Courier New" w:eastAsia="Courier New" w:hAnsi="Courier New"/>
          <w:sz w:val="16"/>
          <w:szCs w:val="16"/>
          <w:color w:val="auto"/>
        </w:rPr>
        <w:t>Interest income for the three months ended March 31, 2001 and 2000 was $79,041 and $73,332 respectively. Interest expense of $64,460 for the three months ended March 31, 2001 was booked against the wind-down reserve created in 2000 for the whole of 2001, as the expense</w:t>
      </w:r>
    </w:p>
    <w:p>
      <w:pPr>
        <w:spacing w:after="0" w:line="36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59" w:right="1440" w:bottom="1440" w:gutter="0" w:footer="0" w:header="0"/>
        </w:sectPr>
      </w:pPr>
    </w:p>
    <w:bookmarkStart w:id="10" w:name="page11"/>
    <w:bookmarkEnd w:id="10"/>
    <w:p>
      <w:pPr>
        <w:ind w:right="3379"/>
        <w:spacing w:after="0" w:line="254" w:lineRule="auto"/>
        <w:rPr>
          <w:sz w:val="20"/>
          <w:szCs w:val="20"/>
          <w:color w:val="auto"/>
        </w:rPr>
      </w:pPr>
      <w:r>
        <w:rPr>
          <w:rFonts w:ascii="Courier New" w:cs="Courier New" w:eastAsia="Courier New" w:hAnsi="Courier New"/>
          <w:sz w:val="15"/>
          <w:szCs w:val="15"/>
          <w:color w:val="auto"/>
        </w:rPr>
        <w:t>was part of the bond payments related to the Rhode Island facilities. Interest expense for the same period in 2000 was $68,858. The decrease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was attributable to lower outstanding debt and capital lease balances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2001 compared to 2000.</w:t>
      </w:r>
    </w:p>
    <w:p>
      <w:pPr>
        <w:spacing w:after="0" w:line="185" w:lineRule="exact"/>
        <w:rPr>
          <w:sz w:val="20"/>
          <w:szCs w:val="20"/>
          <w:color w:val="auto"/>
        </w:rPr>
      </w:pPr>
    </w:p>
    <w:p>
      <w:pPr>
        <w:ind w:right="2999" w:firstLine="844"/>
        <w:spacing w:after="0" w:line="237" w:lineRule="auto"/>
        <w:rPr>
          <w:sz w:val="20"/>
          <w:szCs w:val="20"/>
          <w:color w:val="auto"/>
        </w:rPr>
      </w:pPr>
      <w:r>
        <w:rPr>
          <w:rFonts w:ascii="Courier New" w:cs="Courier New" w:eastAsia="Courier New" w:hAnsi="Courier New"/>
          <w:sz w:val="16"/>
          <w:szCs w:val="16"/>
          <w:color w:val="auto"/>
        </w:rPr>
        <w:t>Other income for the three months ended March 31, 2001 was $180,389, which was a refund from the Citizens Bank of Rhode Island for an overpayment of property taxes in prior years.</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Net income (loss) for the three months ended March 31, 2001 was</w:t>
      </w:r>
    </w:p>
    <w:p>
      <w:pPr>
        <w:spacing w:after="0"/>
        <w:rPr>
          <w:sz w:val="20"/>
          <w:szCs w:val="20"/>
          <w:color w:val="auto"/>
        </w:rPr>
      </w:pPr>
      <w:r>
        <w:rPr>
          <w:rFonts w:ascii="Courier New" w:cs="Courier New" w:eastAsia="Courier New" w:hAnsi="Courier New"/>
          <w:sz w:val="16"/>
          <w:szCs w:val="16"/>
          <w:color w:val="auto"/>
        </w:rPr>
        <w:t>$268,541 or $0.01 per share, as compared to net loss of ($1,794,258) or</w:t>
      </w:r>
    </w:p>
    <w:p>
      <w:pPr>
        <w:spacing w:after="0" w:line="237" w:lineRule="auto"/>
        <w:rPr>
          <w:sz w:val="20"/>
          <w:szCs w:val="20"/>
          <w:color w:val="auto"/>
        </w:rPr>
      </w:pPr>
      <w:r>
        <w:rPr>
          <w:rFonts w:ascii="Courier New" w:cs="Courier New" w:eastAsia="Courier New" w:hAnsi="Courier New"/>
          <w:sz w:val="16"/>
          <w:szCs w:val="16"/>
          <w:color w:val="auto"/>
        </w:rPr>
        <w:t>($0.09) per share, for the comparable period in 2000. The decrease in net</w:t>
      </w:r>
    </w:p>
    <w:p>
      <w:pPr>
        <w:spacing w:after="0"/>
        <w:rPr>
          <w:sz w:val="20"/>
          <w:szCs w:val="20"/>
          <w:color w:val="auto"/>
        </w:rPr>
      </w:pPr>
      <w:r>
        <w:rPr>
          <w:rFonts w:ascii="Courier New" w:cs="Courier New" w:eastAsia="Courier New" w:hAnsi="Courier New"/>
          <w:sz w:val="16"/>
          <w:szCs w:val="16"/>
          <w:color w:val="auto"/>
        </w:rPr>
        <w:t>loss of $2,062,800 or 115% from the same period in 2000 was primarily</w:t>
      </w:r>
    </w:p>
    <w:p>
      <w:pPr>
        <w:spacing w:after="0" w:line="238" w:lineRule="auto"/>
        <w:rPr>
          <w:sz w:val="20"/>
          <w:szCs w:val="20"/>
          <w:color w:val="auto"/>
        </w:rPr>
      </w:pPr>
      <w:r>
        <w:rPr>
          <w:rFonts w:ascii="Courier New" w:cs="Courier New" w:eastAsia="Courier New" w:hAnsi="Courier New"/>
          <w:sz w:val="16"/>
          <w:szCs w:val="16"/>
          <w:color w:val="auto"/>
        </w:rPr>
        <w:t>attributable to a realized gain of $2,550,230 from the sale of a portion of</w:t>
      </w:r>
    </w:p>
    <w:p>
      <w:pPr>
        <w:spacing w:after="0"/>
        <w:rPr>
          <w:sz w:val="20"/>
          <w:szCs w:val="20"/>
          <w:color w:val="auto"/>
        </w:rPr>
      </w:pPr>
      <w:r>
        <w:rPr>
          <w:rFonts w:ascii="Courier New" w:cs="Courier New" w:eastAsia="Courier New" w:hAnsi="Courier New"/>
          <w:sz w:val="16"/>
          <w:szCs w:val="16"/>
          <w:color w:val="auto"/>
        </w:rPr>
        <w:t>our Modex investment, offset by an increase in expenses attributable to an</w:t>
      </w:r>
    </w:p>
    <w:p>
      <w:pPr>
        <w:spacing w:after="0" w:line="238" w:lineRule="auto"/>
        <w:rPr>
          <w:sz w:val="20"/>
          <w:szCs w:val="20"/>
          <w:color w:val="auto"/>
        </w:rPr>
      </w:pPr>
      <w:r>
        <w:rPr>
          <w:rFonts w:ascii="Courier New" w:cs="Courier New" w:eastAsia="Courier New" w:hAnsi="Courier New"/>
          <w:sz w:val="16"/>
          <w:szCs w:val="16"/>
          <w:color w:val="auto"/>
        </w:rPr>
        <w:t>increase in personnel and the costs associated with our move to a larger</w:t>
      </w:r>
    </w:p>
    <w:p>
      <w:pPr>
        <w:spacing w:after="0"/>
        <w:rPr>
          <w:sz w:val="20"/>
          <w:szCs w:val="20"/>
          <w:color w:val="auto"/>
        </w:rPr>
      </w:pPr>
      <w:r>
        <w:rPr>
          <w:rFonts w:ascii="Courier New" w:cs="Courier New" w:eastAsia="Courier New" w:hAnsi="Courier New"/>
          <w:sz w:val="16"/>
          <w:szCs w:val="16"/>
          <w:color w:val="auto"/>
        </w:rPr>
        <w:t>facility.</w:t>
      </w:r>
    </w:p>
    <w:p>
      <w:pPr>
        <w:spacing w:after="0" w:line="179"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5" w:lineRule="exact"/>
        <w:rPr>
          <w:sz w:val="20"/>
          <w:szCs w:val="20"/>
          <w:color w:val="auto"/>
        </w:rPr>
      </w:pPr>
    </w:p>
    <w:p>
      <w:pPr>
        <w:ind w:right="3379" w:firstLine="844"/>
        <w:spacing w:after="0" w:line="237" w:lineRule="auto"/>
        <w:rPr>
          <w:sz w:val="20"/>
          <w:szCs w:val="20"/>
          <w:color w:val="auto"/>
        </w:rPr>
      </w:pPr>
      <w:r>
        <w:rPr>
          <w:rFonts w:ascii="Courier New" w:cs="Courier New" w:eastAsia="Courier New" w:hAnsi="Courier New"/>
          <w:sz w:val="16"/>
          <w:szCs w:val="16"/>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186" w:lineRule="exact"/>
        <w:rPr>
          <w:sz w:val="20"/>
          <w:szCs w:val="20"/>
          <w:color w:val="auto"/>
        </w:rPr>
      </w:pPr>
    </w:p>
    <w:p>
      <w:pPr>
        <w:ind w:right="2999" w:firstLine="844"/>
        <w:spacing w:after="0" w:line="238" w:lineRule="auto"/>
        <w:rPr>
          <w:sz w:val="20"/>
          <w:szCs w:val="20"/>
          <w:color w:val="auto"/>
        </w:rPr>
      </w:pPr>
      <w:r>
        <w:rPr>
          <w:rFonts w:ascii="Courier New" w:cs="Courier New" w:eastAsia="Courier New" w:hAnsi="Courier New"/>
          <w:sz w:val="16"/>
          <w:szCs w:val="16"/>
          <w:color w:val="auto"/>
        </w:rPr>
        <w:t>We had cash and cash equivalents totaling $4,499,000 at March 31, 2001. Cash equivalents are invested in money market funds. We also held shares of Modex Therapeutics Ltd ("Modex"), a Swiss biotechnology company that completed an initial public offering on June 23, 2000, and is publicly traded on the Swiss Neue Market exchange. We realized a gain in connection with the sale of a portion of our investment in Modex in the second quarter 2000 and first quarter of 2001 of $1,427,000 and $2,550,000 respectively. Our Modex stock had a fair market value of $8,412,000 on March 31, 2001. The fair market value of our Modex stock has varied significantly since the Modex public offering based on increases and decreases in the reported per share price, in Swiss francs, of the Modex stock and on foreign currency exchange rates. We had been prohibited under a lock-up agreement entered into at the time of Modex's secondary offering from selling any of our Modex holdings until December 23, 2000. On January 9, 2001, we sold 22,616 Modex shares for a net price of 182.00 Swiss francs per share, which converts to $112.76 per share, for total proceeds of $2,550,000. In connection with this sale, we agreed not to sell any more of our remaining 103,577 Modex shares until April 12, 2001. On April 30, 2001, StemCells sold its remaining 103,577 shares of Modex Therapeutics at 87.3 Swiss francs per share, or $50.51 per share at the exchange rate on that date, for total proceeds of $5,232,168 net of commissions and other fees. In addition, on April 30, 2001, the Company sold Modex Therapeutics its rights to future payments under the agreement between the Company and Neurotech S.A. by which it sold its former encapsulated cell therapy technology to Neurotech. StemCells received $300,000 for the rights to future payments.</w:t>
      </w:r>
    </w:p>
    <w:p>
      <w:pPr>
        <w:spacing w:after="0" w:line="196" w:lineRule="exact"/>
        <w:rPr>
          <w:sz w:val="20"/>
          <w:szCs w:val="20"/>
          <w:color w:val="auto"/>
        </w:rPr>
      </w:pPr>
    </w:p>
    <w:p>
      <w:pPr>
        <w:ind w:right="3099" w:firstLine="844"/>
        <w:spacing w:after="0" w:line="237" w:lineRule="auto"/>
        <w:rPr>
          <w:sz w:val="20"/>
          <w:szCs w:val="20"/>
          <w:color w:val="auto"/>
        </w:rPr>
      </w:pPr>
      <w:r>
        <w:rPr>
          <w:rFonts w:ascii="Courier New" w:cs="Courier New" w:eastAsia="Courier New" w:hAnsi="Courier New"/>
          <w:sz w:val="16"/>
          <w:szCs w:val="16"/>
          <w:color w:val="auto"/>
        </w:rPr>
        <w:t>We continue to have outstanding obligations in regard to our former facilities in Lincoln, Rhode Island, including lease payments and operating costs of approximately $1,200,000 per year associated with our former research laboratory and corporate headquarters building, and</w:t>
      </w:r>
    </w:p>
    <w:p>
      <w:pPr>
        <w:spacing w:after="0" w:line="36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9" w:right="1440" w:bottom="1440" w:gutter="0" w:footer="0" w:header="0"/>
        </w:sectPr>
      </w:pPr>
    </w:p>
    <w:bookmarkStart w:id="11" w:name="page12"/>
    <w:bookmarkEnd w:id="11"/>
    <w:p>
      <w:pPr>
        <w:ind w:right="2999"/>
        <w:spacing w:after="0" w:line="237" w:lineRule="auto"/>
        <w:rPr>
          <w:sz w:val="20"/>
          <w:szCs w:val="20"/>
          <w:color w:val="auto"/>
        </w:rPr>
      </w:pPr>
      <w:r>
        <w:rPr>
          <w:rFonts w:ascii="Courier New" w:cs="Courier New" w:eastAsia="Courier New" w:hAnsi="Courier New"/>
          <w:sz w:val="16"/>
          <w:szCs w:val="16"/>
          <w:color w:val="auto"/>
        </w:rPr>
        <w:t>debt service payments and operating costs of approximately $1,000,000 per year with respect to our pilot manufacturing and cell processing facility. We have subleased a portion of these facilities and are actively seeking to sublease, assign or sell our remaining interests in these facilities. Failure to do so within a reasonable period of time will have a material adverse effect on our liquidity and capital resources.</w:t>
      </w:r>
    </w:p>
    <w:p>
      <w:pPr>
        <w:spacing w:after="0" w:line="189" w:lineRule="exact"/>
        <w:rPr>
          <w:sz w:val="20"/>
          <w:szCs w:val="20"/>
          <w:color w:val="auto"/>
        </w:rPr>
      </w:pPr>
    </w:p>
    <w:p>
      <w:pPr>
        <w:ind w:right="2999" w:firstLine="844"/>
        <w:spacing w:after="0" w:line="255" w:lineRule="auto"/>
        <w:rPr>
          <w:sz w:val="20"/>
          <w:szCs w:val="20"/>
          <w:color w:val="auto"/>
        </w:rPr>
      </w:pPr>
      <w:r>
        <w:rPr>
          <w:rFonts w:ascii="Courier New" w:cs="Courier New" w:eastAsia="Courier New" w:hAnsi="Courier New"/>
          <w:sz w:val="15"/>
          <w:szCs w:val="15"/>
          <w:color w:val="auto"/>
        </w:rPr>
        <w:t>On August 3, 2000, we completed a $4 million common stock financing transaction with Millennium Partners, LP, or the Fund, an investment fund with more than a billion dollars in assets under management. We received $3 million of the purchase price at the closing and received the remaining $1 million upon effectiveness of a registration statement covering the shares purchased by the Fund. The Fund purchased our common stock at $4.33 per share. The Fund became entitled, pursuant to an adjustable warrant issued in connection with the sale of common stock to the Fund, to receive 463,369 additional shares of common stock on January 27, 2001, and it has exercised its warrant as to such shares at $0.01 per share. The Fund may become entitled to receive additional shares every three months thereafter until October, 2002. The number of additional shares the Fund may be entitled to on each date will be based on the number of shares of common stock the Fund continues to hold on each date and the market price of our common stock over a period prior to each date. We will have the right, under certain circumstances, to cap the number of additional shares by purchasing part of the entitlement from the Fund. The Fund also received a warrant to purchase up to 101,587 shares of common stock at $4.725 per share. This warrant is callable by us at $7.875 per underlying share.</w:t>
      </w:r>
    </w:p>
    <w:p>
      <w:pPr>
        <w:spacing w:after="0" w:line="35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In addition, the Fund has the option for twelve months to purchase</w:t>
      </w:r>
    </w:p>
    <w:p>
      <w:pPr>
        <w:spacing w:after="0"/>
        <w:rPr>
          <w:sz w:val="20"/>
          <w:szCs w:val="20"/>
          <w:color w:val="auto"/>
        </w:rPr>
      </w:pPr>
      <w:r>
        <w:rPr>
          <w:rFonts w:ascii="Courier New" w:cs="Courier New" w:eastAsia="Courier New" w:hAnsi="Courier New"/>
          <w:sz w:val="16"/>
          <w:szCs w:val="16"/>
          <w:color w:val="auto"/>
        </w:rPr>
        <w:t>up to $3 million of additional common stock. On August 23, 2000 the Fund</w:t>
      </w:r>
    </w:p>
    <w:p>
      <w:pPr>
        <w:spacing w:after="0" w:line="237" w:lineRule="auto"/>
        <w:rPr>
          <w:sz w:val="20"/>
          <w:szCs w:val="20"/>
          <w:color w:val="auto"/>
        </w:rPr>
      </w:pPr>
      <w:r>
        <w:rPr>
          <w:rFonts w:ascii="Courier New" w:cs="Courier New" w:eastAsia="Courier New" w:hAnsi="Courier New"/>
          <w:sz w:val="16"/>
          <w:szCs w:val="16"/>
          <w:color w:val="auto"/>
        </w:rPr>
        <w:t>exercised $1,000,000 of its option to purchase additional common stock at</w:t>
      </w:r>
    </w:p>
    <w:p>
      <w:pPr>
        <w:spacing w:after="0"/>
        <w:rPr>
          <w:sz w:val="20"/>
          <w:szCs w:val="20"/>
          <w:color w:val="auto"/>
        </w:rPr>
      </w:pPr>
      <w:r>
        <w:rPr>
          <w:rFonts w:ascii="Courier New" w:cs="Courier New" w:eastAsia="Courier New" w:hAnsi="Courier New"/>
          <w:sz w:val="16"/>
          <w:szCs w:val="16"/>
          <w:color w:val="auto"/>
        </w:rPr>
        <w:t>$5.53 per share. The Fund paid $750,000 of the purchase price in connection</w:t>
      </w:r>
    </w:p>
    <w:p>
      <w:pPr>
        <w:spacing w:after="0" w:line="238" w:lineRule="auto"/>
        <w:rPr>
          <w:sz w:val="20"/>
          <w:szCs w:val="20"/>
          <w:color w:val="auto"/>
        </w:rPr>
      </w:pPr>
      <w:r>
        <w:rPr>
          <w:rFonts w:ascii="Courier New" w:cs="Courier New" w:eastAsia="Courier New" w:hAnsi="Courier New"/>
          <w:sz w:val="16"/>
          <w:szCs w:val="16"/>
          <w:color w:val="auto"/>
        </w:rPr>
        <w:t>with the closing on August 30, 2000, and paid the remaining $250,000 upon</w:t>
      </w:r>
    </w:p>
    <w:p>
      <w:pPr>
        <w:spacing w:after="0"/>
        <w:rPr>
          <w:sz w:val="20"/>
          <w:szCs w:val="20"/>
          <w:color w:val="auto"/>
        </w:rPr>
      </w:pPr>
      <w:r>
        <w:rPr>
          <w:rFonts w:ascii="Courier New" w:cs="Courier New" w:eastAsia="Courier New" w:hAnsi="Courier New"/>
          <w:sz w:val="16"/>
          <w:szCs w:val="16"/>
          <w:color w:val="auto"/>
        </w:rPr>
        <w:t>effectiveness of a registration statement covering the shares owned by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 At the closing on August 30, 2000, we issued to the Fund an adjustable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 similar to the one issued on August 3, 2000. T his adjustable warrant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 canceled by agreement between us and the Fund on November 1, 2000.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 also received a warrant to purchase up to 19,900 shares of 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$6.03 per share. This warrant is callable by us at $10.05 per underlying</w:t>
      </w:r>
    </w:p>
    <w:p>
      <w:pPr>
        <w:spacing w:after="0"/>
        <w:rPr>
          <w:sz w:val="20"/>
          <w:szCs w:val="20"/>
          <w:color w:val="auto"/>
        </w:rPr>
      </w:pPr>
      <w:r>
        <w:rPr>
          <w:rFonts w:ascii="Courier New" w:cs="Courier New" w:eastAsia="Courier New" w:hAnsi="Courier New"/>
          <w:sz w:val="16"/>
          <w:szCs w:val="16"/>
          <w:color w:val="auto"/>
        </w:rPr>
        <w:t>share.</w:t>
      </w:r>
    </w:p>
    <w:p>
      <w:pPr>
        <w:spacing w:after="0" w:line="184" w:lineRule="exact"/>
        <w:rPr>
          <w:sz w:val="20"/>
          <w:szCs w:val="20"/>
          <w:color w:val="auto"/>
        </w:rPr>
      </w:pPr>
    </w:p>
    <w:p>
      <w:pPr>
        <w:ind w:right="2999" w:firstLine="844"/>
        <w:spacing w:after="0" w:line="238" w:lineRule="auto"/>
        <w:rPr>
          <w:sz w:val="20"/>
          <w:szCs w:val="20"/>
          <w:color w:val="auto"/>
        </w:rPr>
      </w:pPr>
      <w:r>
        <w:rPr>
          <w:rFonts w:ascii="Courier New" w:cs="Courier New" w:eastAsia="Courier New" w:hAnsi="Courier New"/>
          <w:sz w:val="16"/>
          <w:szCs w:val="16"/>
          <w:color w:val="auto"/>
        </w:rPr>
        <w:t>We have limited liquidity and capital resources and must obtain significant additional capital resources in the future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and for general and administrative expenses. Our ability to obtain additional capital will be substantially dependent on our ability to obtain partnering support for our stem cell technology and, in the near term, on our ability to realize proceeds from the sale, assignment or sublease of our facilities in Rhode Island. Failure to do so will have a material effect on our liquidity and capital resources. Until our operations generate significant revenues from product sales, we must rely on cash reserves and proceeds from equity and debt offerings, proceeds from the transfer or sale of our intellectual property rights, equipment, facilities or investments, government grants and funding from collaborative arrangements, if obtainable, to fund our operations.</w:t>
      </w:r>
    </w:p>
    <w:p>
      <w:pPr>
        <w:spacing w:after="0" w:line="366"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59" w:right="1440" w:bottom="1440" w:gutter="0" w:footer="0" w:header="0"/>
        </w:sectPr>
      </w:pPr>
    </w:p>
    <w:bookmarkStart w:id="12" w:name="page13"/>
    <w:bookmarkEnd w:id="12"/>
    <w:p>
      <w:pPr>
        <w:ind w:right="2999" w:firstLine="844"/>
        <w:spacing w:after="0" w:line="238" w:lineRule="auto"/>
        <w:rPr>
          <w:sz w:val="20"/>
          <w:szCs w:val="20"/>
          <w:color w:val="auto"/>
        </w:rPr>
      </w:pPr>
      <w:r>
        <w:rPr>
          <w:rFonts w:ascii="Courier New" w:cs="Courier New" w:eastAsia="Courier New" w:hAnsi="Courier New"/>
          <w:sz w:val="16"/>
          <w:szCs w:val="16"/>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Lack of necessary funds may require us to delay, reduce or eliminate some or all of our research and product development programs or to license our potential products or technologies to third parties. Funding may not be available when needed--at all, or on terms acceptable to us. While our cash requirements may vary, as noted above, we currently expect that our existing capital resources, including income earned on invested capital, will be sufficient to fund our operations through December of 2001. Our cash requirements may vary, however, depending on numerous factors. Lack of necessary funds may require us to delay, scale back or eliminate some or all of our research and product development programs and/or our capital expenditures or to license our potential products or technologies to third parties.</w:t>
      </w:r>
    </w:p>
    <w:p>
      <w:pPr>
        <w:spacing w:after="0" w:line="191" w:lineRule="exact"/>
        <w:rPr>
          <w:sz w:val="20"/>
          <w:szCs w:val="20"/>
          <w:color w:val="auto"/>
        </w:rPr>
      </w:pPr>
    </w:p>
    <w:p>
      <w:pPr>
        <w:ind w:right="2999" w:firstLine="844"/>
        <w:spacing w:after="0" w:line="255" w:lineRule="auto"/>
        <w:rPr>
          <w:sz w:val="20"/>
          <w:szCs w:val="20"/>
          <w:color w:val="auto"/>
        </w:rPr>
      </w:pPr>
      <w:r>
        <w:rPr>
          <w:rFonts w:ascii="Courier New" w:cs="Courier New" w:eastAsia="Courier New" w:hAnsi="Courier New"/>
          <w:sz w:val="15"/>
          <w:szCs w:val="15"/>
          <w:color w:val="auto"/>
        </w:rPr>
        <w:t>On May 11, 2001, we entered into a definitive agreement with an institutional investor to provide us with up to $30,000,000 in equity financing. Under the 30-month agreement, we will have the right, but not the obligation, to obtain the financing through the issuance of common stock to the investor in a series of periodic draw downs at a discount to the market price at the time of sale. The shares may be sold to the investor during this period at times and in amounts, subject to certain minimum and maximum volumes, determined at the our discretion. We have agreed to file a registration statement for resale of any shares purchased under this equity line and to maintain the effectiveness of the registration statement to permit the resale. If we choose to draw down on the equity line, it will use the proceeds of the financing for general corporate purposes.</w:t>
      </w:r>
    </w:p>
    <w:p>
      <w:pPr>
        <w:spacing w:after="0" w:line="178" w:lineRule="exact"/>
        <w:rPr>
          <w:sz w:val="20"/>
          <w:szCs w:val="20"/>
          <w:color w:val="auto"/>
        </w:rPr>
      </w:pPr>
    </w:p>
    <w:p>
      <w:pPr>
        <w:ind w:right="3099" w:firstLine="844"/>
        <w:spacing w:after="0" w:line="237" w:lineRule="auto"/>
        <w:rPr>
          <w:sz w:val="20"/>
          <w:szCs w:val="20"/>
          <w:color w:val="auto"/>
        </w:rPr>
      </w:pPr>
      <w:r>
        <w:rPr>
          <w:rFonts w:ascii="Courier New" w:cs="Courier New" w:eastAsia="Courier New" w:hAnsi="Courier New"/>
          <w:sz w:val="16"/>
          <w:szCs w:val="16"/>
          <w:color w:val="auto"/>
        </w:rPr>
        <w:t>In connection with the entry into the equity line agreement, we issued a three-year stock purchase warrant to the investor to purchase up to an additional 250,000 shares of our common stock.</w:t>
      </w:r>
    </w:p>
    <w:p>
      <w:pPr>
        <w:spacing w:after="0" w:line="185" w:lineRule="exact"/>
        <w:rPr>
          <w:sz w:val="20"/>
          <w:szCs w:val="20"/>
          <w:color w:val="auto"/>
        </w:rPr>
      </w:pPr>
    </w:p>
    <w:p>
      <w:pPr>
        <w:ind w:right="3099" w:firstLine="844"/>
        <w:spacing w:after="0" w:line="238" w:lineRule="auto"/>
        <w:rPr>
          <w:sz w:val="20"/>
          <w:szCs w:val="20"/>
          <w:color w:val="auto"/>
        </w:rPr>
      </w:pPr>
      <w:r>
        <w:rPr>
          <w:rFonts w:ascii="Courier New" w:cs="Courier New" w:eastAsia="Courier New" w:hAnsi="Courier New"/>
          <w:sz w:val="16"/>
          <w:szCs w:val="16"/>
          <w:color w:val="auto"/>
        </w:rPr>
        <w:t>The shares issued in connection with this equity financing may not be sold nor may offers to buy be accepted prior to the time a registration statement relating to the resale of the shares has been filed and becomes effective. This prospectus supplement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180"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QUANTITATIVE AND QUALITATIVE DISCLOSURES ABOUT MARKET RISK</w:t>
      </w:r>
    </w:p>
    <w:p>
      <w:pPr>
        <w:spacing w:after="0" w:line="185" w:lineRule="exact"/>
        <w:rPr>
          <w:sz w:val="20"/>
          <w:szCs w:val="20"/>
          <w:color w:val="auto"/>
        </w:rPr>
      </w:pPr>
    </w:p>
    <w:p>
      <w:pPr>
        <w:ind w:right="2999" w:firstLine="844"/>
        <w:spacing w:after="0" w:line="256" w:lineRule="auto"/>
        <w:rPr>
          <w:sz w:val="20"/>
          <w:szCs w:val="20"/>
          <w:color w:val="auto"/>
        </w:rPr>
      </w:pPr>
      <w:r>
        <w:rPr>
          <w:rFonts w:ascii="Courier New" w:cs="Courier New" w:eastAsia="Courier New" w:hAnsi="Courier New"/>
          <w:sz w:val="15"/>
          <w:szCs w:val="15"/>
          <w:color w:val="auto"/>
        </w:rPr>
        <w:t>On March 31, 2001, we had an investment in common stock of Modex Therapeutics Ltd. (Modex), a Swiss Biotherapeutics company. Our value in this investment was subject to both equity price risk and foreign currency exchange risk. Modex shares were offered in an initial public offering ("IPO") on the Swiss Neue Market on June 23, 2000 at a price of 168.00 Swiss</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59" w:right="1440" w:bottom="1440" w:gutter="0" w:footer="0" w:header="0"/>
        </w:sectPr>
      </w:pPr>
    </w:p>
    <w:bookmarkStart w:id="13" w:name="page14"/>
    <w:bookmarkEnd w:id="13"/>
    <w:p>
      <w:pPr>
        <w:ind w:left="4" w:right="4040"/>
        <w:spacing w:after="0" w:line="255" w:lineRule="auto"/>
        <w:rPr>
          <w:sz w:val="20"/>
          <w:szCs w:val="20"/>
          <w:color w:val="auto"/>
        </w:rPr>
      </w:pPr>
      <w:r>
        <w:rPr>
          <w:rFonts w:ascii="Courier New" w:cs="Courier New" w:eastAsia="Courier New" w:hAnsi="Courier New"/>
          <w:sz w:val="15"/>
          <w:szCs w:val="15"/>
          <w:color w:val="auto"/>
        </w:rPr>
        <w:t>francs. From the date of the IPO to March 9, 2001, the Modex closing share price has fluctuated from a high of 390.00 Swiss francs on October 6, 2000 to a low of 92.00 Swiss francs on April 27, 2001. On January 9, 2001, we sold 22,616 Modex shares for a net price of 182.00 Swiss francs per share, which converts to $112.76 per share, for total proceeds of $2,550,230. In connection with this sale, we agreed not to resell any more of our Modex shares until April 12, 2001. On March 31, 2001 the market price of Modex stock was 141.00 Swiss francs which converts to $81.22 using exchange rates on that date, which represented an estimated fair market value of $8,412,650.</w:t>
      </w:r>
    </w:p>
    <w:p>
      <w:pPr>
        <w:spacing w:after="0" w:line="179" w:lineRule="exact"/>
        <w:rPr>
          <w:sz w:val="20"/>
          <w:szCs w:val="20"/>
          <w:color w:val="auto"/>
        </w:rPr>
      </w:pPr>
    </w:p>
    <w:p>
      <w:pPr>
        <w:ind w:left="4" w:right="4140" w:firstLine="844"/>
        <w:spacing w:after="0" w:line="237" w:lineRule="auto"/>
        <w:rPr>
          <w:sz w:val="20"/>
          <w:szCs w:val="20"/>
          <w:color w:val="auto"/>
        </w:rPr>
      </w:pPr>
      <w:r>
        <w:rPr>
          <w:rFonts w:ascii="Courier New" w:cs="Courier New" w:eastAsia="Courier New" w:hAnsi="Courier New"/>
          <w:sz w:val="16"/>
          <w:szCs w:val="16"/>
          <w:color w:val="auto"/>
        </w:rPr>
        <w:t>On April 30, 2001, StemCells sold its remaining 103,577 shares of Modex Therapeutics at 87.3 Swiss francs per share, which converts to $ 50.51 per share at the exchange rate for that date, for total proceeds of approximately $5,232,168 net of commissions and other fees.</w:t>
      </w:r>
    </w:p>
    <w:p>
      <w:pPr>
        <w:spacing w:after="0" w:line="200" w:lineRule="exact"/>
        <w:rPr>
          <w:sz w:val="20"/>
          <w:szCs w:val="20"/>
          <w:color w:val="auto"/>
        </w:rPr>
      </w:pPr>
    </w:p>
    <w:p>
      <w:pPr>
        <w:spacing w:after="0" w:line="347"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 ----------------------- --------------------------------- -----------------------------------------</w:t>
      </w:r>
    </w:p>
    <w:p>
      <w:pPr>
        <w:spacing w:after="0" w:line="5" w:lineRule="exact"/>
        <w:rPr>
          <w:sz w:val="20"/>
          <w:szCs w:val="20"/>
          <w:color w:val="auto"/>
        </w:rPr>
      </w:pPr>
    </w:p>
    <w:p>
      <w:pPr>
        <w:ind w:left="184"/>
        <w:spacing w:after="0"/>
        <w:tabs>
          <w:tab w:leader="none" w:pos="2223" w:val="left"/>
          <w:tab w:leader="none" w:pos="4303" w:val="left"/>
          <w:tab w:leader="none" w:pos="8803" w:val="left"/>
        </w:tabs>
        <w:rPr>
          <w:sz w:val="20"/>
          <w:szCs w:val="20"/>
          <w:color w:val="auto"/>
        </w:rPr>
      </w:pPr>
      <w:r>
        <w:rPr>
          <w:rFonts w:ascii="Courier New" w:cs="Courier New" w:eastAsia="Courier New" w:hAnsi="Courier New"/>
          <w:sz w:val="16"/>
          <w:szCs w:val="16"/>
          <w:color w:val="auto"/>
        </w:rPr>
        <w:t>NO. OF SHARES</w:t>
      </w:r>
      <w:r>
        <w:rPr>
          <w:sz w:val="20"/>
          <w:szCs w:val="20"/>
          <w:color w:val="auto"/>
        </w:rPr>
        <w:tab/>
      </w:r>
      <w:r>
        <w:rPr>
          <w:rFonts w:ascii="Courier New" w:cs="Courier New" w:eastAsia="Courier New" w:hAnsi="Courier New"/>
          <w:sz w:val="16"/>
          <w:szCs w:val="16"/>
          <w:color w:val="auto"/>
        </w:rPr>
        <w:t>DESCRIPTION</w:t>
      </w:r>
      <w:r>
        <w:rPr>
          <w:sz w:val="20"/>
          <w:szCs w:val="20"/>
          <w:color w:val="auto"/>
        </w:rPr>
        <w:tab/>
      </w:r>
      <w:r>
        <w:rPr>
          <w:rFonts w:ascii="Courier New" w:cs="Courier New" w:eastAsia="Courier New" w:hAnsi="Courier New"/>
          <w:sz w:val="16"/>
          <w:szCs w:val="16"/>
          <w:color w:val="auto"/>
        </w:rPr>
        <w:t>ASSOCIATED RISKS VALUED AT</w:t>
      </w:r>
      <w:r>
        <w:rPr>
          <w:sz w:val="20"/>
          <w:szCs w:val="20"/>
          <w:color w:val="auto"/>
        </w:rPr>
        <w:tab/>
      </w:r>
      <w:r>
        <w:rPr>
          <w:rFonts w:ascii="Courier New" w:cs="Courier New" w:eastAsia="Courier New" w:hAnsi="Courier New"/>
          <w:sz w:val="15"/>
          <w:szCs w:val="15"/>
          <w:color w:val="auto"/>
        </w:rPr>
        <w:t>MARKET</w:t>
      </w:r>
    </w:p>
    <w:p>
      <w:pPr>
        <w:ind w:left="8264"/>
        <w:spacing w:after="0"/>
        <w:rPr>
          <w:sz w:val="20"/>
          <w:szCs w:val="20"/>
          <w:color w:val="auto"/>
        </w:rPr>
      </w:pPr>
      <w:r>
        <w:rPr>
          <w:rFonts w:ascii="Courier New" w:cs="Courier New" w:eastAsia="Courier New" w:hAnsi="Courier New"/>
          <w:sz w:val="16"/>
          <w:szCs w:val="16"/>
          <w:color w:val="auto"/>
        </w:rPr>
        <w:t>SALES PROCEEDS ON</w:t>
      </w:r>
    </w:p>
    <w:p>
      <w:pPr>
        <w:ind w:left="7404"/>
        <w:spacing w:after="0"/>
        <w:tabs>
          <w:tab w:leader="none" w:pos="9363" w:val="left"/>
        </w:tabs>
        <w:rPr>
          <w:sz w:val="20"/>
          <w:szCs w:val="20"/>
          <w:color w:val="auto"/>
        </w:rPr>
      </w:pPr>
      <w:r>
        <w:rPr>
          <w:rFonts w:ascii="Courier New" w:cs="Courier New" w:eastAsia="Courier New" w:hAnsi="Courier New"/>
          <w:sz w:val="16"/>
          <w:szCs w:val="16"/>
          <w:color w:val="auto"/>
        </w:rPr>
        <w:t>MARCH 31, 2001</w:t>
      </w:r>
      <w:r>
        <w:rPr>
          <w:sz w:val="20"/>
          <w:szCs w:val="20"/>
          <w:color w:val="auto"/>
        </w:rPr>
        <w:tab/>
      </w:r>
      <w:r>
        <w:rPr>
          <w:rFonts w:ascii="Courier New" w:cs="Courier New" w:eastAsia="Courier New" w:hAnsi="Courier New"/>
          <w:sz w:val="15"/>
          <w:szCs w:val="15"/>
          <w:color w:val="auto"/>
        </w:rPr>
        <w:t>APRIL 30, 2001</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 ----------------------- --------------------------------- -------------------- --------------------</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122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5"/>
              </w:rPr>
              <w:t>103,577</w:t>
            </w:r>
          </w:p>
        </w:tc>
        <w:tc>
          <w:tcPr>
            <w:tcW w:w="2520" w:type="dxa"/>
            <w:vAlign w:val="bottom"/>
          </w:tcPr>
          <w:p>
            <w:pPr>
              <w:ind w:left="560"/>
              <w:spacing w:after="0"/>
              <w:rPr>
                <w:sz w:val="20"/>
                <w:szCs w:val="20"/>
                <w:color w:val="auto"/>
              </w:rPr>
            </w:pPr>
            <w:r>
              <w:rPr>
                <w:rFonts w:ascii="Courier New" w:cs="Courier New" w:eastAsia="Courier New" w:hAnsi="Courier New"/>
                <w:sz w:val="16"/>
                <w:szCs w:val="16"/>
                <w:color w:val="auto"/>
              </w:rPr>
              <w:t>Modex Therapeutics</w:t>
            </w:r>
          </w:p>
        </w:tc>
        <w:tc>
          <w:tcPr>
            <w:tcW w:w="2820" w:type="dxa"/>
            <w:vAlign w:val="bottom"/>
          </w:tcPr>
          <w:p>
            <w:pPr>
              <w:ind w:left="280"/>
              <w:spacing w:after="0"/>
              <w:rPr>
                <w:sz w:val="20"/>
                <w:szCs w:val="20"/>
                <w:color w:val="auto"/>
              </w:rPr>
            </w:pPr>
            <w:r>
              <w:rPr>
                <w:rFonts w:ascii="Courier New" w:cs="Courier New" w:eastAsia="Courier New" w:hAnsi="Courier New"/>
                <w:sz w:val="16"/>
                <w:szCs w:val="16"/>
                <w:color w:val="auto"/>
              </w:rPr>
              <w:t>Equity/Foreign</w:t>
            </w:r>
          </w:p>
        </w:tc>
        <w:tc>
          <w:tcPr>
            <w:tcW w:w="21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$8,412,650</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$5,232,168</w:t>
            </w:r>
          </w:p>
        </w:tc>
      </w:tr>
      <w:tr>
        <w:trPr>
          <w:trHeight w:val="180"/>
        </w:trPr>
        <w:tc>
          <w:tcPr>
            <w:tcW w:w="12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820" w:type="dxa"/>
            <w:vAlign w:val="bottom"/>
          </w:tcPr>
          <w:p>
            <w:pPr>
              <w:ind w:left="280"/>
              <w:spacing w:after="0"/>
              <w:rPr>
                <w:sz w:val="20"/>
                <w:szCs w:val="20"/>
                <w:color w:val="auto"/>
              </w:rPr>
            </w:pPr>
            <w:r>
              <w:rPr>
                <w:rFonts w:ascii="Courier New" w:cs="Courier New" w:eastAsia="Courier New" w:hAnsi="Courier New"/>
                <w:sz w:val="16"/>
                <w:szCs w:val="16"/>
                <w:color w:val="auto"/>
              </w:rPr>
              <w:t>Currency Translation</w:t>
            </w:r>
          </w:p>
        </w:tc>
        <w:tc>
          <w:tcPr>
            <w:tcW w:w="2120" w:type="dxa"/>
            <w:vAlign w:val="bottom"/>
          </w:tcPr>
          <w:p>
            <w:pPr>
              <w:spacing w:after="0"/>
              <w:rPr>
                <w:sz w:val="15"/>
                <w:szCs w:val="15"/>
                <w:color w:val="auto"/>
              </w:rPr>
            </w:pPr>
          </w:p>
        </w:tc>
        <w:tc>
          <w:tcPr>
            <w:tcW w:w="1440" w:type="dxa"/>
            <w:vAlign w:val="bottom"/>
          </w:tcPr>
          <w:p>
            <w:pPr>
              <w:spacing w:after="0"/>
              <w:rPr>
                <w:sz w:val="15"/>
                <w:szCs w:val="15"/>
                <w:color w:val="auto"/>
              </w:rPr>
            </w:pPr>
          </w:p>
        </w:tc>
      </w:tr>
    </w:tbl>
    <w:p>
      <w:pPr>
        <w:spacing w:after="0" w:line="4" w:lineRule="exact"/>
        <w:rPr>
          <w:sz w:val="20"/>
          <w:szCs w:val="20"/>
          <w:color w:val="auto"/>
        </w:rPr>
      </w:pPr>
    </w:p>
    <w:p>
      <w:pPr>
        <w:ind w:left="184" w:hanging="184"/>
        <w:spacing w:after="0"/>
        <w:tabs>
          <w:tab w:leader="none" w:pos="18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spacing w:after="0" w:line="200" w:lineRule="exact"/>
        <w:rPr>
          <w:rFonts w:ascii="Courier New" w:cs="Courier New" w:eastAsia="Courier New" w:hAnsi="Courier New"/>
          <w:sz w:val="15"/>
          <w:szCs w:val="15"/>
          <w:color w:val="auto"/>
        </w:rPr>
      </w:pPr>
    </w:p>
    <w:p>
      <w:pPr>
        <w:spacing w:after="0" w:line="346" w:lineRule="exact"/>
        <w:rPr>
          <w:rFonts w:ascii="Courier New" w:cs="Courier New" w:eastAsia="Courier New" w:hAnsi="Courier New"/>
          <w:sz w:val="15"/>
          <w:szCs w:val="15"/>
          <w:color w:val="auto"/>
        </w:rPr>
      </w:pPr>
    </w:p>
    <w:p>
      <w:pPr>
        <w:ind w:left="35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-14-</w:t>
      </w:r>
    </w:p>
    <w:sectPr>
      <w:pgSz w:w="11900" w:h="16838" w:orient="portrait"/>
      <w:cols w:equalWidth="0" w:num="1">
        <w:col w:w="11264"/>
      </w:cols>
      <w:pgMar w:left="236" w:top="65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2019-12-13T21:01:20Z</dcterms:created>
  <dcterms:modified xsi:type="dcterms:W3CDTF">2019-12-13T21:01:20Z</dcterms:modified>
</cp:coreProperties>
</file>