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Stratton Kenneth Blair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STEMCELLS,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7707 GATEWAY BLVD, STE 140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12/29/2015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General Counsel</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4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7"/>
          </w:tcPr>
          <w:p>
            <w:pPr>
              <w:ind w:left="50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ind w:left="50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NEWARK</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94560</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5840" w:type="dxa"/>
            <w:vAlign w:val="bottom"/>
            <w:tcBorders>
              <w:bottom w:val="single" w:sz="8" w:color="2C2C2C"/>
            </w:tcBorders>
            <w:gridSpan w:val="11"/>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40" w:type="dxa"/>
            <w:vAlign w:val="bottom"/>
            <w:gridSpan w:val="3"/>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80"/>
              <w:spacing w:after="0"/>
              <w:rPr>
                <w:sz w:val="20"/>
                <w:szCs w:val="20"/>
                <w:color w:val="auto"/>
              </w:rPr>
            </w:pPr>
            <w:r>
              <w:rPr>
                <w:rFonts w:ascii="Arial" w:cs="Arial" w:eastAsia="Arial" w:hAnsi="Arial"/>
                <w:sz w:val="18"/>
                <w:szCs w:val="18"/>
                <w:color w:val="0000FF"/>
              </w:rPr>
              <w:t>12/29/2015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w w:val="98"/>
              </w:rPr>
              <w:t>104,549</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0.4512</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jc w:val="center"/>
              <w:ind w:right="197"/>
              <w:spacing w:after="0"/>
              <w:rPr>
                <w:sz w:val="20"/>
                <w:szCs w:val="20"/>
                <w:color w:val="auto"/>
              </w:rPr>
            </w:pPr>
            <w:r>
              <w:rPr>
                <w:rFonts w:ascii="Arial" w:cs="Arial" w:eastAsia="Arial" w:hAnsi="Arial"/>
                <w:sz w:val="18"/>
                <w:szCs w:val="18"/>
                <w:color w:val="0000FF"/>
              </w:rPr>
              <w:t>556,525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337"/>
              <w:spacing w:after="0"/>
              <w:rPr>
                <w:sz w:val="20"/>
                <w:szCs w:val="20"/>
                <w:color w:val="auto"/>
              </w:rPr>
            </w:pPr>
            <w:r>
              <w:rPr>
                <w:rFonts w:ascii="Arial" w:cs="Arial" w:eastAsia="Arial" w:hAnsi="Arial"/>
                <w:sz w:val="18"/>
                <w:szCs w:val="18"/>
                <w:color w:val="0000FF"/>
                <w:w w:val="83"/>
              </w:rPr>
              <w:t>36,081</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Plan</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3"/>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9"/>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$0.4512 per share price was the weighted average price of open market sales by Mr. Stratton on 12/29/2015. Actual prices ranged from $0.4411 per share to $0.4699 per share. Mr. Stratton will provide full information about the number of shares sold at each price, upon request by the SEC, the issuer or any security holder of the issuer.</w:t>
      </w:r>
    </w:p>
    <w:p>
      <w:pPr>
        <w:spacing w:after="0" w:line="30" w:lineRule="exact"/>
        <w:rPr>
          <w:rFonts w:ascii="Arial" w:cs="Arial" w:eastAsia="Arial" w:hAnsi="Arial"/>
          <w:sz w:val="14"/>
          <w:szCs w:val="14"/>
          <w:color w:val="008000"/>
        </w:rPr>
      </w:pPr>
    </w:p>
    <w:p>
      <w:pPr>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 140,000 restricted stock units, with 70,000 of these vesting on each of May 24, 2016 and May 24, 2017; (2) 32,500 restricted stock units vesting on January 27, 2016; (3) 240,000 restricted stock units, with 80,000 of these vesting on each of January 8, 2016, January 8, 2017 and January 8, 2018; and (4) 80,000 restricted stock units with performance based vesting.</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401(k) account, in accordance with issuer's employer-match policies.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Pr>
          <w:p>
            <w:pPr>
              <w:spacing w:after="0"/>
              <w:rPr>
                <w:sz w:val="20"/>
                <w:szCs w:val="20"/>
                <w:color w:val="auto"/>
              </w:rPr>
            </w:pPr>
            <w:r>
              <w:rPr>
                <w:rFonts w:ascii="Arial" w:cs="Arial" w:eastAsia="Arial" w:hAnsi="Arial"/>
                <w:sz w:val="18"/>
                <w:szCs w:val="18"/>
                <w:color w:val="0000FF"/>
                <w:w w:val="88"/>
              </w:rPr>
              <w:t>/s/ Kenneth B. Stratton</w:t>
            </w:r>
          </w:p>
        </w:tc>
        <w:tc>
          <w:tcPr>
            <w:tcW w:w="5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12/30/2015</w:t>
            </w:r>
          </w:p>
        </w:tc>
      </w:tr>
      <w:tr>
        <w:trPr>
          <w:trHeight w:val="20"/>
        </w:trPr>
        <w:tc>
          <w:tcPr>
            <w:tcW w:w="1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6132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2019-12-24T03:10:37Z</dcterms:created>
  <dcterms:modified xsi:type="dcterms:W3CDTF">2019-12-24T03:10:37Z</dcterms:modified>
</cp:coreProperties>
</file>