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0"/>
          <w:szCs w:val="20"/>
          <w:color w:val="auto"/>
        </w:rPr>
      </w:pPr>
    </w:p>
    <w:p>
      <w:pPr>
        <w:spacing w:after="0"/>
        <w:tabs>
          <w:tab w:leader="none" w:pos="8840" w:val="left"/>
        </w:tabs>
        <w:rPr>
          <w:sz w:val="20"/>
          <w:szCs w:val="20"/>
          <w:color w:val="auto"/>
        </w:rPr>
      </w:pPr>
      <w:r>
        <w:rPr>
          <w:rFonts w:ascii="Arial" w:cs="Arial" w:eastAsia="Arial" w:hAnsi="Arial"/>
          <w:sz w:val="18"/>
          <w:szCs w:val="18"/>
          <w:color w:val="auto"/>
        </w:rPr>
        <w:t>For the quarter ended: March 31, 2005</w:t>
      </w:r>
      <w:r>
        <w:rPr>
          <w:sz w:val="20"/>
          <w:szCs w:val="20"/>
          <w:color w:val="auto"/>
        </w:rPr>
        <w:tab/>
      </w:r>
      <w:r>
        <w:rPr>
          <w:rFonts w:ascii="Arial" w:cs="Arial" w:eastAsia="Arial" w:hAnsi="Arial"/>
          <w:sz w:val="16"/>
          <w:szCs w:val="16"/>
          <w:color w:val="auto"/>
        </w:rPr>
        <w:t xml:space="preserve">Commission File Number: </w:t>
      </w:r>
      <w:r>
        <w:rPr>
          <w:rFonts w:ascii="Arial" w:cs="Arial" w:eastAsia="Arial" w:hAnsi="Arial"/>
          <w:sz w:val="16"/>
          <w:szCs w:val="16"/>
          <w:u w:val="single" w:color="auto"/>
          <w:color w:val="auto"/>
        </w:rPr>
        <w:t>0-19871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305435</wp:posOffset>
            </wp:positionV>
            <wp:extent cx="2992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7600" w:type="dxa"/>
            <w:vAlign w:val="bottom"/>
            <w:gridSpan w:val="3"/>
          </w:tcPr>
          <w:p>
            <w:pPr>
              <w:jc w:val="center"/>
              <w:ind w:right="371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615"/>
        </w:trPr>
        <w:tc>
          <w:tcPr>
            <w:tcW w:w="3820" w:type="dxa"/>
            <w:vAlign w:val="bottom"/>
          </w:tcPr>
          <w:p>
            <w:pPr>
              <w:jc w:val="center"/>
              <w:ind w:left="1510"/>
              <w:spacing w:after="0"/>
              <w:rPr>
                <w:sz w:val="20"/>
                <w:szCs w:val="20"/>
                <w:color w:val="auto"/>
              </w:rPr>
            </w:pPr>
            <w:r>
              <w:rPr>
                <w:rFonts w:ascii="Arial" w:cs="Arial" w:eastAsia="Arial" w:hAnsi="Arial"/>
                <w:sz w:val="18"/>
                <w:szCs w:val="18"/>
                <w:color w:val="auto"/>
                <w:w w:val="96"/>
              </w:rPr>
              <w:t>DELAWARE</w:t>
            </w:r>
          </w:p>
        </w:tc>
        <w:tc>
          <w:tcPr>
            <w:tcW w:w="7600" w:type="dxa"/>
            <w:vAlign w:val="bottom"/>
            <w:gridSpan w:val="3"/>
          </w:tcPr>
          <w:p>
            <w:pPr>
              <w:jc w:val="center"/>
              <w:ind w:left="2090"/>
              <w:spacing w:after="0"/>
              <w:rPr>
                <w:sz w:val="20"/>
                <w:szCs w:val="20"/>
                <w:color w:val="auto"/>
              </w:rPr>
            </w:pPr>
            <w:r>
              <w:rPr>
                <w:rFonts w:ascii="Arial" w:cs="Arial" w:eastAsia="Arial" w:hAnsi="Arial"/>
                <w:sz w:val="18"/>
                <w:szCs w:val="18"/>
                <w:color w:val="auto"/>
                <w:w w:val="89"/>
              </w:rPr>
              <w:t>94-3078125</w:t>
            </w:r>
          </w:p>
        </w:tc>
      </w:tr>
      <w:tr>
        <w:trPr>
          <w:trHeight w:val="215"/>
        </w:trPr>
        <w:tc>
          <w:tcPr>
            <w:tcW w:w="3820" w:type="dxa"/>
            <w:vAlign w:val="bottom"/>
            <w:tcBorders>
              <w:top w:val="single" w:sz="8" w:color="auto"/>
            </w:tcBorders>
          </w:tcPr>
          <w:p>
            <w:pPr>
              <w:jc w:val="center"/>
              <w:ind w:left="1530"/>
              <w:spacing w:after="0"/>
              <w:rPr>
                <w:sz w:val="20"/>
                <w:szCs w:val="20"/>
                <w:color w:val="auto"/>
              </w:rPr>
            </w:pPr>
            <w:r>
              <w:rPr>
                <w:rFonts w:ascii="Arial" w:cs="Arial" w:eastAsia="Arial" w:hAnsi="Arial"/>
                <w:sz w:val="18"/>
                <w:szCs w:val="18"/>
                <w:color w:val="auto"/>
                <w:w w:val="92"/>
              </w:rPr>
              <w:t>(State or other jurisdiction of</w:t>
            </w:r>
          </w:p>
        </w:tc>
        <w:tc>
          <w:tcPr>
            <w:tcW w:w="16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820" w:type="dxa"/>
            <w:vAlign w:val="bottom"/>
          </w:tcPr>
          <w:p>
            <w:pPr>
              <w:jc w:val="center"/>
              <w:ind w:left="1530"/>
              <w:spacing w:after="0"/>
              <w:rPr>
                <w:sz w:val="20"/>
                <w:szCs w:val="20"/>
                <w:color w:val="auto"/>
              </w:rPr>
            </w:pPr>
            <w:r>
              <w:rPr>
                <w:rFonts w:ascii="Arial" w:cs="Arial" w:eastAsia="Arial" w:hAnsi="Arial"/>
                <w:sz w:val="18"/>
                <w:szCs w:val="18"/>
                <w:color w:val="auto"/>
                <w:w w:val="92"/>
              </w:rPr>
              <w:t>incorporation or organization)</w:t>
            </w: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77"/>
        </w:trPr>
        <w:tc>
          <w:tcPr>
            <w:tcW w:w="3820" w:type="dxa"/>
            <w:vAlign w:val="bottom"/>
          </w:tcPr>
          <w:p>
            <w:pPr>
              <w:spacing w:after="0"/>
              <w:rPr>
                <w:sz w:val="24"/>
                <w:szCs w:val="24"/>
                <w:color w:val="auto"/>
              </w:rPr>
            </w:pPr>
          </w:p>
        </w:tc>
        <w:tc>
          <w:tcPr>
            <w:tcW w:w="7600" w:type="dxa"/>
            <w:vAlign w:val="bottom"/>
            <w:gridSpan w:val="3"/>
          </w:tcPr>
          <w:p>
            <w:pPr>
              <w:jc w:val="center"/>
              <w:ind w:right="3710"/>
              <w:spacing w:after="0"/>
              <w:rPr>
                <w:sz w:val="20"/>
                <w:szCs w:val="20"/>
                <w:color w:val="auto"/>
              </w:rPr>
            </w:pPr>
            <w:r>
              <w:rPr>
                <w:rFonts w:ascii="Arial" w:cs="Arial" w:eastAsia="Arial" w:hAnsi="Arial"/>
                <w:sz w:val="18"/>
                <w:szCs w:val="18"/>
                <w:color w:val="auto"/>
                <w:w w:val="93"/>
              </w:rPr>
              <w:t>3155 PORTER DRIVE</w:t>
            </w:r>
          </w:p>
        </w:tc>
      </w:tr>
      <w:tr>
        <w:trPr>
          <w:trHeight w:val="230"/>
        </w:trPr>
        <w:tc>
          <w:tcPr>
            <w:tcW w:w="3820" w:type="dxa"/>
            <w:vAlign w:val="bottom"/>
          </w:tcPr>
          <w:p>
            <w:pPr>
              <w:spacing w:after="0"/>
              <w:rPr>
                <w:sz w:val="20"/>
                <w:szCs w:val="20"/>
                <w:color w:val="auto"/>
              </w:rPr>
            </w:pPr>
          </w:p>
        </w:tc>
        <w:tc>
          <w:tcPr>
            <w:tcW w:w="7600" w:type="dxa"/>
            <w:vAlign w:val="bottom"/>
            <w:gridSpan w:val="3"/>
          </w:tcPr>
          <w:p>
            <w:pPr>
              <w:jc w:val="center"/>
              <w:ind w:right="3710"/>
              <w:spacing w:after="0"/>
              <w:rPr>
                <w:sz w:val="20"/>
                <w:szCs w:val="20"/>
                <w:color w:val="auto"/>
              </w:rPr>
            </w:pPr>
            <w:r>
              <w:rPr>
                <w:rFonts w:ascii="Arial" w:cs="Arial" w:eastAsia="Arial" w:hAnsi="Arial"/>
                <w:sz w:val="18"/>
                <w:szCs w:val="18"/>
                <w:color w:val="auto"/>
                <w:w w:val="94"/>
              </w:rPr>
              <w:t>PALO ALTO, CA 94304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120015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475-3100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126365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8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08" w:lineRule="exact"/>
        <w:rPr>
          <w:sz w:val="20"/>
          <w:szCs w:val="20"/>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18" w:lineRule="exact"/>
        <w:rPr>
          <w:sz w:val="20"/>
          <w:szCs w:val="20"/>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At April 26, 2005, there were 62,508,062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STEMCELLS,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gridSpan w:val="12"/>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6420" w:type="dxa"/>
            <w:vAlign w:val="bottom"/>
            <w:gridSpan w:val="9"/>
            <w:vMerge w:val="restart"/>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Page Number</w:t>
            </w:r>
          </w:p>
        </w:tc>
        <w:tc>
          <w:tcPr>
            <w:tcW w:w="0" w:type="dxa"/>
            <w:vAlign w:val="bottom"/>
          </w:tcPr>
          <w:p>
            <w:pPr>
              <w:spacing w:after="0"/>
              <w:rPr>
                <w:sz w:val="1"/>
                <w:szCs w:val="1"/>
                <w:color w:val="auto"/>
              </w:rPr>
            </w:pPr>
          </w:p>
        </w:tc>
      </w:tr>
      <w:tr>
        <w:trPr>
          <w:trHeight w:val="166"/>
        </w:trPr>
        <w:tc>
          <w:tcPr>
            <w:tcW w:w="2900" w:type="dxa"/>
            <w:vAlign w:val="bottom"/>
            <w:tcBorders>
              <w:bottom w:val="single" w:sz="8" w:color="0000EE"/>
            </w:tcBorders>
            <w:gridSpan w:val="12"/>
            <w:vMerge w:val="continue"/>
          </w:tcPr>
          <w:p>
            <w:pPr>
              <w:spacing w:after="0"/>
              <w:rPr>
                <w:sz w:val="13"/>
                <w:szCs w:val="13"/>
                <w:color w:val="auto"/>
              </w:rPr>
            </w:pPr>
          </w:p>
        </w:tc>
        <w:tc>
          <w:tcPr>
            <w:tcW w:w="6420" w:type="dxa"/>
            <w:vAlign w:val="bottom"/>
            <w:gridSpan w:val="9"/>
            <w:vMerge w:val="continue"/>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93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2100" w:type="dxa"/>
            <w:vAlign w:val="bottom"/>
          </w:tcPr>
          <w:p>
            <w:pPr>
              <w:jc w:val="right"/>
              <w:ind w:right="1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March 31, 2005 and December 31, 2004</w:t>
              </w:r>
            </w:hyperlink>
          </w:p>
        </w:tc>
        <w:tc>
          <w:tcPr>
            <w:tcW w:w="2840" w:type="dxa"/>
            <w:vAlign w:val="bottom"/>
            <w:gridSpan w:val="4"/>
          </w:tcPr>
          <w:p>
            <w:pPr>
              <w:spacing w:after="0"/>
              <w:rPr>
                <w:sz w:val="24"/>
                <w:szCs w:val="24"/>
                <w:color w:val="auto"/>
              </w:rPr>
            </w:pPr>
          </w:p>
        </w:tc>
        <w:tc>
          <w:tcPr>
            <w:tcW w:w="2100" w:type="dxa"/>
            <w:vAlign w:val="bottom"/>
          </w:tcPr>
          <w:p>
            <w:pPr>
              <w:jc w:val="right"/>
              <w:ind w:right="1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March 31, 2005 and 2004</w:t>
              </w:r>
            </w:hyperlink>
          </w:p>
        </w:tc>
        <w:tc>
          <w:tcPr>
            <w:tcW w:w="2100" w:type="dxa"/>
            <w:vAlign w:val="bottom"/>
          </w:tcPr>
          <w:p>
            <w:pPr>
              <w:jc w:val="right"/>
              <w:ind w:right="1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2005 and 2004</w:t>
              </w:r>
            </w:hyperlink>
          </w:p>
        </w:tc>
        <w:tc>
          <w:tcPr>
            <w:tcW w:w="2100" w:type="dxa"/>
            <w:vAlign w:val="bottom"/>
          </w:tcPr>
          <w:p>
            <w:pPr>
              <w:jc w:val="right"/>
              <w:ind w:right="17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80" w:type="dxa"/>
            <w:vAlign w:val="bottom"/>
            <w:tcBorders>
              <w:top w:val="single" w:sz="8" w:color="0000EE"/>
            </w:tcBorders>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320" w:type="dxa"/>
            <w:vAlign w:val="bottom"/>
          </w:tcPr>
          <w:p>
            <w:pPr>
              <w:spacing w:after="0"/>
              <w:rPr>
                <w:sz w:val="24"/>
                <w:szCs w:val="24"/>
                <w:color w:val="auto"/>
              </w:rPr>
            </w:pPr>
          </w:p>
        </w:tc>
        <w:tc>
          <w:tcPr>
            <w:tcW w:w="2100" w:type="dxa"/>
            <w:vAlign w:val="bottom"/>
          </w:tcPr>
          <w:p>
            <w:pPr>
              <w:jc w:val="right"/>
              <w:ind w:right="1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320" w:type="dxa"/>
            <w:vAlign w:val="bottom"/>
            <w:gridSpan w:val="2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2100" w:type="dxa"/>
            <w:vAlign w:val="bottom"/>
          </w:tcPr>
          <w:p>
            <w:pPr>
              <w:jc w:val="right"/>
              <w:ind w:right="19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7020" w:type="dxa"/>
            <w:vAlign w:val="bottom"/>
            <w:tcBorders>
              <w:top w:val="single" w:sz="8" w:color="0000EE"/>
            </w:tcBorders>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3. Quantitative and Qualitative Disclosures About Market Risk.</w:t>
              </w:r>
            </w:hyperlink>
          </w:p>
        </w:tc>
        <w:tc>
          <w:tcPr>
            <w:tcW w:w="2300" w:type="dxa"/>
            <w:vAlign w:val="bottom"/>
            <w:gridSpan w:val="3"/>
          </w:tcPr>
          <w:p>
            <w:pPr>
              <w:spacing w:after="0"/>
              <w:rPr>
                <w:sz w:val="24"/>
                <w:szCs w:val="24"/>
                <w:color w:val="auto"/>
              </w:rPr>
            </w:pPr>
          </w:p>
        </w:tc>
        <w:tc>
          <w:tcPr>
            <w:tcW w:w="2100" w:type="dxa"/>
            <w:vAlign w:val="bottom"/>
          </w:tcPr>
          <w:p>
            <w:pPr>
              <w:jc w:val="right"/>
              <w:ind w:right="19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2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Item 4. Controls and Procedures</w:t>
              </w:r>
            </w:hyperlink>
          </w:p>
        </w:tc>
        <w:tc>
          <w:tcPr>
            <w:tcW w:w="2620" w:type="dxa"/>
            <w:vAlign w:val="bottom"/>
            <w:tcBorders>
              <w:top w:val="single" w:sz="8" w:color="0000EE"/>
            </w:tcBorders>
            <w:gridSpan w:val="7"/>
          </w:tcPr>
          <w:p>
            <w:pPr>
              <w:spacing w:after="0"/>
              <w:rPr>
                <w:sz w:val="24"/>
                <w:szCs w:val="24"/>
                <w:color w:val="auto"/>
              </w:rPr>
            </w:pPr>
          </w:p>
        </w:tc>
        <w:tc>
          <w:tcPr>
            <w:tcW w:w="4360" w:type="dxa"/>
            <w:vAlign w:val="bottom"/>
            <w:gridSpan w:val="5"/>
          </w:tcPr>
          <w:p>
            <w:pPr>
              <w:spacing w:after="0"/>
              <w:rPr>
                <w:sz w:val="24"/>
                <w:szCs w:val="24"/>
                <w:color w:val="auto"/>
              </w:rPr>
            </w:pPr>
          </w:p>
        </w:tc>
        <w:tc>
          <w:tcPr>
            <w:tcW w:w="2100" w:type="dxa"/>
            <w:vAlign w:val="bottom"/>
          </w:tcPr>
          <w:p>
            <w:pPr>
              <w:jc w:val="right"/>
              <w:ind w:right="19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932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PART II. OTHER INFORMATION</w:t>
              </w:r>
            </w:hyperlink>
          </w:p>
        </w:tc>
        <w:tc>
          <w:tcPr>
            <w:tcW w:w="2100" w:type="dxa"/>
            <w:vAlign w:val="bottom"/>
          </w:tcPr>
          <w:p>
            <w:pPr>
              <w:jc w:val="right"/>
              <w:ind w:right="19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9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24"/>
                <w:szCs w:val="24"/>
                <w:color w:val="auto"/>
              </w:rPr>
            </w:pPr>
          </w:p>
        </w:tc>
        <w:tc>
          <w:tcPr>
            <w:tcW w:w="6740" w:type="dxa"/>
            <w:vAlign w:val="bottom"/>
            <w:gridSpan w:val="11"/>
          </w:tcPr>
          <w:p>
            <w:pPr>
              <w:spacing w:after="0"/>
              <w:rPr>
                <w:sz w:val="24"/>
                <w:szCs w:val="24"/>
                <w:color w:val="auto"/>
              </w:rPr>
            </w:pPr>
          </w:p>
        </w:tc>
        <w:tc>
          <w:tcPr>
            <w:tcW w:w="2100" w:type="dxa"/>
            <w:vAlign w:val="bottom"/>
          </w:tcPr>
          <w:p>
            <w:pPr>
              <w:jc w:val="right"/>
              <w:ind w:right="19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932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Changes in Securities and Use of Proceeds</w:t>
              </w:r>
            </w:hyperlink>
          </w:p>
        </w:tc>
        <w:tc>
          <w:tcPr>
            <w:tcW w:w="2100" w:type="dxa"/>
            <w:vAlign w:val="bottom"/>
          </w:tcPr>
          <w:p>
            <w:pPr>
              <w:jc w:val="right"/>
              <w:ind w:right="19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3640" w:type="dxa"/>
            <w:vAlign w:val="bottom"/>
            <w:tcBorders>
              <w:top w:val="single" w:sz="8" w:color="0000EE"/>
            </w:tcBorders>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3. Defaults Upon Senior Securities</w:t>
              </w:r>
            </w:hyperlink>
          </w:p>
        </w:tc>
        <w:tc>
          <w:tcPr>
            <w:tcW w:w="5680" w:type="dxa"/>
            <w:vAlign w:val="bottom"/>
            <w:gridSpan w:val="7"/>
          </w:tcPr>
          <w:p>
            <w:pPr>
              <w:spacing w:after="0"/>
              <w:rPr>
                <w:sz w:val="24"/>
                <w:szCs w:val="24"/>
                <w:color w:val="auto"/>
              </w:rPr>
            </w:pPr>
          </w:p>
        </w:tc>
        <w:tc>
          <w:tcPr>
            <w:tcW w:w="2100" w:type="dxa"/>
            <w:vAlign w:val="bottom"/>
          </w:tcPr>
          <w:p>
            <w:pPr>
              <w:jc w:val="right"/>
              <w:ind w:right="19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32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4. Submission of Matters to a Vote of Security-Holders</w:t>
              </w:r>
            </w:hyperlink>
          </w:p>
        </w:tc>
        <w:tc>
          <w:tcPr>
            <w:tcW w:w="2100" w:type="dxa"/>
            <w:vAlign w:val="bottom"/>
          </w:tcPr>
          <w:p>
            <w:pPr>
              <w:jc w:val="right"/>
              <w:ind w:right="19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Item 5. Other Information</w:t>
              </w:r>
            </w:hyperlink>
          </w:p>
        </w:tc>
        <w:tc>
          <w:tcPr>
            <w:tcW w:w="2520" w:type="dxa"/>
            <w:vAlign w:val="bottom"/>
            <w:tcBorders>
              <w:top w:val="single" w:sz="8" w:color="0000EE"/>
            </w:tcBorders>
            <w:gridSpan w:val="8"/>
          </w:tcPr>
          <w:p>
            <w:pPr>
              <w:spacing w:after="0"/>
              <w:rPr>
                <w:sz w:val="24"/>
                <w:szCs w:val="24"/>
                <w:color w:val="auto"/>
              </w:rPr>
            </w:pPr>
          </w:p>
        </w:tc>
        <w:tc>
          <w:tcPr>
            <w:tcW w:w="4920" w:type="dxa"/>
            <w:vAlign w:val="bottom"/>
            <w:gridSpan w:val="6"/>
          </w:tcPr>
          <w:p>
            <w:pPr>
              <w:spacing w:after="0"/>
              <w:rPr>
                <w:sz w:val="24"/>
                <w:szCs w:val="24"/>
                <w:color w:val="auto"/>
              </w:rPr>
            </w:pPr>
          </w:p>
        </w:tc>
        <w:tc>
          <w:tcPr>
            <w:tcW w:w="2100" w:type="dxa"/>
            <w:vAlign w:val="bottom"/>
          </w:tcPr>
          <w:p>
            <w:pPr>
              <w:jc w:val="right"/>
              <w:ind w:right="19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9320" w:type="dxa"/>
            <w:vAlign w:val="bottom"/>
            <w:gridSpan w:val="2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6. Exhibits</w:t>
              </w:r>
            </w:hyperlink>
          </w:p>
        </w:tc>
        <w:tc>
          <w:tcPr>
            <w:tcW w:w="2100" w:type="dxa"/>
            <w:vAlign w:val="bottom"/>
          </w:tcPr>
          <w:p>
            <w:pPr>
              <w:jc w:val="right"/>
              <w:ind w:right="19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1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5"/>
              </w:rPr>
            </w:pPr>
            <w:hyperlink w:anchor="page22">
              <w:r>
                <w:rPr>
                  <w:rFonts w:ascii="Arial" w:cs="Arial" w:eastAsia="Arial" w:hAnsi="Arial"/>
                  <w:sz w:val="18"/>
                  <w:szCs w:val="18"/>
                  <w:color w:val="0000EE"/>
                  <w:w w:val="95"/>
                </w:rPr>
                <w:t>SIGNATURES</w:t>
              </w:r>
            </w:hyperlink>
          </w:p>
        </w:tc>
        <w:tc>
          <w:tcPr>
            <w:tcW w:w="20" w:type="dxa"/>
            <w:vAlign w:val="bottom"/>
            <w:tcBorders>
              <w:top w:val="single" w:sz="8" w:color="0000EE"/>
            </w:tcBorders>
          </w:tcPr>
          <w:p>
            <w:pPr>
              <w:spacing w:after="0"/>
              <w:rPr>
                <w:sz w:val="24"/>
                <w:szCs w:val="24"/>
                <w:color w:val="auto"/>
              </w:rPr>
            </w:pPr>
          </w:p>
        </w:tc>
        <w:tc>
          <w:tcPr>
            <w:tcW w:w="8160" w:type="dxa"/>
            <w:vAlign w:val="bottom"/>
            <w:gridSpan w:val="15"/>
          </w:tcPr>
          <w:p>
            <w:pPr>
              <w:spacing w:after="0"/>
              <w:rPr>
                <w:sz w:val="24"/>
                <w:szCs w:val="24"/>
                <w:color w:val="auto"/>
              </w:rPr>
            </w:pPr>
          </w:p>
        </w:tc>
        <w:tc>
          <w:tcPr>
            <w:tcW w:w="2100" w:type="dxa"/>
            <w:vAlign w:val="bottom"/>
          </w:tcPr>
          <w:p>
            <w:pPr>
              <w:jc w:val="right"/>
              <w:ind w:right="19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31.1</w:t>
            </w:r>
          </w:p>
        </w:tc>
        <w:tc>
          <w:tcPr>
            <w:tcW w:w="8200" w:type="dxa"/>
            <w:vAlign w:val="bottom"/>
            <w:gridSpan w:val="17"/>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31.2</w:t>
            </w:r>
          </w:p>
        </w:tc>
        <w:tc>
          <w:tcPr>
            <w:tcW w:w="8200" w:type="dxa"/>
            <w:vAlign w:val="bottom"/>
            <w:gridSpan w:val="17"/>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32.1</w:t>
            </w:r>
          </w:p>
        </w:tc>
        <w:tc>
          <w:tcPr>
            <w:tcW w:w="8200" w:type="dxa"/>
            <w:vAlign w:val="bottom"/>
            <w:gridSpan w:val="17"/>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260" w:type="dxa"/>
            <w:vAlign w:val="bottom"/>
            <w:gridSpan w:val="20"/>
          </w:tcPr>
          <w:p>
            <w:pPr>
              <w:spacing w:after="0" w:line="196" w:lineRule="exact"/>
              <w:rPr>
                <w:sz w:val="20"/>
                <w:szCs w:val="20"/>
                <w:color w:val="auto"/>
              </w:rPr>
            </w:pPr>
            <w:r>
              <w:rPr>
                <w:rFonts w:ascii="Arial" w:cs="Arial" w:eastAsia="Arial" w:hAnsi="Arial"/>
                <w:sz w:val="18"/>
                <w:szCs w:val="18"/>
                <w:color w:val="0000EE"/>
              </w:rPr>
              <w:t>EXHIBIT 32.2</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040" w:type="dxa"/>
            <w:vAlign w:val="bottom"/>
            <w:tcBorders>
              <w:top w:val="single" w:sz="8" w:color="0000EE"/>
            </w:tcBorders>
            <w:gridSpan w:val="2"/>
          </w:tcPr>
          <w:p>
            <w:pPr>
              <w:spacing w:after="0"/>
              <w:rPr>
                <w:sz w:val="24"/>
                <w:szCs w:val="24"/>
                <w:color w:val="auto"/>
              </w:rPr>
            </w:pPr>
          </w:p>
        </w:tc>
        <w:tc>
          <w:tcPr>
            <w:tcW w:w="5380" w:type="dxa"/>
            <w:vAlign w:val="bottom"/>
            <w:gridSpan w:val="14"/>
          </w:tcPr>
          <w:p>
            <w:pPr>
              <w:jc w:val="right"/>
              <w:ind w:right="72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4"/>
                <w:szCs w:val="14"/>
                <w:color w:val="auto"/>
                <w:w w:val="98"/>
              </w:rPr>
              <w:t>March 31, 2005</w:t>
            </w:r>
          </w:p>
        </w:tc>
        <w:tc>
          <w:tcPr>
            <w:tcW w:w="180" w:type="dxa"/>
            <w:vAlign w:val="bottom"/>
          </w:tcPr>
          <w:p>
            <w:pPr>
              <w:spacing w:after="0"/>
              <w:rPr>
                <w:sz w:val="14"/>
                <w:szCs w:val="14"/>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December 31, 2004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37,404,809</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41,059,532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173,572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209,074</w:t>
            </w:r>
          </w:p>
        </w:tc>
        <w:tc>
          <w:tcPr>
            <w:tcW w:w="0" w:type="dxa"/>
            <w:vAlign w:val="bottom"/>
          </w:tcPr>
          <w:p>
            <w:pPr>
              <w:spacing w:after="0"/>
              <w:rPr>
                <w:sz w:val="1"/>
                <w:szCs w:val="1"/>
                <w:color w:val="auto"/>
              </w:rPr>
            </w:pPr>
          </w:p>
        </w:tc>
      </w:tr>
      <w:tr>
        <w:trPr>
          <w:trHeight w:val="224"/>
        </w:trPr>
        <w:tc>
          <w:tcPr>
            <w:tcW w:w="86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38,207,981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41,449,569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3,243,279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Other assets, net</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2,716,761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44,168,021</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47,627,282</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797,535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524,917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Accrued wind-down expenses, current portion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1,033,566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lease obligations, current portion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Bonds payable, current portion</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246,667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2,787,764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3,382,757</w:t>
            </w:r>
          </w:p>
        </w:tc>
        <w:tc>
          <w:tcPr>
            <w:tcW w:w="0" w:type="dxa"/>
            <w:vAlign w:val="bottom"/>
          </w:tcPr>
          <w:p>
            <w:pPr>
              <w:spacing w:after="0"/>
              <w:rPr>
                <w:sz w:val="1"/>
                <w:szCs w:val="1"/>
                <w:color w:val="auto"/>
              </w:rPr>
            </w:pP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maturities</w:t>
            </w:r>
          </w:p>
        </w:tc>
        <w:tc>
          <w:tcPr>
            <w:tcW w:w="1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27,180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Bonds payable, less current maturities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1,543,252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Deposits &amp; other long-term liabilities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610,126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 non-current portion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4,718,890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4,514,569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403,707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10,090,919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10,677,735</w:t>
            </w:r>
          </w:p>
        </w:tc>
        <w:tc>
          <w:tcPr>
            <w:tcW w:w="0" w:type="dxa"/>
            <w:vAlign w:val="bottom"/>
          </w:tcPr>
          <w:p>
            <w:pPr>
              <w:spacing w:after="0"/>
              <w:rPr>
                <w:sz w:val="1"/>
                <w:szCs w:val="1"/>
                <w:color w:val="auto"/>
              </w:rPr>
            </w:pP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Common stock, $.01 par value; 125,000,000 shares authorized; 62,507,561 and 62,129,407 shares issued and</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at March 31, 2005 and December 31, 2004, respectively</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624,276</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211,890,138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211,419,300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0"/>
              </w:rPr>
              <w:t>(177,654,047)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(174,205,214)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(783,265)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(885,832)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34,077,102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36,949,547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44,168,021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47,627,282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March 31,</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2005</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Revenue from grants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26,092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from licensing agreements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9,229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35,321</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1,824,930</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1,867,927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1,299,205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520,974</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130,569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3,645,109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2,862,326</w:t>
            </w:r>
          </w:p>
        </w:tc>
        <w:tc>
          <w:tcPr>
            <w:tcW w:w="0" w:type="dxa"/>
            <w:vAlign w:val="bottom"/>
          </w:tcPr>
          <w:p>
            <w:pPr>
              <w:spacing w:after="0"/>
              <w:rPr>
                <w:sz w:val="1"/>
                <w:szCs w:val="1"/>
                <w:color w:val="auto"/>
              </w:rPr>
            </w:pPr>
          </w:p>
        </w:tc>
      </w:tr>
      <w:tr>
        <w:trPr>
          <w:trHeight w:val="224"/>
        </w:trPr>
        <w:tc>
          <w:tcPr>
            <w:tcW w:w="89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(3,609,788)</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(2,769,233)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227,763</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(46,411)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(20,397)</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160,955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3"/>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(3,448,833)</w:t>
            </w:r>
          </w:p>
        </w:tc>
        <w:tc>
          <w:tcPr>
            <w:tcW w:w="4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(2,770,612)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w w:val="96"/>
              </w:rPr>
              <w:t>Weighted average shares used to compute net loss per share applicable to common stockholders; basic and diluted</w:t>
            </w:r>
          </w:p>
        </w:tc>
        <w:tc>
          <w:tcPr>
            <w:tcW w:w="16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62,406,725</w:t>
            </w:r>
          </w:p>
        </w:tc>
        <w:tc>
          <w:tcPr>
            <w:tcW w:w="16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41,010,068</w:t>
            </w:r>
          </w:p>
        </w:tc>
        <w:tc>
          <w:tcPr>
            <w:tcW w:w="0" w:type="dxa"/>
            <w:vAlign w:val="bottom"/>
          </w:tcPr>
          <w:p>
            <w:pPr>
              <w:spacing w:after="0"/>
              <w:rPr>
                <w:sz w:val="1"/>
                <w:szCs w:val="1"/>
                <w:color w:val="auto"/>
              </w:rPr>
            </w:pPr>
          </w:p>
        </w:tc>
      </w:tr>
      <w:tr>
        <w:trPr>
          <w:trHeight w:val="392"/>
        </w:trPr>
        <w:tc>
          <w:tcPr>
            <w:tcW w:w="8940" w:type="dxa"/>
            <w:vAlign w:val="bottom"/>
            <w:gridSpan w:val="2"/>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940" w:type="dxa"/>
            <w:vAlign w:val="bottom"/>
            <w:gridSpan w:val="2"/>
          </w:tcPr>
          <w:p>
            <w:pPr>
              <w:ind w:left="56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March 31,</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2005</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3,448,833)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2,770,612)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273,155</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254,835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compensation</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(76,382)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36,011</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Accrued interest receivable</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(11,660)</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Receivables</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19,051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Other current assets</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(420,526)</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 net</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52,947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(618,672)</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wind-down expenses</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224,427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Deferred rent</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(120,094)</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(93,100)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(4,090,576)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(2,641,298)</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plant and equipment</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(58,429)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Acquisition of other assets</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(108,429)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(26,885)</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269,432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Proceeds from the exercise of warrants</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347,327</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(expense) from issuance of common stock, net</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(12,812)</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debt obligations</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(59,665)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(58,750)</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Net cash provided (used) by financing activities</w:t>
            </w:r>
          </w:p>
        </w:tc>
        <w:tc>
          <w:tcPr>
            <w:tcW w:w="3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544,282</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(3,654,723)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(2,735,574)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41,059,532</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13,081,703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37,404,809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10,346,129</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3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60" w:type="dxa"/>
            <w:vAlign w:val="bottom"/>
            <w:gridSpan w:val="2"/>
            <w:vMerge w:val="continue"/>
          </w:tcPr>
          <w:p>
            <w:pPr>
              <w:spacing w:after="0"/>
              <w:rPr>
                <w:sz w:val="24"/>
                <w:szCs w:val="24"/>
                <w:color w:val="auto"/>
              </w:rPr>
            </w:pP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46,411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49,495</w:t>
            </w:r>
          </w:p>
        </w:tc>
        <w:tc>
          <w:tcPr>
            <w:tcW w:w="0" w:type="dxa"/>
            <w:vAlign w:val="bottom"/>
          </w:tcPr>
          <w:p>
            <w:pPr>
              <w:spacing w:after="0"/>
              <w:rPr>
                <w:sz w:val="1"/>
                <w:szCs w:val="1"/>
                <w:color w:val="auto"/>
              </w:rPr>
            </w:pPr>
          </w:p>
        </w:tc>
      </w:tr>
      <w:tr>
        <w:trPr>
          <w:trHeight w:val="392"/>
        </w:trPr>
        <w:tc>
          <w:tcPr>
            <w:tcW w:w="5460" w:type="dxa"/>
            <w:vAlign w:val="bottom"/>
            <w:gridSpan w:val="2"/>
          </w:tcPr>
          <w:p>
            <w:pPr>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480" w:type="dxa"/>
            <w:vAlign w:val="bottom"/>
          </w:tcPr>
          <w:p>
            <w:pPr>
              <w:jc w:val="right"/>
              <w:ind w:right="309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March 31, 2005 and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terms “StemCells”, the “Company”, “our”, “we” and “us” as used in this report refer to StemCells Inc.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2005, are not necessarily indicative of the results that may be expected for the entire fiscal year ending December 31, 2005.</w:t>
      </w:r>
    </w:p>
    <w:p>
      <w:pPr>
        <w:spacing w:after="0" w:line="137"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balance sheet at December 31, 2004 has been derived from the audited financial statements at that date but does not include all of the information and footnotes required for complete financial statements in accordance with accounting principles generally accepted in the United States of America. For the complete financial statements, refer to the audited financial statements and footnotes thereto as of December 31, 2004, included on Form 10-K.</w:t>
      </w:r>
    </w:p>
    <w:p>
      <w:pPr>
        <w:spacing w:after="0" w:line="120"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has incurred significant operating losses and negative cash flows since inception. It has not achieved profitability and may not be able to realize sufficient revenues to achieve or sustain profitability in the future. The Company has limited capital resources and it will need to raise additional capital from time to time to sustain its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its operations, the Company relies on cash balances, proceeds from equity and debt offerings, proceeds from the transfer or sale of intellectual property rights, equipment, facilities or investments, and on government grants and collaborative arrangements. The Company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Significant estimates include the accrued wind-down expenses.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89" w:lineRule="exact"/>
        <w:rPr>
          <w:sz w:val="20"/>
          <w:szCs w:val="20"/>
          <w:color w:val="auto"/>
        </w:rPr>
      </w:pPr>
    </w:p>
    <w:p>
      <w:pPr>
        <w:jc w:val="both"/>
        <w:ind w:right="160" w:firstLine="222"/>
        <w:spacing w:after="0" w:line="312" w:lineRule="auto"/>
        <w:rPr>
          <w:sz w:val="20"/>
          <w:szCs w:val="20"/>
          <w:color w:val="auto"/>
        </w:rPr>
      </w:pPr>
      <w:r>
        <w:rPr>
          <w:rFonts w:ascii="Arial" w:cs="Arial" w:eastAsia="Arial" w:hAnsi="Arial"/>
          <w:sz w:val="16"/>
          <w:szCs w:val="16"/>
          <w:color w:val="auto"/>
        </w:rPr>
        <w:t>The Company has computed net loss per common share according to the Financial Accounting Standards Board Statement (“SFAS”) No. 128, “Earnings Per Share,” which requires disclosure of basic and diluted earnings per share. Basic earnings per share excludes any dilutive effects of options, warrants and convertible securities, and is computed using the weighted average number of common shares outstanding during the period. Diluted earnings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loss per common share.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660"/>
              <w:spacing w:after="0"/>
              <w:rPr>
                <w:sz w:val="20"/>
                <w:szCs w:val="20"/>
                <w:color w:val="auto"/>
              </w:rPr>
            </w:pPr>
            <w:r>
              <w:rPr>
                <w:rFonts w:ascii="Arial" w:cs="Arial" w:eastAsia="Arial" w:hAnsi="Arial"/>
                <w:sz w:val="14"/>
                <w:szCs w:val="14"/>
                <w:color w:val="auto"/>
              </w:rPr>
              <w:t>Three months ended</w:t>
            </w:r>
          </w:p>
        </w:tc>
      </w:tr>
      <w:tr>
        <w:trPr>
          <w:trHeight w:val="142"/>
        </w:trPr>
        <w:tc>
          <w:tcPr>
            <w:tcW w:w="8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March 31,</w:t>
            </w:r>
          </w:p>
        </w:tc>
        <w:tc>
          <w:tcPr>
            <w:tcW w:w="8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8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color w:val="auto"/>
              </w:rPr>
              <w:t>2005</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2"/>
                <w:szCs w:val="12"/>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(3,448,833)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(2,770,612)</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w w:val="92"/>
              </w:rPr>
              <w:t>Weighted average shares used in computing net loss per share applicable to common stockholders, basic and diluted.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62,406,725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41,010,068</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basic and 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r>
    </w:tbl>
    <w:p>
      <w:pPr>
        <w:spacing w:after="0" w:line="16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has excluded outstanding stock options, warrants and convertible securities from the calculation of diluted loss per common share because all such securities are anti-dilutive for all applicable periods presented. These outstanding securities consist of the following potential common shares:</w:t>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902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2400" w:type="dxa"/>
            <w:vAlign w:val="bottom"/>
            <w:tcBorders>
              <w:top w:val="single" w:sz="8" w:color="auto"/>
              <w:bottom w:val="single" w:sz="8" w:color="auto"/>
              <w:right w:val="single" w:sz="8" w:color="auto"/>
            </w:tcBorders>
            <w:gridSpan w:val="2"/>
          </w:tcPr>
          <w:p>
            <w:pPr>
              <w:jc w:val="right"/>
              <w:ind w:right="434"/>
              <w:spacing w:after="0"/>
              <w:rPr>
                <w:sz w:val="20"/>
                <w:szCs w:val="20"/>
                <w:color w:val="auto"/>
              </w:rPr>
            </w:pPr>
            <w:r>
              <w:rPr>
                <w:rFonts w:ascii="Arial" w:cs="Arial" w:eastAsia="Arial" w:hAnsi="Arial"/>
                <w:sz w:val="14"/>
                <w:szCs w:val="14"/>
                <w:color w:val="auto"/>
              </w:rPr>
              <w:t>Outstanding at March 31,</w:t>
            </w:r>
          </w:p>
        </w:tc>
      </w:tr>
      <w:tr>
        <w:trPr>
          <w:trHeight w:val="142"/>
        </w:trPr>
        <w:tc>
          <w:tcPr>
            <w:tcW w:w="9020" w:type="dxa"/>
            <w:vAlign w:val="bottom"/>
            <w:tcBorders>
              <w:left w:val="single" w:sz="8" w:color="auto"/>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jc w:val="right"/>
              <w:ind w:right="457"/>
              <w:spacing w:after="0" w:line="142" w:lineRule="exact"/>
              <w:rPr>
                <w:sz w:val="20"/>
                <w:szCs w:val="20"/>
                <w:color w:val="auto"/>
              </w:rPr>
            </w:pPr>
            <w:r>
              <w:rPr>
                <w:rFonts w:ascii="Arial" w:cs="Arial" w:eastAsia="Arial" w:hAnsi="Arial"/>
                <w:sz w:val="14"/>
                <w:szCs w:val="14"/>
                <w:color w:val="auto"/>
              </w:rPr>
              <w:t>2005</w:t>
            </w:r>
          </w:p>
        </w:tc>
        <w:tc>
          <w:tcPr>
            <w:tcW w:w="1160" w:type="dxa"/>
            <w:vAlign w:val="bottom"/>
            <w:tcBorders>
              <w:bottom w:val="single" w:sz="8" w:color="auto"/>
              <w:right w:val="single" w:sz="8" w:color="auto"/>
            </w:tcBorders>
          </w:tcPr>
          <w:p>
            <w:pPr>
              <w:jc w:val="right"/>
              <w:ind w:right="414"/>
              <w:spacing w:after="0" w:line="142" w:lineRule="exact"/>
              <w:rPr>
                <w:sz w:val="20"/>
                <w:szCs w:val="20"/>
                <w:color w:val="auto"/>
              </w:rPr>
            </w:pPr>
            <w:r>
              <w:rPr>
                <w:rFonts w:ascii="Arial" w:cs="Arial" w:eastAsia="Arial" w:hAnsi="Arial"/>
                <w:sz w:val="14"/>
                <w:szCs w:val="14"/>
                <w:color w:val="auto"/>
              </w:rPr>
              <w:t>2004</w:t>
            </w:r>
          </w:p>
        </w:tc>
      </w:tr>
      <w:tr>
        <w:trPr>
          <w:trHeight w:val="210"/>
        </w:trPr>
        <w:tc>
          <w:tcPr>
            <w:tcW w:w="90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Outstanding options</w:t>
            </w:r>
          </w:p>
        </w:tc>
        <w:tc>
          <w:tcPr>
            <w:tcW w:w="1240" w:type="dxa"/>
            <w:vAlign w:val="bottom"/>
            <w:tcBorders>
              <w:bottom w:val="single" w:sz="8" w:color="auto"/>
              <w:right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6,728,787</w:t>
            </w:r>
          </w:p>
        </w:tc>
        <w:tc>
          <w:tcPr>
            <w:tcW w:w="1160" w:type="dxa"/>
            <w:vAlign w:val="bottom"/>
            <w:tcBorders>
              <w:bottom w:val="single" w:sz="8" w:color="auto"/>
              <w:right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5,072,389</w:t>
            </w:r>
          </w:p>
        </w:tc>
      </w:tr>
      <w:tr>
        <w:trPr>
          <w:trHeight w:val="210"/>
        </w:trPr>
        <w:tc>
          <w:tcPr>
            <w:tcW w:w="9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Outstanding warrants</w:t>
            </w:r>
          </w:p>
        </w:tc>
        <w:tc>
          <w:tcPr>
            <w:tcW w:w="124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8"/>
                <w:szCs w:val="18"/>
                <w:color w:val="auto"/>
              </w:rPr>
              <w:t>5,165,283</w:t>
            </w:r>
          </w:p>
        </w:tc>
        <w:tc>
          <w:tcPr>
            <w:tcW w:w="1160" w:type="dxa"/>
            <w:vAlign w:val="bottom"/>
            <w:tcBorders>
              <w:bottom w:val="single" w:sz="8" w:color="auto"/>
              <w:right w:val="single" w:sz="8" w:color="auto"/>
            </w:tcBorders>
          </w:tcPr>
          <w:p>
            <w:pPr>
              <w:jc w:val="right"/>
              <w:ind w:right="134"/>
              <w:spacing w:after="0"/>
              <w:rPr>
                <w:sz w:val="20"/>
                <w:szCs w:val="20"/>
                <w:color w:val="auto"/>
              </w:rPr>
            </w:pPr>
            <w:r>
              <w:rPr>
                <w:rFonts w:ascii="Arial" w:cs="Arial" w:eastAsia="Arial" w:hAnsi="Arial"/>
                <w:sz w:val="18"/>
                <w:szCs w:val="18"/>
                <w:color w:val="auto"/>
              </w:rPr>
              <w:t>2,101,074</w:t>
            </w:r>
          </w:p>
        </w:tc>
      </w:tr>
      <w:tr>
        <w:trPr>
          <w:trHeight w:val="210"/>
        </w:trPr>
        <w:tc>
          <w:tcPr>
            <w:tcW w:w="90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right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11,894,070</w:t>
            </w:r>
          </w:p>
        </w:tc>
        <w:tc>
          <w:tcPr>
            <w:tcW w:w="1160" w:type="dxa"/>
            <w:vAlign w:val="bottom"/>
            <w:tcBorders>
              <w:bottom w:val="single" w:sz="8" w:color="auto"/>
              <w:right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7,173,463</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right="140" w:firstLine="222"/>
        <w:spacing w:after="0" w:line="273" w:lineRule="auto"/>
        <w:rPr>
          <w:sz w:val="20"/>
          <w:szCs w:val="20"/>
          <w:color w:val="auto"/>
        </w:rPr>
      </w:pPr>
      <w:r>
        <w:rPr>
          <w:rFonts w:ascii="Arial" w:cs="Arial" w:eastAsia="Arial" w:hAnsi="Arial"/>
          <w:sz w:val="17"/>
          <w:szCs w:val="17"/>
          <w:color w:val="auto"/>
        </w:rPr>
        <w:t xml:space="preserve">The Company’s employee stock option plan is accounted for under Accounting Principles Board Opinion No. 25 (“APB 25”), </w:t>
      </w:r>
      <w:r>
        <w:rPr>
          <w:rFonts w:ascii="Arial" w:cs="Arial" w:eastAsia="Arial" w:hAnsi="Arial"/>
          <w:sz w:val="17"/>
          <w:szCs w:val="17"/>
          <w:i w:val="1"/>
          <w:iCs w:val="1"/>
          <w:color w:val="auto"/>
        </w:rPr>
        <w:t>“Accounting for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Issued to Employees.” </w:t>
      </w:r>
      <w:r>
        <w:rPr>
          <w:rFonts w:ascii="Arial" w:cs="Arial" w:eastAsia="Arial" w:hAnsi="Arial"/>
          <w:sz w:val="17"/>
          <w:szCs w:val="17"/>
          <w:color w:val="auto"/>
        </w:rPr>
        <w:t>The Company grants qualified stock options for a fixed number of shares to employees with an exercise price equal to the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the shares at the date of grant. In these circumstances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138"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 xml:space="preserve">For purposes of disclosures pursuant to Statement of Financial Accounting Standards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as amended by Statement of Financial Accounting Standards No. 148, </w:t>
      </w:r>
      <w:r>
        <w:rPr>
          <w:rFonts w:ascii="Arial" w:cs="Arial" w:eastAsia="Arial" w:hAnsi="Arial"/>
          <w:sz w:val="16"/>
          <w:szCs w:val="16"/>
          <w:i w:val="1"/>
          <w:iCs w:val="1"/>
          <w:color w:val="auto"/>
        </w:rPr>
        <w:t>“Accounting for Stock-Based Compensation — Transition and Disclosure,”</w:t>
      </w:r>
      <w:r>
        <w:rPr>
          <w:rFonts w:ascii="Arial" w:cs="Arial" w:eastAsia="Arial" w:hAnsi="Arial"/>
          <w:sz w:val="16"/>
          <w:szCs w:val="16"/>
          <w:color w:val="auto"/>
        </w:rPr>
        <w:t xml:space="preserve"> (SFAS 148), the estimated fair value of options is amortized to expense over the options’ vesting period. The following table illustrates the effect on net loss and net loss per share if the Company had applied the fair value recognition provisions of FAS 123 to stock-based employee compensation:</w:t>
      </w:r>
    </w:p>
    <w:p>
      <w:pPr>
        <w:spacing w:after="0" w:line="351"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8940" w:type="dxa"/>
            <w:vAlign w:val="bottom"/>
            <w:tcBorders>
              <w:top w:val="single" w:sz="8" w:color="auto"/>
              <w:left w:val="single" w:sz="8" w:color="auto"/>
              <w:right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80" w:type="dxa"/>
            <w:vAlign w:val="bottom"/>
            <w:tcBorders>
              <w:top w:val="single" w:sz="8" w:color="auto"/>
              <w:right w:val="single" w:sz="8" w:color="auto"/>
            </w:tcBorders>
            <w:gridSpan w:val="3"/>
          </w:tcPr>
          <w:p>
            <w:pPr>
              <w:jc w:val="right"/>
              <w:ind w:right="612"/>
              <w:spacing w:after="0" w:line="143" w:lineRule="exact"/>
              <w:rPr>
                <w:sz w:val="20"/>
                <w:szCs w:val="20"/>
                <w:color w:val="auto"/>
              </w:rPr>
            </w:pPr>
            <w:r>
              <w:rPr>
                <w:rFonts w:ascii="Arial" w:cs="Arial" w:eastAsia="Arial" w:hAnsi="Arial"/>
                <w:sz w:val="14"/>
                <w:szCs w:val="14"/>
                <w:color w:val="auto"/>
              </w:rPr>
              <w:t>Three months ended</w:t>
            </w:r>
          </w:p>
        </w:tc>
      </w:tr>
      <w:tr>
        <w:trPr>
          <w:trHeight w:val="167"/>
        </w:trPr>
        <w:tc>
          <w:tcPr>
            <w:tcW w:w="8940" w:type="dxa"/>
            <w:vAlign w:val="bottom"/>
            <w:tcBorders>
              <w:left w:val="single" w:sz="8" w:color="auto"/>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right w:val="single" w:sz="8" w:color="auto"/>
            </w:tcBorders>
            <w:gridSpan w:val="3"/>
          </w:tcPr>
          <w:p>
            <w:pPr>
              <w:jc w:val="right"/>
              <w:ind w:right="912"/>
              <w:spacing w:after="0"/>
              <w:rPr>
                <w:sz w:val="20"/>
                <w:szCs w:val="20"/>
                <w:color w:val="auto"/>
              </w:rPr>
            </w:pPr>
            <w:r>
              <w:rPr>
                <w:rFonts w:ascii="Arial" w:cs="Arial" w:eastAsia="Arial" w:hAnsi="Arial"/>
                <w:sz w:val="14"/>
                <w:szCs w:val="14"/>
                <w:color w:val="auto"/>
              </w:rPr>
              <w:t>March 31,</w:t>
            </w:r>
          </w:p>
        </w:tc>
      </w:tr>
      <w:tr>
        <w:trPr>
          <w:trHeight w:val="142"/>
        </w:trPr>
        <w:tc>
          <w:tcPr>
            <w:tcW w:w="8940" w:type="dxa"/>
            <w:vAlign w:val="bottom"/>
            <w:tcBorders>
              <w:left w:val="single" w:sz="8" w:color="auto"/>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455"/>
              <w:spacing w:after="0" w:line="142" w:lineRule="exact"/>
              <w:rPr>
                <w:sz w:val="20"/>
                <w:szCs w:val="20"/>
                <w:color w:val="auto"/>
              </w:rPr>
            </w:pPr>
            <w:r>
              <w:rPr>
                <w:rFonts w:ascii="Arial" w:cs="Arial" w:eastAsia="Arial" w:hAnsi="Arial"/>
                <w:sz w:val="14"/>
                <w:szCs w:val="14"/>
                <w:color w:val="auto"/>
              </w:rPr>
              <w:t>2005</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452"/>
              <w:spacing w:after="0" w:line="142" w:lineRule="exact"/>
              <w:rPr>
                <w:sz w:val="20"/>
                <w:szCs w:val="20"/>
                <w:color w:val="auto"/>
              </w:rPr>
            </w:pPr>
            <w:r>
              <w:rPr>
                <w:rFonts w:ascii="Arial" w:cs="Arial" w:eastAsia="Arial" w:hAnsi="Arial"/>
                <w:sz w:val="14"/>
                <w:szCs w:val="14"/>
                <w:color w:val="auto"/>
              </w:rPr>
              <w:t>2004</w:t>
            </w:r>
          </w:p>
        </w:tc>
      </w:tr>
      <w:tr>
        <w:trPr>
          <w:trHeight w:val="210"/>
        </w:trPr>
        <w:tc>
          <w:tcPr>
            <w:tcW w:w="89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 loss applicable to common stockholders – as reported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3"/>
              </w:rPr>
              <w:t>(3,448,833)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3"/>
              </w:rPr>
              <w:t>(2,770,612)</w:t>
            </w:r>
          </w:p>
        </w:tc>
      </w:tr>
      <w:tr>
        <w:trPr>
          <w:trHeight w:val="210"/>
        </w:trPr>
        <w:tc>
          <w:tcPr>
            <w:tcW w:w="8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Add: Stock-based employee/director compensation expense included in reported net loss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13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8"/>
                <w:szCs w:val="18"/>
                <w:color w:val="auto"/>
              </w:rPr>
              <w:t>38,728</w:t>
            </w:r>
          </w:p>
        </w:tc>
      </w:tr>
      <w:tr>
        <w:trPr>
          <w:trHeight w:val="210"/>
        </w:trPr>
        <w:tc>
          <w:tcPr>
            <w:tcW w:w="89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Deduct: Total stock-based employee/director compensation expense under the fair value based method for all awards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(137,461)</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(241,661)</w:t>
            </w:r>
          </w:p>
        </w:tc>
      </w:tr>
      <w:tr>
        <w:trPr>
          <w:trHeight w:val="210"/>
        </w:trPr>
        <w:tc>
          <w:tcPr>
            <w:tcW w:w="8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Net loss applicable to common stockholders – proforma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75"/>
              <w:spacing w:after="0"/>
              <w:rPr>
                <w:sz w:val="20"/>
                <w:szCs w:val="20"/>
                <w:color w:val="auto"/>
              </w:rPr>
            </w:pPr>
            <w:r>
              <w:rPr>
                <w:rFonts w:ascii="Arial" w:cs="Arial" w:eastAsia="Arial" w:hAnsi="Arial"/>
                <w:sz w:val="18"/>
                <w:szCs w:val="18"/>
                <w:color w:val="auto"/>
                <w:w w:val="93"/>
              </w:rPr>
              <w:t>(3,586,294)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w w:val="93"/>
              </w:rPr>
              <w:t>(2,973,545)</w:t>
            </w:r>
          </w:p>
        </w:tc>
      </w:tr>
      <w:tr>
        <w:trPr>
          <w:trHeight w:val="210"/>
        </w:trPr>
        <w:tc>
          <w:tcPr>
            <w:tcW w:w="89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Basic and diluted net loss per share applicable to common stockholders as reported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(0.06)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(0.08)</w:t>
            </w:r>
          </w:p>
        </w:tc>
      </w:tr>
      <w:tr>
        <w:trPr>
          <w:trHeight w:val="210"/>
        </w:trPr>
        <w:tc>
          <w:tcPr>
            <w:tcW w:w="8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Basic and diluted net loss per share applicable to common stockholders – pro forma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75"/>
              <w:spacing w:after="0"/>
              <w:rPr>
                <w:sz w:val="20"/>
                <w:szCs w:val="20"/>
                <w:color w:val="auto"/>
              </w:rPr>
            </w:pPr>
            <w:r>
              <w:rPr>
                <w:rFonts w:ascii="Arial" w:cs="Arial" w:eastAsia="Arial" w:hAnsi="Arial"/>
                <w:sz w:val="18"/>
                <w:szCs w:val="18"/>
                <w:color w:val="auto"/>
              </w:rPr>
              <w:t>(0.06)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(0.08)</w:t>
            </w:r>
          </w:p>
        </w:tc>
      </w:tr>
      <w:tr>
        <w:trPr>
          <w:trHeight w:val="210"/>
        </w:trPr>
        <w:tc>
          <w:tcPr>
            <w:tcW w:w="89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Shares used in basic and diluted loss per share applicable to common stockholder amounts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88"/>
              </w:rPr>
              <w:t>62,406,725</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88"/>
              </w:rPr>
              <w:t>41,010,068</w:t>
            </w:r>
          </w:p>
        </w:tc>
      </w:tr>
      <w:tr>
        <w:trPr>
          <w:trHeight w:val="399"/>
        </w:trPr>
        <w:tc>
          <w:tcPr>
            <w:tcW w:w="8940" w:type="dxa"/>
            <w:vAlign w:val="bottom"/>
          </w:tcPr>
          <w:p>
            <w:pPr>
              <w:ind w:left="56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6"/>
        </w:trPr>
        <w:tc>
          <w:tcPr>
            <w:tcW w:w="89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effects on pro forma net loss and net loss per share of expensing the estimated fair value of stock options are not necessarily representative of the effects on reporting the results of operations for future years. As required by SFAS 123, the Company has used the Black-Scholes model for option valuation, which method may not accurately value the options described.</w:t>
      </w:r>
    </w:p>
    <w:p>
      <w:pPr>
        <w:spacing w:after="0" w:line="154" w:lineRule="exact"/>
        <w:rPr>
          <w:sz w:val="20"/>
          <w:szCs w:val="20"/>
          <w:color w:val="auto"/>
        </w:rPr>
      </w:pPr>
    </w:p>
    <w:p>
      <w:pPr>
        <w:ind w:right="340" w:firstLine="222"/>
        <w:spacing w:after="0" w:line="302" w:lineRule="auto"/>
        <w:rPr>
          <w:sz w:val="20"/>
          <w:szCs w:val="20"/>
          <w:color w:val="auto"/>
        </w:rPr>
      </w:pPr>
      <w:r>
        <w:rPr>
          <w:rFonts w:ascii="Arial" w:cs="Arial" w:eastAsia="Arial" w:hAnsi="Arial"/>
          <w:sz w:val="16"/>
          <w:szCs w:val="16"/>
          <w:color w:val="auto"/>
        </w:rPr>
        <w:t xml:space="preserve">The Company accounts for stock options granted to non-employees in accordance with SFAS 123 and Emerging Issues Task Force (EITF) 96-18 — </w:t>
      </w:r>
      <w:r>
        <w:rPr>
          <w:rFonts w:ascii="Arial" w:cs="Arial" w:eastAsia="Arial" w:hAnsi="Arial"/>
          <w:sz w:val="16"/>
          <w:szCs w:val="16"/>
          <w:i w:val="1"/>
          <w:iCs w:val="1"/>
          <w:color w:val="auto"/>
        </w:rPr>
        <w:t>“Accounting For Equity Instruments That Are Issued To Other Than Employees For Acquiring, Or In Conjunction With Selling, Goods Or Services”</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114"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December 2004, FASB issued SFAS No. 123R (revised 2004</w:t>
      </w:r>
      <w:r>
        <w:rPr>
          <w:rFonts w:ascii="Arial" w:cs="Arial" w:eastAsia="Arial" w:hAnsi="Arial"/>
          <w:sz w:val="17"/>
          <w:szCs w:val="17"/>
          <w:i w:val="1"/>
          <w:iCs w:val="1"/>
          <w:color w:val="auto"/>
        </w:rPr>
        <w:t>),” Share-Based Payment”</w:t>
      </w:r>
      <w:r>
        <w:rPr>
          <w:rFonts w:ascii="Arial" w:cs="Arial" w:eastAsia="Arial" w:hAnsi="Arial"/>
          <w:sz w:val="17"/>
          <w:szCs w:val="17"/>
          <w:color w:val="auto"/>
        </w:rPr>
        <w:t xml:space="preserve"> (SFAS 123R). This Statement is a revision of SFAS 123 and amends SFAS No. 95,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This Statement supersedes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and its related implementation guidance. SFAS 123R covers a wide range of share-based compensation arrangements including stock options, restricted share plans, performance-based awards, share appreciation rights, and employee share purchase plans. The new standard is effective as of the beginning of the first interim or annual reporting period that begins after December 15, 2005. Based on the aforementioned effective date, the Company will begin expensing stock options granted to its employees in its Statement of Operations using a fair-value based method effective the period beginning January 1, 2006. Adoption of the expensing requirements will increase the Company’s operating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Fees associated with substantive at risk, performance-based milestones are recognized as revenue upon their completion, as defined in the respective agreements. Incidental assignment of technology rights is recognized as revenue at the time of receipt.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December 2004, FASB issued SFAS No. 123R (revised 2004</w:t>
      </w:r>
      <w:r>
        <w:rPr>
          <w:rFonts w:ascii="Arial" w:cs="Arial" w:eastAsia="Arial" w:hAnsi="Arial"/>
          <w:sz w:val="16"/>
          <w:szCs w:val="16"/>
          <w:i w:val="1"/>
          <w:iCs w:val="1"/>
          <w:color w:val="auto"/>
        </w:rPr>
        <w:t>),” Share-Based Payment”</w:t>
      </w:r>
      <w:r>
        <w:rPr>
          <w:rFonts w:ascii="Arial" w:cs="Arial" w:eastAsia="Arial" w:hAnsi="Arial"/>
          <w:sz w:val="16"/>
          <w:szCs w:val="16"/>
          <w:color w:val="auto"/>
        </w:rPr>
        <w:t xml:space="preserve"> (SFAS 123R). This Statement is a revision of SFAS No. 123, Accounting for Stock-Based Compensation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This Statement supersedes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its related implementation guidance. SFAS 123R covers a wide range of share-based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including stock options, restricted share plans, performance-based awards, share appreciation rights, and employee share purchase plans. The new standard is effective as of the beginning of the first interim or annual reporting period that begins after December 15, 2005. Based on the aforementioned effective date, the Company will begin expensing stock options granted to its employees in its Statement of Operations using a fair-value based method effective the period beginning January 1, 2006. Adoption of the expensing requirements will reduce the Company’s reported earnings. See “Stock-based Compensation” above in this Note 1 for disclosures regarding the effect on net earnings and earnings per share if we had applied the fair value recognition provisions of the exposure draft and SFAS No. 123. Depending on the model used to calculate stock-based compensation expense in the future, that disclosure may not prove indicative of the stock-based compensation expense to be recognized in future financial statements.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LEASES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had undertaken direct financing transactions with the State of Rhode Island and received proceeds from the issuance of industrial revenue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bonds totaling $5,000,000 to finance the construction of a pilot manufacturing facility related to its former encapsulated cell technology. The related leases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structured such that lease payments will fully fund all semiannual interest payments and annual principal payments through maturity in August 2014.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rates vary with the respective bonds’ maturities, ranging currently from 8.1% to 9.5%. The outstanding principal at March 31, 2005 was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$1,790,000. The bonds contain certain restrictive covenants, which limit among other things, the payment of cash dividends and the sale of the related assets.</w:t>
      </w:r>
    </w:p>
    <w:p>
      <w:pPr>
        <w:spacing w:after="0" w:line="193"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The Company entered into a fifteen-year lease for a laboratory facility in connection with a sale and leaseback arrangement in 1997. The lease has escalating rent payments and accordingly, the Company is recognizing rent expense on a straight-line basis. At December 31, 2004 and March 31, 2005, the Company had deferred rent liability for this facility of $1,177,000 and $1,185,000 respectively; the deferred rent liability is presented as part of the wind-down accrual.</w:t>
      </w:r>
    </w:p>
    <w:p>
      <w:pPr>
        <w:spacing w:after="0" w:line="146" w:lineRule="exact"/>
        <w:rPr>
          <w:sz w:val="20"/>
          <w:szCs w:val="20"/>
          <w:color w:val="auto"/>
        </w:rPr>
      </w:pPr>
    </w:p>
    <w:p>
      <w:pPr>
        <w:ind w:right="60" w:firstLine="215"/>
        <w:spacing w:after="0" w:line="291" w:lineRule="auto"/>
        <w:rPr>
          <w:sz w:val="20"/>
          <w:szCs w:val="20"/>
          <w:color w:val="auto"/>
        </w:rPr>
      </w:pPr>
      <w:r>
        <w:rPr>
          <w:rFonts w:ascii="Arial" w:cs="Arial" w:eastAsia="Arial" w:hAnsi="Arial"/>
          <w:sz w:val="16"/>
          <w:szCs w:val="16"/>
          <w:color w:val="auto"/>
        </w:rPr>
        <w:t>Although the Company previously discontinued activities relating to encapsulated cell technology, the Company remains obligated under the leases for the pilot manufacturing facility and the laboratory facility. The Company has succeeded in subleasing the pilot manufacturing facility and part of the laboratory facility. The aggregate income received by the Company is significantly less than the Company’s aggregate obligations under the leases, and the Company’s continued receipt of rental income is dependent on the financial ability of the occupants to comply with their obligations under the subleases.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140" w:lineRule="exact"/>
        <w:rPr>
          <w:sz w:val="20"/>
          <w:szCs w:val="20"/>
          <w:color w:val="auto"/>
        </w:rPr>
      </w:pPr>
    </w:p>
    <w:p>
      <w:pPr>
        <w:ind w:right="80" w:firstLine="215"/>
        <w:spacing w:after="0" w:line="270" w:lineRule="auto"/>
        <w:rPr>
          <w:sz w:val="20"/>
          <w:szCs w:val="20"/>
          <w:color w:val="auto"/>
        </w:rPr>
      </w:pPr>
      <w:r>
        <w:rPr>
          <w:rFonts w:ascii="Arial" w:cs="Arial" w:eastAsia="Arial" w:hAnsi="Arial"/>
          <w:sz w:val="17"/>
          <w:szCs w:val="17"/>
          <w:color w:val="auto"/>
        </w:rPr>
        <w:t>As of February 1, 2001, the Company entered into a 5-year lease for a 40,000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annual rent over the remaining term of the lease from approximately $3.7 million to $2.0 million. As part of the amendment the Company issued a letter of credit on January 2, 2003 for $503,079, which was an addition to the letter of credit in the amount of $275,000 issued at commencement of the lease, to serve as a deposit for the duration of the lease. As the lease involved an upfront payment as well as escalating rent payments, the Company is recognizing rent expense on a straight-line basis. At March 31, 2005, the Company had $404,000 in deferred rent liability for this facility. In 2001 and 2002, the Company entered into space-sharing agreements currently covering in total approximately 13,000 square feet of the 40,000 square foot facility. The Company receives the amount of base rent plus the proportionate share of the operating expenses that it pays for such space over the term of these agreements. See Note 6. Subsequent Events.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WIND-DOWN OF ENCAPSULATED CELL TECHNOLOGY RESEARCH AND DEVELOPMENT PROGRAM</w:t>
      </w:r>
    </w:p>
    <w:p>
      <w:pPr>
        <w:spacing w:after="0" w:line="18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Until mid-1999, the Company engaged in research and development in encapsulated cell therapy technology, including a pain control program funded by AstraZeneca Group plc. In June 1999 AstraZeneca terminated the collaboration, as allowed under the terms of the original collaborative agreement signed in 1995. As a result of termination, management determined in July 1999 to restructure its research operations to abandon all further encapsulated cell technology research and concentrate its resources on the research and development of its proprietary platform of stem cell technologies. The Company wound down its research and manufacturing operations in Lincoln, Rhode Island, and relocated its remaining research and development activities, and its corporate headquarters, to California, in October 1999.</w:t>
      </w:r>
    </w:p>
    <w:p>
      <w:pPr>
        <w:spacing w:after="0" w:line="166"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In 1999 the Company established a reserve for the estimated lease payments and operating costs of the Rhode Island facilities through an expected disposal date of June 30, 2000. The Company did not fully sublet the Rhode Island facilities in 2000. Even though it is the intent of the Company to dispose the facility at the earliest possible time, it cannot determine with certainty a fixed date by which such disposal will occur. In light of this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uncertainty, based on estimates, the Company periodically re-evaluates and adjusts the reserve. The Company considers various factors such as the Company’s lease payments through to the end of the lease, operating expenses, the current real estate market in Rhode Island, and estimated subtenant income based on occupancy both actual and projected. At December 31, 2004 the reserve was $4,350,000. For the three month period ending March 31, 2005 the Company incurred $303,000 in operating expenses which was recorded against the reserve. After evaluating the afore mentioned factors the Company re-evaluated its estimate and adjusted the reserve to $4,568,000 at March 31, 2005 by recording an additional $521,000 as wind-down expenses. The Company will continue to periodically re-evaluate and adjust the reserve.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reserve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January to March</w:t>
            </w:r>
          </w:p>
        </w:tc>
        <w:tc>
          <w:tcPr>
            <w:tcW w:w="1500" w:type="dxa"/>
            <w:vAlign w:val="bottom"/>
            <w:gridSpan w:val="2"/>
          </w:tcPr>
          <w:p>
            <w:pPr>
              <w:ind w:left="180"/>
              <w:spacing w:after="0"/>
              <w:rPr>
                <w:sz w:val="20"/>
                <w:szCs w:val="20"/>
                <w:color w:val="auto"/>
              </w:rPr>
            </w:pPr>
            <w:r>
              <w:rPr>
                <w:rFonts w:ascii="Arial" w:cs="Arial" w:eastAsia="Arial" w:hAnsi="Arial"/>
                <w:sz w:val="14"/>
                <w:szCs w:val="14"/>
                <w:color w:val="auto"/>
                <w:w w:val="97"/>
              </w:rPr>
              <w:t>January to December</w:t>
            </w:r>
          </w:p>
        </w:tc>
      </w:tr>
      <w:tr>
        <w:trPr>
          <w:trHeight w:val="17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31, 2005</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31, 2004</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reserve at beginning of period</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4,350,000</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2,676,000</w:t>
            </w: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Less actual expenses recorded against estimated reserve during the period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(303,000)</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(1,152,000)</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Additional expense recorded to revise estimated reserve at period-end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521,000</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2,826,000</w:t>
            </w: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Revised reserve at period-end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w w:val="99"/>
              </w:rPr>
              <w:t>4,568,000</w:t>
            </w:r>
          </w:p>
        </w:tc>
        <w:tc>
          <w:tcPr>
            <w:tcW w:w="4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4,350,000</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Add deferred rent at period end (Note 2)</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1,185,000</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1,178,000</w:t>
            </w: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Total accrued wind-down expenses at period-end (current and non current portion)</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5,753,000</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5,528,000</w:t>
            </w: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Current portion</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1,034,000</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1,013,000</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 current portion</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4,719,000</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4,515,000</w:t>
            </w: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Total Accrued wind-down expenses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5,753,000</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5,528,000</w:t>
            </w: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GRANTS</w:t>
      </w:r>
    </w:p>
    <w:p>
      <w:pPr>
        <w:spacing w:after="0" w:line="202"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September 2003 the Company was awarded a one year, $342,000, Small Business Innovation Research grant from the National Institute of Neurological Disease and Stroke (NINDS), to further its work in the treatment of spinal cord injuries. For this award, the Company has recognized revenue of $143,000 in 2003, and $93,000 in 2004. No revenue from this grant was recognized in 2005 as the remaining $107,000 was paid to a subcontractor. In September 2004, the National Institutes of Health (NIH) awarded the Company a Small Business Technology Transfer grant of $464,000 for studies in Alzheimer’s disease, consisting of $308,000 for the first year and $156,000 for the remainder of the grant term, September 30, 2004 through March 31, 2006. The studies will be conducted by Dr. George A. Carlson of the McLaughlin Research Institute (MRI) in Great Falls, Montana, which will receive approximately $222,000 of the total award. The Company recognized $26,000 in 2004 and $26,000 for the three month period ended March 31, 2005.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189"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January 2005 and March 2005, warrants issued as part of the June 16, 2004 financing arrangement, were exercised to purchase an aggregate of 50,250 and 2,500 shares respectively of the Company’s common stock at $1.90 per share. The Company issued 52,750 shares of its common stock and received proceeds of $100,000. Also in January 2005, 79,899 shares of unregistered stock were issued upon the cashless exercise by the holder of a warrant acquired as partial compensation for services to the Company. On April 13, 2000 the Company issued 1,500 shares of 6% cumulative convertible preferred stock plus adjustable warrants to two members of its Board of Directors. The preferred shares were converted into common shares in 2002. In March 2005, one of the members exercised his adjustable warrant in full for 72,252 shares at $3.42 per share. The Company issued 72,252 shares and received proceeds of $247,000. For the three month period ended March 31, 2005, the Company issued 173,252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shares from activity related to its stock option plans. The following table presents the activity of the Company’s stock option plans for the three month period ended March 31, 2005</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2005</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jc w:val="center"/>
              <w:ind w:right="94"/>
              <w:spacing w:after="0" w:line="123" w:lineRule="exact"/>
              <w:rPr>
                <w:sz w:val="20"/>
                <w:szCs w:val="20"/>
                <w:color w:val="auto"/>
              </w:rPr>
            </w:pPr>
            <w:r>
              <w:rPr>
                <w:rFonts w:ascii="Arial" w:cs="Arial" w:eastAsia="Arial" w:hAnsi="Arial"/>
                <w:sz w:val="14"/>
                <w:szCs w:val="14"/>
                <w:color w:val="auto"/>
                <w:w w:val="91"/>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tcPr>
          <w:p>
            <w:pPr>
              <w:ind w:left="340"/>
              <w:spacing w:after="0" w:line="149" w:lineRule="exact"/>
              <w:rPr>
                <w:sz w:val="20"/>
                <w:szCs w:val="20"/>
                <w:color w:val="auto"/>
              </w:rPr>
            </w:pPr>
            <w:r>
              <w:rPr>
                <w:rFonts w:ascii="Arial" w:cs="Arial" w:eastAsia="Arial" w:hAnsi="Arial"/>
                <w:sz w:val="14"/>
                <w:szCs w:val="14"/>
                <w:color w:val="auto"/>
                <w:w w:val="98"/>
              </w:rPr>
              <w:t>Average 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9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Options</w:t>
            </w: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6,682,201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329,838</w:t>
            </w:r>
          </w:p>
        </w:tc>
        <w:tc>
          <w:tcPr>
            <w:tcW w:w="80" w:type="dxa"/>
            <w:vAlign w:val="bottom"/>
          </w:tcPr>
          <w:p>
            <w:pPr>
              <w:spacing w:after="0"/>
              <w:rPr>
                <w:sz w:val="18"/>
                <w:szCs w:val="18"/>
                <w:color w:val="auto"/>
              </w:rPr>
            </w:pPr>
          </w:p>
        </w:tc>
        <w:tc>
          <w:tcPr>
            <w:tcW w:w="500" w:type="dxa"/>
            <w:vAlign w:val="bottom"/>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(173,252)</w:t>
            </w:r>
          </w:p>
        </w:tc>
        <w:tc>
          <w:tcPr>
            <w:tcW w:w="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Canceled</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(110,000)</w:t>
            </w:r>
          </w:p>
        </w:tc>
        <w:tc>
          <w:tcPr>
            <w:tcW w:w="500" w:type="dxa"/>
            <w:vAlign w:val="bottom"/>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6,728,787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March 31</w:t>
            </w: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line="20" w:lineRule="exact"/>
              <w:rPr>
                <w:sz w:val="1"/>
                <w:szCs w:val="1"/>
                <w:color w:val="auto"/>
              </w:rPr>
            </w:pPr>
          </w:p>
        </w:tc>
      </w:tr>
      <w:tr>
        <w:trPr>
          <w:trHeight w:val="210"/>
        </w:trPr>
        <w:tc>
          <w:tcPr>
            <w:tcW w:w="9040" w:type="dxa"/>
            <w:vAlign w:val="bottom"/>
            <w:gridSpan w:val="2"/>
            <w:vMerge w:val="continue"/>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3,623,637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SUBSEQUENT EVENTS</w:t>
      </w:r>
    </w:p>
    <w:p>
      <w:pPr>
        <w:spacing w:after="0" w:line="189"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Company has negotiated an amendment to the lease for its facility located in Palo Alto, California effective as of April 1, 2005, which extends the term through March 31, 2010, includes an immediate reduction in the rent per square foot, and provides for an expansion of the leased premises by approximately 28,000 additional square feet effective July 1, 2006. In addition, the Company has sublet some of the additional space for the period from April 1, 2005 through June 30, 2006. The average annual rent for the period commencing April 1, 2005 to March 31, 2010 will be approximately $2 million before sub tenant income. See Note 2, Leases.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98" w:lineRule="exact"/>
        <w:rPr>
          <w:sz w:val="20"/>
          <w:szCs w:val="20"/>
          <w:color w:val="auto"/>
        </w:rPr>
      </w:pPr>
    </w:p>
    <w:p>
      <w:pPr>
        <w:ind w:right="20" w:firstLine="222"/>
        <w:spacing w:after="0" w:line="308" w:lineRule="auto"/>
        <w:rPr>
          <w:sz w:val="20"/>
          <w:szCs w:val="20"/>
          <w:color w:val="auto"/>
        </w:rPr>
      </w:pPr>
      <w:r>
        <w:rPr>
          <w:rFonts w:ascii="Arial" w:cs="Arial" w:eastAsia="Arial" w:hAnsi="Arial"/>
          <w:sz w:val="17"/>
          <w:szCs w:val="17"/>
          <w:color w:val="auto"/>
        </w:rPr>
        <w:t>The following discussion of our financial condition and the results of our operations for the three month periods ended March 31, 2005 and 2004 should be read in conjunction with the accompanying unaudited condensed consolidated financial statements and the related footnotes thereto.</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report contains forward looking statements within the meaning of Section 27A of the Securities Act and Section 21E of the Securities Exchange Act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involve substantial risks and uncertainties. Such statements include, without limitation, all statements as to expectation or belief and statements as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results of operations, the progress of our research, product development and clinical programs, the need for, and timing of, additional capital and capital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expenditures, partnering prospects, costs of manufacture of products, the protection of and the need for additional intellectual property rights, effects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regulations, the need for additional facilities and potential market opportunities. Our actual results may vary materially from those contained in such forward-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looking statements because of risks to which we are subject, including uncertainty as to whether the U.S. Food and Drug Administration will remove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clinical hold on our proposed initial clinical trial and permit us to proceed to clinical testing despite the novel and unproven nature of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technology; the risk that, even if approved, our initial clinical trial could be substantially delayed beyond its expected dates or cause us to incur substantial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unanticipated costs; uncertainties regarding the our ability to obtain the capital resources needed to continue our current research and development operations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to conduct the research, preclinical development and clinical trials necessary for regulatory approvals; the risk of failure to obtain a corporate partner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partners to support the development of our stem cell programs, the uncertainty regarding the outcome of the Phase I clinical trial and any other trials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may conduct in the future; the uncertainty regarding the validity and enforceability of issued patents; the uncertainty whether any products that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generated in the Company’s stem cell programs will prove clinically effective and not cause tumors or other side effects; the uncertainty whether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will achieve revenues from product sales or become profitable; uncertainties regarding the Company’s obligations in regard to its former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encapsulated cell therapy facilities in Rhode Island; obsolescence of our technology; competition from third parties; intellectual property rights of third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parties; litigation and other risks to which we are subject. Before you invest in our common stock, you should be aware that the occurrence of the events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described in the “Cautionary Factors Relevant to Forward Looking Information” and “Business” sections included in our Form 10-K report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could harm our business, operating results and financial condition. All forward-looking statements attributable to us or to persons acting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our behalf are expressly qualified in their entirety by the cautionary statements and risk factors contained or referred to herein.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Since our inception in 1988, we have been primarily engaged in research and development of human therapeutic products. Since the second half of 1999, our sole focus has been on our stem cell technology. In the last quarter of 2004 we filed the first in a planned series of INDs (Investigational New Drug Applications) for CNS (Central Nervous System) diseases or conditions with the FDA (U.S. Food and Drug Administration). This IND, which is for a Phase I clinical trial of our human neural stem cells in Batten disease, is currently on clinical hold until questions and issues raised by the FDA have been resolved. Batten disease is included among the neuronal ceroid lipofuscinoses (NCLs), a set of several closely related genetic lysosomal storage disorders caused by a deficiency of specific enzymes required for normal cell metabolism. The deficiency results in storage of toxic waste materials and the death of certain neurons. The NCLs primarily affect infants and young children, and are always fatal. There can be no assurance that the FDA will lift the clinical hold and permit the trial to go forward.</w:t>
      </w:r>
    </w:p>
    <w:p>
      <w:pPr>
        <w:spacing w:after="0" w:line="152"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have not derived any revenues from the sale of any products apart from license revenue for the research use of our human neural stem cells and other patented cells and media,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had expenditures for toxicology and other studies in preparation for submitting the Batten disease IND to the FDA, and will incur more such expenditures for any future INDs. We have incurred annual operating losses since inception and expect to incur substantial operating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39"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Since 2001, we have entered into a number of financing arrangements including an equity line (which has now expired) from which we drew $4.6 million; sale of 1 million shares of common stock for $1.1 million; sale of 4 million shares of common stock for $6.5 million; issuance of convertible preferred stock for $5 million (all of which has now been converted); sale of 5 million shares of common stock for a total of $9.5 million, and in 2004, two financing arrangements for gross proceeds of $20 million and $22.5 million in June and October respectively. (See “Liquidity and Capital Resources” below for further detail on each of these transactions.</w:t>
      </w:r>
    </w:p>
    <w:p>
      <w:pPr>
        <w:spacing w:after="0" w:line="148"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licensing payments, the initiation or termination of research collaborations, the changes in the sublease income and rental and other expenses to lease and maintain our facilities in Rhode Island and changes in the costs associated with our move to a larger facility in California. To expand and provide high quality systems and support to our research and development programs, we would need to hire more personnel, which would lead to higher operating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98"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100" w:firstLine="222"/>
        <w:spacing w:after="0" w:line="286"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include the accrued wind-down expenses related to our Rhode Island facilities.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firstLine="215"/>
        <w:spacing w:after="0" w:line="286" w:lineRule="auto"/>
        <w:rPr>
          <w:sz w:val="20"/>
          <w:szCs w:val="20"/>
          <w:color w:val="auto"/>
        </w:rPr>
      </w:pPr>
      <w:r>
        <w:rPr>
          <w:rFonts w:ascii="Arial" w:cs="Arial" w:eastAsia="Arial" w:hAnsi="Arial"/>
          <w:sz w:val="16"/>
          <w:szCs w:val="16"/>
          <w:color w:val="auto"/>
        </w:rPr>
        <w:t xml:space="preserve">As permitted by the provisions of Statement of Financial Accounting Standards (“SFAS”) No. 148, </w:t>
      </w:r>
      <w:r>
        <w:rPr>
          <w:rFonts w:ascii="Arial" w:cs="Arial" w:eastAsia="Arial" w:hAnsi="Arial"/>
          <w:sz w:val="16"/>
          <w:szCs w:val="16"/>
          <w:i w:val="1"/>
          <w:iCs w:val="1"/>
          <w:color w:val="auto"/>
        </w:rPr>
        <w:t>“Accounting for Stock-Based 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Transition and Disclosure,” </w:t>
      </w:r>
      <w:r>
        <w:rPr>
          <w:rFonts w:ascii="Arial" w:cs="Arial" w:eastAsia="Arial" w:hAnsi="Arial"/>
          <w:sz w:val="16"/>
          <w:szCs w:val="16"/>
          <w:color w:val="auto"/>
        </w:rPr>
        <w:t>and Statement of Financial Accounting Standards No. 123,</w:t>
      </w:r>
      <w:r>
        <w:rPr>
          <w:rFonts w:ascii="Arial" w:cs="Arial" w:eastAsia="Arial" w:hAnsi="Arial"/>
          <w:sz w:val="16"/>
          <w:szCs w:val="16"/>
          <w:i w:val="1"/>
          <w:iCs w:val="1"/>
          <w:color w:val="auto"/>
        </w:rPr>
        <w:t xml:space="preserve"> “Accounting for Stock-Based Compensation,” </w:t>
      </w:r>
      <w:r>
        <w:rPr>
          <w:rFonts w:ascii="Arial" w:cs="Arial" w:eastAsia="Arial" w:hAnsi="Arial"/>
          <w:sz w:val="16"/>
          <w:szCs w:val="16"/>
          <w:color w:val="auto"/>
        </w:rPr>
        <w:t>our employee stock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 plan is accounted for under Accounting Principles Board Opinion No. 25 (“APB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We grant qualified stock options for a fixed number of shares to employees with an exercise price equal to the fair market value of the shares at the date of grant. In these circumstances in accordance with APB 25, we recognize no compensation expense for qualified stock option grants. We also issue non-qualified stock options for a fixed number of shares to employees with an exercise price less than the fair market value of the shares at the date of grant. When such options vest, we recognize the difference between the exercise price and fair market value as compensation expense in accordance with APB 25. Note 9 of the Notes to the Consolidated Financial Statements, included in our 2004 Annual Report on Form 10-K, describes our equity compensation plans, and Note 1 of the Notes to the Condensed Consolidated Financial Statements elsewhere in this report contains a summary of the pro forma effects to reported net loss and loss per share for the three months ended March 31, 2005 and 2004 as if we had elected to recognize compensation cost based on the fair value of the options granted at grant date, as prescribed by SFAS 123. We account for certain stock options granted to non-employees in accordance with SFAS No. 123 and Emerging Issues Task Force (“EITF”) 96-18 — accounting for equity instruments that are issued to other than employees for acquiring, or in conjunction with selling, goods or services, and accordingly, we recognize as expense the estimated fair value of such options as calculated using the Black-Scholes valuation model, and as re-measured during the service period. Fair value is determined using methodologies allowable by SFAS No. 123. The cost is amortized over the vesting period of each option or the recipient’s contractual arrangement, if shorter.</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December 2004, FASB issued SFAS 123R (revised 2004</w:t>
      </w:r>
      <w:r>
        <w:rPr>
          <w:rFonts w:ascii="Arial" w:cs="Arial" w:eastAsia="Arial" w:hAnsi="Arial"/>
          <w:sz w:val="17"/>
          <w:szCs w:val="17"/>
          <w:i w:val="1"/>
          <w:iCs w:val="1"/>
          <w:color w:val="auto"/>
        </w:rPr>
        <w:t>),” Share-Based Payment”</w:t>
      </w:r>
      <w:r>
        <w:rPr>
          <w:rFonts w:ascii="Arial" w:cs="Arial" w:eastAsia="Arial" w:hAnsi="Arial"/>
          <w:sz w:val="17"/>
          <w:szCs w:val="17"/>
          <w:color w:val="auto"/>
        </w:rPr>
        <w:t xml:space="preserve"> (SFAS 123R). This Statement is a revision of SFAS 123,</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and amends SFAS No. 95,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This Statement supersedes APB Opinion No. 25,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and its related implementation guidance. SFAS 123R covers a wide range of share-based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arrangements including stock options, restricted share plans, performance-based awards, share appreciation rights, and employee share purchase plans.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standard is effective as of the beginning of the first interim or annual reporting period that begins after December 15, 2005. Based on the afore mentioned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we will begin expensing stock options granted to our employees in our Statement of Operations using a fair-value based method effective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 beginning January 1, 2006. Adoption of the expensing requirements will reduce the Company’s reported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We expense all research and development costs as incurred. Research and Development costs include costs of personnel, external services, supplies, facilities and miscellaneous other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and Exit Costs</w:t>
      </w:r>
    </w:p>
    <w:p>
      <w:pPr>
        <w:spacing w:after="0" w:line="202"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In connection with the wind-down of our former encapsulated cell technology operations, our research and manufacturing operations in Lincoln, Rhode Island, and the relocation of our remaining research and development activities and corporate headquarters to California, in October 1999, we provided a reserve for our estimate of the exit cost obligation in accordance with EITF 94-3, “Liability Recognition for Certain Employee Termination Benefits and Other Costs to Exit an Activity.” As the lease for our former research facility in Rhode Island terminates in 2013, we will adjust our reserve on an ongoing basis by reevaluating our estimated costs to exit this facility. The estimates are based on assumptions and experience relevant to the real estate market conditions for the facility. Such re-evaluation will include lease payments over the lease term, occupancy and sublease rental rates, and facility operating expenses. We are seeking to sublease, assign, sell or otherwise divest itself of our interest in the facility at the earliest possible time, but we cannot determine with certainty a fixed date by which such events will occur.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2005 and 2004</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34"/>
              <w:spacing w:after="0"/>
              <w:rPr>
                <w:sz w:val="20"/>
                <w:szCs w:val="20"/>
                <w:color w:val="auto"/>
              </w:rPr>
            </w:pPr>
            <w:r>
              <w:rPr>
                <w:rFonts w:ascii="Arial" w:cs="Arial" w:eastAsia="Arial" w:hAnsi="Arial"/>
                <w:sz w:val="14"/>
                <w:szCs w:val="14"/>
                <w:color w:val="auto"/>
              </w:rPr>
              <w:t>2005</w:t>
            </w:r>
          </w:p>
        </w:tc>
        <w:tc>
          <w:tcPr>
            <w:tcW w:w="1120" w:type="dxa"/>
            <w:vAlign w:val="bottom"/>
          </w:tcPr>
          <w:p>
            <w:pPr>
              <w:jc w:val="right"/>
              <w:ind w:right="334"/>
              <w:spacing w:after="0"/>
              <w:rPr>
                <w:sz w:val="20"/>
                <w:szCs w:val="20"/>
                <w:color w:val="auto"/>
              </w:rPr>
            </w:pPr>
            <w:r>
              <w:rPr>
                <w:rFonts w:ascii="Arial" w:cs="Arial" w:eastAsia="Arial" w:hAnsi="Arial"/>
                <w:sz w:val="14"/>
                <w:szCs w:val="14"/>
                <w:color w:val="auto"/>
              </w:rPr>
              <w:t>2004</w:t>
            </w:r>
          </w:p>
        </w:tc>
        <w:tc>
          <w:tcPr>
            <w:tcW w:w="220" w:type="dxa"/>
            <w:vAlign w:val="bottom"/>
          </w:tcPr>
          <w:p>
            <w:pPr>
              <w:spacing w:after="0"/>
              <w:rPr>
                <w:sz w:val="14"/>
                <w:szCs w:val="14"/>
                <w:color w:val="auto"/>
              </w:rPr>
            </w:pPr>
          </w:p>
        </w:tc>
        <w:tc>
          <w:tcPr>
            <w:tcW w:w="2020" w:type="dxa"/>
            <w:vAlign w:val="bottom"/>
            <w:gridSpan w:val="3"/>
          </w:tcPr>
          <w:p>
            <w:pPr>
              <w:jc w:val="right"/>
              <w:ind w:right="320"/>
              <w:spacing w:after="0"/>
              <w:rPr>
                <w:sz w:val="20"/>
                <w:szCs w:val="20"/>
                <w:color w:val="auto"/>
              </w:rPr>
            </w:pPr>
            <w:r>
              <w:rPr>
                <w:rFonts w:ascii="Arial" w:cs="Arial" w:eastAsia="Arial" w:hAnsi="Arial"/>
                <w:sz w:val="14"/>
                <w:szCs w:val="14"/>
                <w:color w:val="auto"/>
                <w:w w:val="99"/>
              </w:rPr>
              <w:t>Change from previous year</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628"/>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Revenue from grants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w w:val="94"/>
              </w:rPr>
              <w:t>26,092</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$ 92,593</w:t>
            </w:r>
          </w:p>
        </w:tc>
        <w:tc>
          <w:tcPr>
            <w:tcW w:w="1300" w:type="dxa"/>
            <w:vAlign w:val="bottom"/>
            <w:gridSpan w:val="2"/>
          </w:tcPr>
          <w:p>
            <w:pPr>
              <w:jc w:val="right"/>
              <w:ind w:right="268"/>
              <w:spacing w:after="0"/>
              <w:rPr>
                <w:sz w:val="20"/>
                <w:szCs w:val="20"/>
                <w:color w:val="auto"/>
              </w:rPr>
            </w:pPr>
            <w:r>
              <w:rPr>
                <w:rFonts w:ascii="Arial" w:cs="Arial" w:eastAsia="Arial" w:hAnsi="Arial"/>
                <w:sz w:val="18"/>
                <w:szCs w:val="18"/>
                <w:color w:val="auto"/>
              </w:rPr>
              <w:t>$ (66,501)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from licensing agreements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9,229</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500</w:t>
            </w:r>
          </w:p>
        </w:tc>
        <w:tc>
          <w:tcPr>
            <w:tcW w:w="13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8,729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232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80" w:type="dxa"/>
            <w:vAlign w:val="bottom"/>
            <w:vMerge w:val="continue"/>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w w:val="94"/>
              </w:rPr>
              <w:t>35,321</w:t>
            </w:r>
          </w:p>
        </w:tc>
        <w:tc>
          <w:tcPr>
            <w:tcW w:w="11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$ 93,093</w:t>
            </w:r>
          </w:p>
        </w:tc>
        <w:tc>
          <w:tcPr>
            <w:tcW w:w="1300" w:type="dxa"/>
            <w:vAlign w:val="bottom"/>
            <w:tcBorders>
              <w:top w:val="single" w:sz="8" w:color="auto"/>
            </w:tcBorders>
            <w:gridSpan w:val="2"/>
          </w:tcPr>
          <w:p>
            <w:pPr>
              <w:jc w:val="right"/>
              <w:ind w:right="268"/>
              <w:spacing w:after="0"/>
              <w:rPr>
                <w:sz w:val="20"/>
                <w:szCs w:val="20"/>
                <w:color w:val="auto"/>
              </w:rPr>
            </w:pPr>
            <w:r>
              <w:rPr>
                <w:rFonts w:ascii="Arial" w:cs="Arial" w:eastAsia="Arial" w:hAnsi="Arial"/>
                <w:sz w:val="18"/>
                <w:szCs w:val="18"/>
                <w:color w:val="auto"/>
              </w:rPr>
              <w:t>$ (57,772)</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For the three months ended March 31, 2005 revenue from grants and licensing agreements totaled approximately $35,000 of which $26,000 was part of a $464,000 Small Business Technology Transfer grant for studies in Alzheimer’s disease and approximately $9,000 in licensing revenue. For the three months ended March 31, 2004, revenue from grants and licensing agreements totaled approximately $93,000 of which $92,500 was part of the $342,000 Small Business Innovation Research grant from the National Institute of Neurological Disease and Stroke, and $500 in licensing revenue.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060" w:type="dxa"/>
            <w:vAlign w:val="bottom"/>
            <w:gridSpan w:val="2"/>
          </w:tcPr>
          <w:p>
            <w:pPr>
              <w:jc w:val="right"/>
              <w:ind w:right="470"/>
              <w:spacing w:after="0"/>
              <w:rPr>
                <w:sz w:val="20"/>
                <w:szCs w:val="20"/>
                <w:color w:val="auto"/>
              </w:rPr>
            </w:pPr>
            <w:r>
              <w:rPr>
                <w:rFonts w:ascii="Arial" w:cs="Arial" w:eastAsia="Arial" w:hAnsi="Arial"/>
                <w:sz w:val="14"/>
                <w:szCs w:val="14"/>
                <w:color w:val="auto"/>
              </w:rPr>
              <w:t>2005</w:t>
            </w:r>
          </w:p>
        </w:tc>
        <w:tc>
          <w:tcPr>
            <w:tcW w:w="1200" w:type="dxa"/>
            <w:vAlign w:val="bottom"/>
          </w:tcPr>
          <w:p>
            <w:pPr>
              <w:jc w:val="right"/>
              <w:ind w:right="394"/>
              <w:spacing w:after="0"/>
              <w:rPr>
                <w:sz w:val="20"/>
                <w:szCs w:val="20"/>
                <w:color w:val="auto"/>
              </w:rPr>
            </w:pPr>
            <w:r>
              <w:rPr>
                <w:rFonts w:ascii="Arial" w:cs="Arial" w:eastAsia="Arial" w:hAnsi="Arial"/>
                <w:sz w:val="14"/>
                <w:szCs w:val="14"/>
                <w:color w:val="auto"/>
              </w:rPr>
              <w:t>2004</w:t>
            </w:r>
          </w:p>
        </w:tc>
        <w:tc>
          <w:tcPr>
            <w:tcW w:w="220" w:type="dxa"/>
            <w:vAlign w:val="bottom"/>
          </w:tcPr>
          <w:p>
            <w:pPr>
              <w:spacing w:after="0"/>
              <w:rPr>
                <w:sz w:val="14"/>
                <w:szCs w:val="14"/>
                <w:color w:val="auto"/>
              </w:rPr>
            </w:pPr>
          </w:p>
        </w:tc>
        <w:tc>
          <w:tcPr>
            <w:tcW w:w="2040" w:type="dxa"/>
            <w:vAlign w:val="bottom"/>
            <w:gridSpan w:val="3"/>
          </w:tcPr>
          <w:p>
            <w:pPr>
              <w:jc w:val="right"/>
              <w:ind w:right="340"/>
              <w:spacing w:after="0"/>
              <w:rPr>
                <w:sz w:val="20"/>
                <w:szCs w:val="20"/>
                <w:color w:val="auto"/>
              </w:rPr>
            </w:pPr>
            <w:r>
              <w:rPr>
                <w:rFonts w:ascii="Arial" w:cs="Arial" w:eastAsia="Arial" w:hAnsi="Arial"/>
                <w:sz w:val="14"/>
                <w:szCs w:val="14"/>
                <w:color w:val="auto"/>
                <w:w w:val="99"/>
              </w:rPr>
              <w:t>Change from previous year</w:t>
            </w: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648"/>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060" w:type="dxa"/>
            <w:vAlign w:val="bottom"/>
            <w:gridSpan w:val="2"/>
          </w:tcPr>
          <w:p>
            <w:pPr>
              <w:jc w:val="right"/>
              <w:ind w:right="190"/>
              <w:spacing w:after="0"/>
              <w:rPr>
                <w:sz w:val="20"/>
                <w:szCs w:val="20"/>
                <w:color w:val="auto"/>
              </w:rPr>
            </w:pPr>
            <w:r>
              <w:rPr>
                <w:rFonts w:ascii="Arial" w:cs="Arial" w:eastAsia="Arial" w:hAnsi="Arial"/>
                <w:sz w:val="18"/>
                <w:szCs w:val="18"/>
                <w:color w:val="auto"/>
              </w:rPr>
              <w:t>1,824,930</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1,867,927</w:t>
            </w:r>
          </w:p>
        </w:tc>
        <w:tc>
          <w:tcPr>
            <w:tcW w:w="1320" w:type="dxa"/>
            <w:vAlign w:val="bottom"/>
            <w:gridSpan w:val="2"/>
          </w:tcPr>
          <w:p>
            <w:pPr>
              <w:jc w:val="right"/>
              <w:ind w:right="268"/>
              <w:spacing w:after="0"/>
              <w:rPr>
                <w:sz w:val="20"/>
                <w:szCs w:val="20"/>
                <w:color w:val="auto"/>
              </w:rPr>
            </w:pPr>
            <w:r>
              <w:rPr>
                <w:rFonts w:ascii="Arial" w:cs="Arial" w:eastAsia="Arial" w:hAnsi="Arial"/>
                <w:sz w:val="18"/>
                <w:szCs w:val="18"/>
                <w:color w:val="auto"/>
              </w:rPr>
              <w:t>$ (42,997)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4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1,299,205</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863,830</w:t>
            </w:r>
          </w:p>
        </w:tc>
        <w:tc>
          <w:tcPr>
            <w:tcW w:w="13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435,375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223"/>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2940" w:type="dxa"/>
            <w:vAlign w:val="bottom"/>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520,974</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130,569</w:t>
            </w:r>
          </w:p>
        </w:tc>
        <w:tc>
          <w:tcPr>
            <w:tcW w:w="132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8"/>
                <w:szCs w:val="18"/>
                <w:color w:val="auto"/>
              </w:rPr>
              <w:t>390,405</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299%</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3,645,109</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2,862,326</w:t>
            </w:r>
          </w:p>
        </w:tc>
        <w:tc>
          <w:tcPr>
            <w:tcW w:w="13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782,783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40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940" w:type="dxa"/>
            <w:vAlign w:val="bottom"/>
          </w:tcPr>
          <w:p>
            <w:pPr>
              <w:jc w:val="right"/>
              <w:ind w:right="954"/>
              <w:spacing w:after="0"/>
              <w:rPr>
                <w:sz w:val="20"/>
                <w:szCs w:val="20"/>
                <w:color w:val="auto"/>
              </w:rPr>
            </w:pPr>
            <w:r>
              <w:rPr>
                <w:rFonts w:ascii="Arial" w:cs="Arial" w:eastAsia="Arial" w:hAnsi="Arial"/>
                <w:sz w:val="18"/>
                <w:szCs w:val="18"/>
                <w:color w:val="auto"/>
              </w:rPr>
              <w:t>14</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Research and development expenses totaled approximately $1,825,000 for the three months ended March 31, 2005, compared with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$1,868,000 for the same period in 2004. The decrease of $43,000 or approximately 2% from 2004 to 2005 was primarily attributable to the expenditures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2004 required for toxicology studies, supplies, and other external services in preparation for submitting our first IND to the FDA, to evaluate the safety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efficacy of our human neural stem cells as a treatment for Batten disease offset by the costs associated with an increase in head count in 2005. At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2005, we had thirty full-time employees working in research and development and laboratory support services as compared to twenty-two at March 31, 2004.</w:t>
      </w:r>
    </w:p>
    <w:p>
      <w:pPr>
        <w:spacing w:after="0" w:line="207"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General and administrative expenses were approximately $1,299,000 for the three months ended March 31, 2005, compared with approximately $864,000 for the same period in 2004. The increase of $435,000 or approximately 50%, from 2004 to 2005 was primarily attributable to the cost of external services incurred in the evaluation and testing of our internal financial control systems so as to meet the requirements of and be in compliance with the new Securities and Exchange Commission rules issued under section 404 of the Sarbanes-Oxley Act. The increase in general and administrative expenses was also attributable to costs related to an increase in head count and recruiting.</w:t>
      </w:r>
    </w:p>
    <w:p>
      <w:pPr>
        <w:spacing w:after="0" w:line="132" w:lineRule="exact"/>
        <w:rPr>
          <w:sz w:val="20"/>
          <w:szCs w:val="20"/>
          <w:color w:val="auto"/>
        </w:rPr>
      </w:pPr>
    </w:p>
    <w:p>
      <w:pPr>
        <w:ind w:right="200" w:firstLine="225"/>
        <w:spacing w:after="0" w:line="270" w:lineRule="auto"/>
        <w:rPr>
          <w:sz w:val="20"/>
          <w:szCs w:val="20"/>
          <w:color w:val="auto"/>
        </w:rPr>
      </w:pPr>
      <w:r>
        <w:rPr>
          <w:rFonts w:ascii="Arial" w:cs="Arial" w:eastAsia="Arial" w:hAnsi="Arial"/>
          <w:sz w:val="17"/>
          <w:szCs w:val="17"/>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December 31, 2004 the reserve was $4,350,000. For the three months ended March 31, 2005, expenses of $303,000 net of subtenant income was recorded against this reserve. At March 31, 2005 we re-evaluated the estimate and adjusted the reserve to $4,568,000 by recording an additional $521,000 as wind-down expenses. Wind-down expenses for the same period in 2004 were $131,000.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color w:val="auto"/>
              </w:rPr>
              <w:t>2005</w:t>
            </w:r>
          </w:p>
        </w:tc>
        <w:tc>
          <w:tcPr>
            <w:tcW w:w="1120" w:type="dxa"/>
            <w:vAlign w:val="bottom"/>
          </w:tcPr>
          <w:p>
            <w:pPr>
              <w:jc w:val="right"/>
              <w:ind w:right="354"/>
              <w:spacing w:after="0"/>
              <w:rPr>
                <w:sz w:val="20"/>
                <w:szCs w:val="20"/>
                <w:color w:val="auto"/>
              </w:rPr>
            </w:pPr>
            <w:r>
              <w:rPr>
                <w:rFonts w:ascii="Arial" w:cs="Arial" w:eastAsia="Arial" w:hAnsi="Arial"/>
                <w:sz w:val="14"/>
                <w:szCs w:val="14"/>
                <w:color w:val="auto"/>
              </w:rPr>
              <w:t>2004</w:t>
            </w:r>
          </w:p>
        </w:tc>
        <w:tc>
          <w:tcPr>
            <w:tcW w:w="200" w:type="dxa"/>
            <w:vAlign w:val="bottom"/>
          </w:tcPr>
          <w:p>
            <w:pPr>
              <w:spacing w:after="0"/>
              <w:rPr>
                <w:sz w:val="14"/>
                <w:szCs w:val="14"/>
                <w:color w:val="auto"/>
              </w:rPr>
            </w:pPr>
          </w:p>
        </w:tc>
        <w:tc>
          <w:tcPr>
            <w:tcW w:w="2040" w:type="dxa"/>
            <w:vAlign w:val="bottom"/>
            <w:gridSpan w:val="3"/>
          </w:tcPr>
          <w:p>
            <w:pPr>
              <w:jc w:val="right"/>
              <w:ind w:right="340"/>
              <w:spacing w:after="0"/>
              <w:rPr>
                <w:sz w:val="20"/>
                <w:szCs w:val="20"/>
                <w:color w:val="auto"/>
              </w:rPr>
            </w:pPr>
            <w:r>
              <w:rPr>
                <w:rFonts w:ascii="Arial" w:cs="Arial" w:eastAsia="Arial" w:hAnsi="Arial"/>
                <w:sz w:val="14"/>
                <w:szCs w:val="14"/>
                <w:color w:val="auto"/>
                <w:w w:val="99"/>
              </w:rPr>
              <w:t>Change from previous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w w:val="84"/>
              </w:rPr>
              <w:t>$ 227,763</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$ 49,127</w:t>
            </w: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rPr>
              <w:t>$ 178,636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(46,411)</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(49,495)</w:t>
            </w:r>
          </w:p>
        </w:tc>
        <w:tc>
          <w:tcPr>
            <w:tcW w:w="12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3,084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(20,397)</w:t>
            </w: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(1,011)</w:t>
            </w:r>
          </w:p>
        </w:tc>
        <w:tc>
          <w:tcPr>
            <w:tcW w:w="124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8"/>
                <w:szCs w:val="18"/>
                <w:color w:val="auto"/>
              </w:rPr>
              <w:t>(19,386)</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9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4"/>
              </w:rPr>
              <w:t>$ 160,955</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  (1,379)</w:t>
            </w:r>
          </w:p>
        </w:tc>
        <w:tc>
          <w:tcPr>
            <w:tcW w:w="12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$ 162,334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11,772%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Interest income for the three months ended March 31, 2005 and 2004 was approximately $228,000 and $49,000 respectively. The increase in interest income in 2005 was primarily attributable to a higher average investment balance. Interest expense for the three months ended March 31, 2005 and 2004 was approximately $46,000 and $49,000 respectively. The decrease in interest expense in 2005 was attributable to lower outstanding debt and capital lease balances in 2005 compared to 2004. Increase in other expense from approximately $1,000 to $20,000 was primarily attributable to an increase in franchise tax paid to the State of Delaware as a result of a higher total value of assets in 2005 as compared to 2004.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We had cash and cash equivalents totaling $37,405,000 at March 31, 2005. Cash equivalents are invested in US Treasuries with maturities of less than 90 days. The table below summarizes our cash flows for the respective three month periods.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80" w:type="dxa"/>
            <w:vAlign w:val="bottom"/>
          </w:tcPr>
          <w:p>
            <w:pPr>
              <w:spacing w:after="0"/>
              <w:rPr>
                <w:sz w:val="14"/>
                <w:szCs w:val="14"/>
                <w:color w:val="auto"/>
              </w:rPr>
            </w:pPr>
          </w:p>
        </w:tc>
        <w:tc>
          <w:tcPr>
            <w:tcW w:w="1120" w:type="dxa"/>
            <w:vAlign w:val="bottom"/>
          </w:tcPr>
          <w:p>
            <w:pPr>
              <w:jc w:val="right"/>
              <w:ind w:right="454"/>
              <w:spacing w:after="0"/>
              <w:rPr>
                <w:sz w:val="20"/>
                <w:szCs w:val="20"/>
                <w:color w:val="auto"/>
              </w:rPr>
            </w:pPr>
            <w:r>
              <w:rPr>
                <w:rFonts w:ascii="Arial" w:cs="Arial" w:eastAsia="Arial" w:hAnsi="Arial"/>
                <w:sz w:val="14"/>
                <w:szCs w:val="14"/>
                <w:color w:val="auto"/>
              </w:rPr>
              <w:t>2005</w:t>
            </w:r>
          </w:p>
        </w:tc>
        <w:tc>
          <w:tcPr>
            <w:tcW w:w="1500" w:type="dxa"/>
            <w:vAlign w:val="bottom"/>
          </w:tcPr>
          <w:p>
            <w:pPr>
              <w:jc w:val="right"/>
              <w:ind w:right="634"/>
              <w:spacing w:after="0"/>
              <w:rPr>
                <w:sz w:val="20"/>
                <w:szCs w:val="20"/>
                <w:color w:val="auto"/>
              </w:rPr>
            </w:pPr>
            <w:r>
              <w:rPr>
                <w:rFonts w:ascii="Arial" w:cs="Arial" w:eastAsia="Arial" w:hAnsi="Arial"/>
                <w:sz w:val="14"/>
                <w:szCs w:val="14"/>
                <w:color w:val="auto"/>
              </w:rPr>
              <w:t>2004</w:t>
            </w:r>
          </w:p>
        </w:tc>
        <w:tc>
          <w:tcPr>
            <w:tcW w:w="2220" w:type="dxa"/>
            <w:vAlign w:val="bottom"/>
            <w:gridSpan w:val="3"/>
          </w:tcPr>
          <w:p>
            <w:pPr>
              <w:jc w:val="right"/>
              <w:ind w:right="350"/>
              <w:spacing w:after="0"/>
              <w:rPr>
                <w:sz w:val="20"/>
                <w:szCs w:val="20"/>
                <w:color w:val="auto"/>
              </w:rPr>
            </w:pPr>
            <w:r>
              <w:rPr>
                <w:rFonts w:ascii="Arial" w:cs="Arial" w:eastAsia="Arial" w:hAnsi="Arial"/>
                <w:sz w:val="14"/>
                <w:szCs w:val="14"/>
                <w:color w:val="auto"/>
              </w:rPr>
              <w:t>Change from previous year</w:t>
            </w:r>
          </w:p>
        </w:tc>
      </w:tr>
      <w:tr>
        <w:trPr>
          <w:trHeight w:val="142"/>
        </w:trPr>
        <w:tc>
          <w:tcPr>
            <w:tcW w:w="65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6"/>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5"/>
              </w:rPr>
              <w:t>$ (4,090,576)</w:t>
            </w:r>
          </w:p>
        </w:tc>
        <w:tc>
          <w:tcPr>
            <w:tcW w:w="15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 (2,641,298)</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85"/>
              </w:rPr>
              <w:t>$ (1,449,278)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(108,429)</w:t>
            </w:r>
          </w:p>
        </w:tc>
        <w:tc>
          <w:tcPr>
            <w:tcW w:w="1500" w:type="dxa"/>
            <w:vAlign w:val="bottom"/>
          </w:tcPr>
          <w:p>
            <w:pPr>
              <w:jc w:val="right"/>
              <w:ind w:right="274"/>
              <w:spacing w:after="0"/>
              <w:rPr>
                <w:sz w:val="20"/>
                <w:szCs w:val="20"/>
                <w:color w:val="auto"/>
              </w:rPr>
            </w:pPr>
            <w:r>
              <w:rPr>
                <w:rFonts w:ascii="Arial" w:cs="Arial" w:eastAsia="Arial" w:hAnsi="Arial"/>
                <w:sz w:val="18"/>
                <w:szCs w:val="18"/>
                <w:color w:val="auto"/>
              </w:rPr>
              <w:t>(26,885)</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(81,544)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financing activities</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544,282</w:t>
            </w:r>
          </w:p>
        </w:tc>
        <w:tc>
          <w:tcPr>
            <w:tcW w:w="15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(67,391)</w:t>
            </w:r>
          </w:p>
        </w:tc>
        <w:tc>
          <w:tcPr>
            <w:tcW w:w="13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611,673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24"/>
        </w:trPr>
        <w:tc>
          <w:tcPr>
            <w:tcW w:w="658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12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85"/>
              </w:rPr>
              <w:t>$ (3,654,723)</w:t>
            </w:r>
          </w:p>
        </w:tc>
        <w:tc>
          <w:tcPr>
            <w:tcW w:w="150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rPr>
              <w:t>$ (2,735,574)</w:t>
            </w:r>
          </w:p>
        </w:tc>
        <w:tc>
          <w:tcPr>
            <w:tcW w:w="130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94"/>
              </w:rPr>
              <w:t>$  (919,149)</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0"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We used $3,654,000 and $2,736,000 of cash for the three months ended March 31, 2005 and 2004 respectively. The increase in cash used in operating activities in 2005 in comparison to the same period in 2004 was primarily attributable to the increase in operating expenses attributable to the cost of external services incurred in the evaluation and testing of our internal financial control systems so as to meet the requirements of and be in compliance with the new Securities and Exchange Commission rules issued under section 404 of the Sarbanes-Oxley Act, an increase in head count, recruiting and other external services. The increase was also attributable to the prepayment of our Directors and Officers Insurance Policy and the payout of higher bonus and external service accruals in 2005 as compared to 2004. The increase in cash used in investing activities in 2005 in comparison to the same period in 2004 was primarily attributable to an increase in capital expenditures primarily for lab and support equipment and a payment towards a licensing agreement. The increase in cash provided by financing activities in 2005 in comparison to 2004 was primarily attributable to the proceeds received from the exercise of warrants and stock options in 2005. There were no such transactions for the same period in 2004 (See Note 5 to the financial statements for further details on these transactions).</w:t>
      </w:r>
    </w:p>
    <w:p>
      <w:pPr>
        <w:spacing w:after="0" w:line="137" w:lineRule="exact"/>
        <w:rPr>
          <w:sz w:val="20"/>
          <w:szCs w:val="20"/>
          <w:color w:val="auto"/>
        </w:rPr>
      </w:pPr>
    </w:p>
    <w:p>
      <w:pPr>
        <w:ind w:right="420" w:firstLine="225"/>
        <w:spacing w:after="0" w:line="297" w:lineRule="auto"/>
        <w:rPr>
          <w:sz w:val="20"/>
          <w:szCs w:val="20"/>
          <w:color w:val="auto"/>
        </w:rPr>
      </w:pPr>
      <w:r>
        <w:rPr>
          <w:rFonts w:ascii="Arial" w:cs="Arial" w:eastAsia="Arial" w:hAnsi="Arial"/>
          <w:sz w:val="16"/>
          <w:szCs w:val="16"/>
          <w:color w:val="auto"/>
        </w:rPr>
        <w:t>On October 26, 2004, the Company entered into an agreement with institutional investors with respect to the registered direct placement of 7,500,000 shares of its common stock at a purchase price of $3.00 per share, for gross proceeds of $22,500,000. Unterberg and Shoreline Pacific, LLC (Shoreline) served as placement agents for the transaction. The Company sold these shares under a shelf registration statement previously filed with and declared effective by the U.S. Securities and Exchange Commission. For acting as our placement agent Unterberg and Shoreline received fees of approximately $1,350,000 and expense reimbursement of approximately $40,000. No warrants were issued as part of this financing transaction</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June 16, 2004, we entered into a definitive agreement with institutional and other accredited investors with respect to the private placement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13,160,000 shares of our common stock at a purchase price of $1.52 per share, for gross proceeds of approximately $20,000,000. Investors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received warrants exercisable for five years to purchase approximately 3,290,000 shares of common stock at an exercise price of $1.90 per share. 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Unterberg, Towbin LLC (Unterberg) served as placement agent for the transaction. For acting as our placement agent Unterberg, received fees totaling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$1,200,192, expense reimbursement of approximately $25,000 and a five year warrant to purchase 526,400 shares of our common stock at an exercise price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$1.89 per share.</w:t>
      </w:r>
    </w:p>
    <w:p>
      <w:pPr>
        <w:spacing w:after="0" w:line="17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December 10, 2003 we completed a $9.5 million financing transaction with Riverview Group L.L.C. (Riverview), through the sale of 5 million shares of common stock at a price of $1.90 per share. The closing price of our common stock on that date was $2.00 per share.</w:t>
      </w:r>
    </w:p>
    <w:p>
      <w:pPr>
        <w:spacing w:after="0" w:line="130" w:lineRule="exact"/>
        <w:rPr>
          <w:sz w:val="20"/>
          <w:szCs w:val="20"/>
          <w:color w:val="auto"/>
        </w:rPr>
      </w:pPr>
    </w:p>
    <w:p>
      <w:pPr>
        <w:jc w:val="both"/>
        <w:ind w:right="20" w:firstLine="225"/>
        <w:spacing w:after="0" w:line="297" w:lineRule="auto"/>
        <w:rPr>
          <w:sz w:val="20"/>
          <w:szCs w:val="20"/>
          <w:color w:val="auto"/>
        </w:rPr>
      </w:pPr>
      <w:r>
        <w:rPr>
          <w:rFonts w:ascii="Arial" w:cs="Arial" w:eastAsia="Arial" w:hAnsi="Arial"/>
          <w:sz w:val="16"/>
          <w:szCs w:val="16"/>
          <w:color w:val="auto"/>
        </w:rPr>
        <w:t>Pursuant to a Stock Purchase Agreement dated May 7, 2003, we issued 4 million shares of our common stock to Riverview for $6.5 million, or $1.625 per share. On the date of the agreement, the price was above the trading price of our common stock, which closed at $1.43 per share on that date. We also agreed to issue a 2-year warrant to Riverview to purchase 1,898,000 shares of common stock at $1.50 per share. The exercise price is subject to adjustment for stock splits, dividends, distributions, reclassifications and similar events. The exercise price may be below the trading market price at the time of the exercise. In the event that certain conditions are met, including the closing sale price of the Common Stock remaining at or above $2.50 per share for 10 consecutive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trading days, we may require Riverview to exercise the warrant with respect to any remaining warrant shares or relinquish the right to do so. We registered the resale of the purchased shares and the shares to be issued on exercise of the warrants. On November 7, 2003 and November 11, 2003 Riverview exercised a total of 1,098,000 of these warrants at $1.50 by which, we received gross proceeds of $1,647,000.</w:t>
      </w:r>
    </w:p>
    <w:p>
      <w:pPr>
        <w:spacing w:after="0" w:line="154"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On August 23, 2002, pursuant to an agreement with Triton West Group, Inc. (Triton), we sold 1,028,038 shares of common stock for aggregate proceeds of $1,100,000, or approximately $1.07 per share.</w:t>
      </w:r>
    </w:p>
    <w:p>
      <w:pPr>
        <w:spacing w:after="0" w:line="13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December 4, 2001, we issued 5,000 shares of 3% Cumulative Convertible Preferred Stock to Riverview. We received total proceeds of $4,727,515 net of applicable fees and other associated costs. Riverview converted 1,000 of the preferred shares on December 7, 2001, at a conversion price of $2.00 per share of common stock, receiving 500,125 shares of common stock; 2,000 of the preferred shares on April 9, 2003, at $0.80 per share, receiving 2,521,042 shares of common stock; and the remaining 2,000 preferred shares on November 11, 2003, for 1,010,833 shares of the Company’s common stock, all inclusive of accrued dividends. As a result of the above transactions all of the 3% cumulative convertible preferred stock was fully converted into our common stock before the mandatory redemption date of December 4, 2003.</w:t>
      </w:r>
    </w:p>
    <w:p>
      <w:pPr>
        <w:spacing w:after="0" w:line="153"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On May 10, 2001, we entered into a common stock purchase agreement with Sativum Investments Limited for the potential future issuance and sale of up to $30,000,000 of our common stock, at our discretion and subject to restrictions and other obligations. We drew down $4,000,000, $118,000 and $441,000 before applicable fees in 2001, 2002 and 2003 respectively. The equity line terminated in January of 2004.</w:t>
      </w:r>
    </w:p>
    <w:p>
      <w:pPr>
        <w:spacing w:after="0" w:line="139"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and expect to pay in 2005, based on past experience and current assumptions, approximately $1,000,000 in lease payments and other operating expenses net of sub-tenant income.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46"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table summarizes our future contractual cash obligations (including both Rhode Island and California leases, but excluding interest income and sub-lease income):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jc w:val="center"/>
              <w:ind w:left="19"/>
              <w:spacing w:after="0"/>
              <w:rPr>
                <w:sz w:val="20"/>
                <w:szCs w:val="20"/>
                <w:color w:val="auto"/>
              </w:rPr>
            </w:pPr>
            <w:r>
              <w:rPr>
                <w:rFonts w:ascii="Arial" w:cs="Arial" w:eastAsia="Arial" w:hAnsi="Arial"/>
                <w:sz w:val="14"/>
                <w:szCs w:val="14"/>
                <w:color w:val="auto"/>
                <w:w w:val="91"/>
              </w:rPr>
              <w:t>Payable in</w:t>
            </w: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217"/>
              <w:spacing w:after="0" w:line="149" w:lineRule="exact"/>
              <w:rPr>
                <w:sz w:val="20"/>
                <w:szCs w:val="20"/>
                <w:color w:val="auto"/>
              </w:rPr>
            </w:pPr>
            <w:r>
              <w:rPr>
                <w:rFonts w:ascii="Arial" w:cs="Arial" w:eastAsia="Arial" w:hAnsi="Arial"/>
                <w:sz w:val="14"/>
                <w:szCs w:val="14"/>
                <w:color w:val="auto"/>
                <w:w w:val="91"/>
              </w:rPr>
              <w:t>Payable in</w:t>
            </w:r>
          </w:p>
        </w:tc>
        <w:tc>
          <w:tcPr>
            <w:tcW w:w="300" w:type="dxa"/>
            <w:vAlign w:val="bottom"/>
          </w:tcPr>
          <w:p>
            <w:pPr>
              <w:spacing w:after="0"/>
              <w:rPr>
                <w:sz w:val="12"/>
                <w:szCs w:val="12"/>
                <w:color w:val="auto"/>
              </w:rPr>
            </w:pPr>
          </w:p>
        </w:tc>
        <w:tc>
          <w:tcPr>
            <w:tcW w:w="920" w:type="dxa"/>
            <w:vAlign w:val="bottom"/>
          </w:tcPr>
          <w:p>
            <w:pPr>
              <w:jc w:val="right"/>
              <w:ind w:right="217"/>
              <w:spacing w:after="0" w:line="149" w:lineRule="exact"/>
              <w:rPr>
                <w:sz w:val="20"/>
                <w:szCs w:val="20"/>
                <w:color w:val="auto"/>
              </w:rPr>
            </w:pPr>
            <w:r>
              <w:rPr>
                <w:rFonts w:ascii="Arial" w:cs="Arial" w:eastAsia="Arial" w:hAnsi="Arial"/>
                <w:sz w:val="14"/>
                <w:szCs w:val="14"/>
                <w:color w:val="auto"/>
                <w:w w:val="91"/>
              </w:rPr>
              <w:t>Payable in</w:t>
            </w:r>
          </w:p>
        </w:tc>
        <w:tc>
          <w:tcPr>
            <w:tcW w:w="300" w:type="dxa"/>
            <w:vAlign w:val="bottom"/>
          </w:tcPr>
          <w:p>
            <w:pPr>
              <w:spacing w:after="0"/>
              <w:rPr>
                <w:sz w:val="12"/>
                <w:szCs w:val="12"/>
                <w:color w:val="auto"/>
              </w:rPr>
            </w:pPr>
          </w:p>
        </w:tc>
        <w:tc>
          <w:tcPr>
            <w:tcW w:w="920" w:type="dxa"/>
            <w:vAlign w:val="bottom"/>
          </w:tcPr>
          <w:p>
            <w:pPr>
              <w:jc w:val="right"/>
              <w:ind w:right="237"/>
              <w:spacing w:after="0" w:line="149" w:lineRule="exact"/>
              <w:rPr>
                <w:sz w:val="20"/>
                <w:szCs w:val="20"/>
                <w:color w:val="auto"/>
              </w:rPr>
            </w:pPr>
            <w:r>
              <w:rPr>
                <w:rFonts w:ascii="Arial" w:cs="Arial" w:eastAsia="Arial" w:hAnsi="Arial"/>
                <w:sz w:val="14"/>
                <w:szCs w:val="14"/>
                <w:color w:val="auto"/>
                <w:w w:val="88"/>
              </w:rPr>
              <w:t>Payable in</w:t>
            </w:r>
          </w:p>
        </w:tc>
        <w:tc>
          <w:tcPr>
            <w:tcW w:w="300" w:type="dxa"/>
            <w:vAlign w:val="bottom"/>
          </w:tcPr>
          <w:p>
            <w:pPr>
              <w:spacing w:after="0"/>
              <w:rPr>
                <w:sz w:val="12"/>
                <w:szCs w:val="12"/>
                <w:color w:val="auto"/>
              </w:rPr>
            </w:pPr>
          </w:p>
        </w:tc>
        <w:tc>
          <w:tcPr>
            <w:tcW w:w="920" w:type="dxa"/>
            <w:vAlign w:val="bottom"/>
          </w:tcPr>
          <w:p>
            <w:pPr>
              <w:jc w:val="right"/>
              <w:ind w:right="217"/>
              <w:spacing w:after="0" w:line="149" w:lineRule="exact"/>
              <w:rPr>
                <w:sz w:val="20"/>
                <w:szCs w:val="20"/>
                <w:color w:val="auto"/>
              </w:rPr>
            </w:pPr>
            <w:r>
              <w:rPr>
                <w:rFonts w:ascii="Arial" w:cs="Arial" w:eastAsia="Arial" w:hAnsi="Arial"/>
                <w:sz w:val="14"/>
                <w:szCs w:val="14"/>
                <w:color w:val="auto"/>
                <w:w w:val="91"/>
              </w:rPr>
              <w:t>Payable in</w:t>
            </w:r>
          </w:p>
        </w:tc>
        <w:tc>
          <w:tcPr>
            <w:tcW w:w="300" w:type="dxa"/>
            <w:vAlign w:val="bottom"/>
          </w:tcPr>
          <w:p>
            <w:pPr>
              <w:spacing w:after="0"/>
              <w:rPr>
                <w:sz w:val="12"/>
                <w:szCs w:val="12"/>
                <w:color w:val="auto"/>
              </w:rPr>
            </w:pPr>
          </w:p>
        </w:tc>
        <w:tc>
          <w:tcPr>
            <w:tcW w:w="940" w:type="dxa"/>
            <w:vAlign w:val="bottom"/>
          </w:tcPr>
          <w:p>
            <w:pPr>
              <w:jc w:val="right"/>
              <w:ind w:right="237"/>
              <w:spacing w:after="0" w:line="149" w:lineRule="exact"/>
              <w:rPr>
                <w:sz w:val="20"/>
                <w:szCs w:val="20"/>
                <w:color w:val="auto"/>
              </w:rPr>
            </w:pPr>
            <w:r>
              <w:rPr>
                <w:rFonts w:ascii="Arial" w:cs="Arial" w:eastAsia="Arial" w:hAnsi="Arial"/>
                <w:sz w:val="14"/>
                <w:szCs w:val="14"/>
                <w:color w:val="auto"/>
                <w:w w:val="91"/>
              </w:rPr>
              <w:t>Payable in</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2"/>
              </w:rPr>
              <w:t>2010 and</w:t>
            </w: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2005</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2006</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2007</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2008</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2009</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beyond</w:t>
            </w: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2,720,824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353,698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445,487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332,545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244,531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244,572</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$ 1,099,991</w:t>
            </w: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Operating lease payments</w:t>
            </w:r>
          </w:p>
        </w:tc>
        <w:tc>
          <w:tcPr>
            <w:tcW w:w="100" w:type="dxa"/>
            <w:vAlign w:val="bottom"/>
          </w:tcPr>
          <w:p>
            <w:pPr>
              <w:spacing w:after="0"/>
              <w:rPr>
                <w:sz w:val="20"/>
                <w:szCs w:val="20"/>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w w:val="88"/>
              </w:rPr>
              <w:t>19,585,842</w:t>
            </w:r>
          </w:p>
        </w:tc>
        <w:tc>
          <w:tcPr>
            <w:tcW w:w="280" w:type="dxa"/>
            <w:vAlign w:val="bottom"/>
          </w:tcPr>
          <w:p>
            <w:pPr>
              <w:spacing w:after="0"/>
              <w:rPr>
                <w:sz w:val="20"/>
                <w:szCs w:val="20"/>
                <w:color w:val="auto"/>
              </w:rPr>
            </w:pPr>
          </w:p>
        </w:tc>
        <w:tc>
          <w:tcPr>
            <w:tcW w:w="920" w:type="dxa"/>
            <w:vAlign w:val="bottom"/>
          </w:tcPr>
          <w:p>
            <w:pPr>
              <w:jc w:val="right"/>
              <w:ind w:right="97"/>
              <w:spacing w:after="0"/>
              <w:rPr>
                <w:sz w:val="20"/>
                <w:szCs w:val="20"/>
                <w:color w:val="auto"/>
              </w:rPr>
            </w:pPr>
            <w:r>
              <w:rPr>
                <w:rFonts w:ascii="Arial" w:cs="Arial" w:eastAsia="Arial" w:hAnsi="Arial"/>
                <w:sz w:val="18"/>
                <w:szCs w:val="18"/>
                <w:color w:val="auto"/>
                <w:w w:val="89"/>
              </w:rPr>
              <w:t>1,800,773</w:t>
            </w:r>
          </w:p>
        </w:tc>
        <w:tc>
          <w:tcPr>
            <w:tcW w:w="300" w:type="dxa"/>
            <w:vAlign w:val="bottom"/>
          </w:tcPr>
          <w:p>
            <w:pPr>
              <w:spacing w:after="0"/>
              <w:rPr>
                <w:sz w:val="20"/>
                <w:szCs w:val="20"/>
                <w:color w:val="auto"/>
              </w:rPr>
            </w:pPr>
          </w:p>
        </w:tc>
        <w:tc>
          <w:tcPr>
            <w:tcW w:w="920" w:type="dxa"/>
            <w:vAlign w:val="bottom"/>
          </w:tcPr>
          <w:p>
            <w:pPr>
              <w:jc w:val="right"/>
              <w:ind w:right="117"/>
              <w:spacing w:after="0"/>
              <w:rPr>
                <w:sz w:val="20"/>
                <w:szCs w:val="20"/>
                <w:color w:val="auto"/>
              </w:rPr>
            </w:pPr>
            <w:r>
              <w:rPr>
                <w:rFonts w:ascii="Arial" w:cs="Arial" w:eastAsia="Arial" w:hAnsi="Arial"/>
                <w:sz w:val="18"/>
                <w:szCs w:val="18"/>
                <w:color w:val="auto"/>
                <w:w w:val="87"/>
              </w:rPr>
              <w:t>2,770,571</w:t>
            </w:r>
          </w:p>
        </w:tc>
        <w:tc>
          <w:tcPr>
            <w:tcW w:w="300" w:type="dxa"/>
            <w:vAlign w:val="bottom"/>
          </w:tcPr>
          <w:p>
            <w:pPr>
              <w:spacing w:after="0"/>
              <w:rPr>
                <w:sz w:val="20"/>
                <w:szCs w:val="20"/>
                <w:color w:val="auto"/>
              </w:rPr>
            </w:pPr>
          </w:p>
        </w:tc>
        <w:tc>
          <w:tcPr>
            <w:tcW w:w="920" w:type="dxa"/>
            <w:vAlign w:val="bottom"/>
          </w:tcPr>
          <w:p>
            <w:pPr>
              <w:jc w:val="right"/>
              <w:ind w:right="117"/>
              <w:spacing w:after="0"/>
              <w:rPr>
                <w:sz w:val="20"/>
                <w:szCs w:val="20"/>
                <w:color w:val="auto"/>
              </w:rPr>
            </w:pPr>
            <w:r>
              <w:rPr>
                <w:rFonts w:ascii="Arial" w:cs="Arial" w:eastAsia="Arial" w:hAnsi="Arial"/>
                <w:sz w:val="18"/>
                <w:szCs w:val="18"/>
                <w:color w:val="auto"/>
                <w:w w:val="87"/>
              </w:rPr>
              <w:t>3,165,162</w:t>
            </w:r>
          </w:p>
        </w:tc>
        <w:tc>
          <w:tcPr>
            <w:tcW w:w="300" w:type="dxa"/>
            <w:vAlign w:val="bottom"/>
          </w:tcPr>
          <w:p>
            <w:pPr>
              <w:spacing w:after="0"/>
              <w:rPr>
                <w:sz w:val="20"/>
                <w:szCs w:val="20"/>
                <w:color w:val="auto"/>
              </w:rPr>
            </w:pPr>
          </w:p>
        </w:tc>
        <w:tc>
          <w:tcPr>
            <w:tcW w:w="920" w:type="dxa"/>
            <w:vAlign w:val="bottom"/>
          </w:tcPr>
          <w:p>
            <w:pPr>
              <w:jc w:val="right"/>
              <w:ind w:right="97"/>
              <w:spacing w:after="0"/>
              <w:rPr>
                <w:sz w:val="20"/>
                <w:szCs w:val="20"/>
                <w:color w:val="auto"/>
              </w:rPr>
            </w:pPr>
            <w:r>
              <w:rPr>
                <w:rFonts w:ascii="Arial" w:cs="Arial" w:eastAsia="Arial" w:hAnsi="Arial"/>
                <w:sz w:val="18"/>
                <w:szCs w:val="18"/>
                <w:color w:val="auto"/>
                <w:w w:val="89"/>
              </w:rPr>
              <w:t>3,469,017</w:t>
            </w:r>
          </w:p>
        </w:tc>
        <w:tc>
          <w:tcPr>
            <w:tcW w:w="300" w:type="dxa"/>
            <w:vAlign w:val="bottom"/>
          </w:tcPr>
          <w:p>
            <w:pPr>
              <w:spacing w:after="0"/>
              <w:rPr>
                <w:sz w:val="20"/>
                <w:szCs w:val="20"/>
                <w:color w:val="auto"/>
              </w:rPr>
            </w:pPr>
          </w:p>
        </w:tc>
        <w:tc>
          <w:tcPr>
            <w:tcW w:w="940" w:type="dxa"/>
            <w:vAlign w:val="bottom"/>
          </w:tcPr>
          <w:p>
            <w:pPr>
              <w:jc w:val="right"/>
              <w:ind w:right="117"/>
              <w:spacing w:after="0"/>
              <w:rPr>
                <w:sz w:val="20"/>
                <w:szCs w:val="20"/>
                <w:color w:val="auto"/>
              </w:rPr>
            </w:pPr>
            <w:r>
              <w:rPr>
                <w:rFonts w:ascii="Arial" w:cs="Arial" w:eastAsia="Arial" w:hAnsi="Arial"/>
                <w:sz w:val="18"/>
                <w:szCs w:val="18"/>
                <w:color w:val="auto"/>
                <w:w w:val="89"/>
              </w:rPr>
              <w:t>3,536,843</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4,843,476</w:t>
            </w:r>
          </w:p>
        </w:tc>
      </w:tr>
      <w:tr>
        <w:trPr>
          <w:trHeight w:val="209"/>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88"/>
              </w:rPr>
              <w:t>22,306,666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89"/>
              </w:rPr>
              <w:t>2,154,471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87"/>
              </w:rPr>
              <w:t>3,216,058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87"/>
              </w:rPr>
              <w:t>3,497,707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89"/>
              </w:rPr>
              <w:t>3,713,548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89"/>
              </w:rPr>
              <w:t>3,781,415</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$ 5,943,467</w:t>
            </w:r>
          </w:p>
        </w:tc>
      </w:tr>
    </w:tbl>
    <w:p>
      <w:pPr>
        <w:spacing w:after="0" w:line="188" w:lineRule="exact"/>
        <w:rPr>
          <w:sz w:val="20"/>
          <w:szCs w:val="20"/>
          <w:color w:val="auto"/>
        </w:rPr>
      </w:pPr>
    </w:p>
    <w:p>
      <w:pPr>
        <w:ind w:right="60" w:firstLine="222"/>
        <w:spacing w:after="0" w:line="253"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revenues to achieve or sustain profitability in the future. We have limited capital resources and we will need to raise additional capital from to time to time to sustain our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our operations, we rely on cash balances, proceeds from equity and debt offerings, proceeds from the transfer or sale of intellectual property rights, equipment, facilities or investments, and on government grants and collaborative arrangements. We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57"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We intend to pursue opportunities to obtain additional financing in the future through equity and debt financings, grants and collaborative research arrangements. The source, timing and availability of any future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financing will depend principally upon market conditions, interest rates and, more specifically, on our progress in our exploratory, preclinical and future clinical development programs. Lack of necessary funds may require us to delay, scale back or eliminate some or all of our research and product development programs and/or our capital expenditures or to license our potential products or technologies to third parties.</w:t>
      </w:r>
    </w:p>
    <w:p>
      <w:pPr>
        <w:spacing w:after="0" w:line="154" w:lineRule="exact"/>
        <w:rPr>
          <w:sz w:val="20"/>
          <w:szCs w:val="20"/>
          <w:color w:val="auto"/>
        </w:rPr>
      </w:pPr>
    </w:p>
    <w:p>
      <w:pPr>
        <w:ind w:right="220" w:firstLine="222"/>
        <w:spacing w:after="0" w:line="342" w:lineRule="auto"/>
        <w:rPr>
          <w:sz w:val="20"/>
          <w:szCs w:val="20"/>
          <w:color w:val="auto"/>
        </w:rPr>
      </w:pPr>
      <w:r>
        <w:rPr>
          <w:rFonts w:ascii="Arial" w:cs="Arial" w:eastAsia="Arial" w:hAnsi="Arial"/>
          <w:sz w:val="16"/>
          <w:szCs w:val="16"/>
          <w:color w:val="auto"/>
        </w:rPr>
        <w:t>With the exception of operating leases for facilities, we have not entered into any off-balance sheet financial arrangements and have not established any special purpose entities. We have not guaranteed any debts or commitments of other entities or entered into any options on non-financial assets.</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significant changes in our quantitative and qualitative disclosures from the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162" w:lineRule="exact"/>
        <w:rPr>
          <w:sz w:val="20"/>
          <w:szCs w:val="20"/>
          <w:color w:val="auto"/>
        </w:rPr>
      </w:pPr>
    </w:p>
    <w:p>
      <w:pPr>
        <w:jc w:val="both"/>
        <w:ind w:right="180" w:firstLine="225"/>
        <w:spacing w:after="0" w:line="276" w:lineRule="auto"/>
        <w:rPr>
          <w:sz w:val="20"/>
          <w:szCs w:val="20"/>
          <w:color w:val="auto"/>
        </w:rPr>
      </w:pPr>
      <w:r>
        <w:rPr>
          <w:rFonts w:ascii="Arial" w:cs="Arial" w:eastAsia="Arial" w:hAnsi="Arial"/>
          <w:sz w:val="17"/>
          <w:szCs w:val="17"/>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 As reported in the Company’s Annual Report on Form 10-K for the year ended December 31, 2004, management was unable to conclude that the Company’s internal controls over financial reporting were then effective, as a result of a material weakness resulting from a lack of segregation of duties. We are continuing to evaluate and test the steps taken in the last quarter to improve the effectiveness of our internal controls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PART II —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198"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One party has opposed two of our issued European patent cases. While we are confident that we will overcome the opposition, there is no guarantee that we will prevail. If we are unsuccessful in our defense of the opposed patents, all claimed rights in the opposed patents will be lost in Europe .</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PART II – ITEM 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CHANGES IN SECURITIES, USE OF PROCEEDS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DEFAULTS UPON SENIOR SECURITIES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SUBMISSION OF MATTERS TO A VOTE OF SECURITY HOLDERS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 ITEM 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There were no matters required to be disclosed in a current report on Form 8-K during the fiscal quarter covered by this report that were not so disclosed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1" w:lineRule="exact"/>
        <w:rPr>
          <w:sz w:val="20"/>
          <w:szCs w:val="20"/>
          <w:color w:val="auto"/>
        </w:rPr>
      </w:pPr>
    </w:p>
    <w:p>
      <w:pPr>
        <w:ind w:right="3720"/>
        <w:spacing w:after="0" w:line="519"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Judi Lum under Section 302 of the Sarbanes-Oxley Act of 2002</w:t>
      </w:r>
    </w:p>
    <w:p>
      <w:pPr>
        <w:spacing w:after="0" w:line="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21" w:lineRule="exact"/>
        <w:rPr>
          <w:sz w:val="20"/>
          <w:szCs w:val="20"/>
          <w:color w:val="auto"/>
        </w:rPr>
      </w:pPr>
    </w:p>
    <w:p>
      <w:pPr>
        <w:jc w:val="center"/>
        <w:ind w:right="300"/>
        <w:spacing w:after="0" w:line="485"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Judi Lum Pursuant to 18 U.S.C. Section 1350, As Adopted Pursuant to Section 906 of the Sarbanes-Oxley Act of 2002</w:t>
      </w:r>
      <w:r>
        <w:rPr>
          <w:rFonts w:ascii="Arial" w:cs="Arial" w:eastAsia="Arial" w:hAnsi="Arial"/>
          <w:sz w:val="18"/>
          <w:szCs w:val="18"/>
          <w:b w:val="1"/>
          <w:bCs w:val="1"/>
          <w:color w:val="auto"/>
        </w:rPr>
        <w:t xml:space="preserve"> </w:t>
      </w: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Registrant)</w:t>
      </w:r>
    </w:p>
    <w:p>
      <w:pPr>
        <w:spacing w:after="0" w:line="22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April 28, 2005</w:t>
      </w:r>
      <w:r>
        <w:rPr>
          <w:sz w:val="20"/>
          <w:szCs w:val="20"/>
          <w:color w:val="auto"/>
        </w:rPr>
        <w:tab/>
      </w:r>
      <w:r>
        <w:rPr>
          <w:rFonts w:ascii="Arial" w:cs="Arial" w:eastAsia="Arial" w:hAnsi="Arial"/>
          <w:sz w:val="16"/>
          <w:szCs w:val="16"/>
          <w:color w:val="auto"/>
        </w:rPr>
        <w:t>/s/ Judi 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Judi Lum</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u w:val="single" w:color="auto"/>
          <w:color w:val="auto"/>
        </w:rPr>
        <w:t>EXHIBIT INDEX</w:t>
      </w:r>
    </w:p>
    <w:p>
      <w:pPr>
        <w:spacing w:after="0" w:line="194" w:lineRule="exact"/>
        <w:rPr>
          <w:sz w:val="20"/>
          <w:szCs w:val="20"/>
          <w:color w:val="auto"/>
        </w:rPr>
      </w:pPr>
    </w:p>
    <w:p>
      <w:pPr>
        <w:ind w:right="3560"/>
        <w:spacing w:after="0" w:line="510"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Judi Lum under Section 302 of the Sarbanes-Oxley Act of 2002</w:t>
      </w:r>
    </w:p>
    <w:p>
      <w:pPr>
        <w:spacing w:after="0" w:line="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32.2 — </w:t>
      </w:r>
      <w:r>
        <w:rPr>
          <w:rFonts w:ascii="Arial" w:cs="Arial" w:eastAsia="Arial" w:hAnsi="Arial"/>
          <w:sz w:val="16"/>
          <w:szCs w:val="16"/>
          <w:color w:val="auto"/>
        </w:rPr>
        <w:t>Certification of Judi Lum Pursuant to 18 U.S.C. Section 1350, As Adopted Pursuant to Section 906 of the Sarbanes-Oxley Act of 2002</w:t>
      </w:r>
    </w:p>
    <w:p>
      <w:pPr>
        <w:sectPr>
          <w:pgSz w:w="11900" w:h="16838" w:orient="portrait"/>
          <w:cols w:equalWidth="0" w:num="1">
            <w:col w:w="11060"/>
          </w:cols>
          <w:pgMar w:left="240" w:top="419" w:right="5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225" w:lineRule="exact"/>
        <w:rPr>
          <w:sz w:val="20"/>
          <w:szCs w:val="20"/>
          <w:color w:val="auto"/>
        </w:rPr>
      </w:pPr>
    </w:p>
    <w:p>
      <w:pPr>
        <w:ind w:left="800" w:hanging="45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225" w:lineRule="exact"/>
        <w:rPr>
          <w:rFonts w:ascii="Arial" w:cs="Arial" w:eastAsia="Arial" w:hAnsi="Arial"/>
          <w:sz w:val="18"/>
          <w:szCs w:val="18"/>
          <w:color w:val="auto"/>
        </w:rPr>
      </w:pPr>
    </w:p>
    <w:p>
      <w:pPr>
        <w:jc w:val="both"/>
        <w:ind w:left="800" w:right="160" w:hanging="454"/>
        <w:spacing w:after="0" w:line="264"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800" w:right="160" w:hanging="454"/>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80" w:right="220" w:hanging="3"/>
        <w:spacing w:after="0" w:line="264" w:lineRule="auto"/>
        <w:tabs>
          <w:tab w:leader="none" w:pos="1625"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80" w:right="80" w:hanging="3"/>
        <w:spacing w:after="0" w:line="342" w:lineRule="auto"/>
        <w:tabs>
          <w:tab w:leader="none" w:pos="1635" w:val="left"/>
        </w:tabs>
        <w:numPr>
          <w:ilvl w:val="1"/>
          <w:numId w:val="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jc w:val="both"/>
        <w:ind w:left="1380" w:right="20" w:hanging="3"/>
        <w:spacing w:after="0" w:line="264" w:lineRule="auto"/>
        <w:tabs>
          <w:tab w:leader="none" w:pos="1625" w:val="left"/>
        </w:tabs>
        <w:numPr>
          <w:ilvl w:val="1"/>
          <w:numId w:val="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80" w:right="360" w:hanging="3"/>
        <w:spacing w:after="0" w:line="342" w:lineRule="auto"/>
        <w:tabs>
          <w:tab w:leader="none" w:pos="1625" w:val="left"/>
        </w:tabs>
        <w:numPr>
          <w:ilvl w:val="1"/>
          <w:numId w:val="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80" w:right="40" w:hanging="3"/>
        <w:spacing w:after="0" w:line="277" w:lineRule="auto"/>
        <w:tabs>
          <w:tab w:leader="none" w:pos="1635"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6703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ACTING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Judi Lum, certify that:</w:t>
      </w:r>
    </w:p>
    <w:p>
      <w:pPr>
        <w:spacing w:after="0" w:line="225" w:lineRule="exact"/>
        <w:rPr>
          <w:sz w:val="20"/>
          <w:szCs w:val="20"/>
          <w:color w:val="auto"/>
        </w:rPr>
      </w:pPr>
    </w:p>
    <w:p>
      <w:pPr>
        <w:ind w:left="800" w:hanging="45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225" w:lineRule="exact"/>
        <w:rPr>
          <w:rFonts w:ascii="Arial" w:cs="Arial" w:eastAsia="Arial" w:hAnsi="Arial"/>
          <w:sz w:val="18"/>
          <w:szCs w:val="18"/>
          <w:color w:val="auto"/>
        </w:rPr>
      </w:pPr>
    </w:p>
    <w:p>
      <w:pPr>
        <w:jc w:val="both"/>
        <w:ind w:left="800" w:right="160" w:hanging="454"/>
        <w:spacing w:after="0" w:line="264"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800" w:right="160" w:hanging="454"/>
        <w:spacing w:after="0" w:line="27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80" w:right="220" w:hanging="3"/>
        <w:spacing w:after="0" w:line="264" w:lineRule="auto"/>
        <w:tabs>
          <w:tab w:leader="none" w:pos="1625"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80" w:right="80" w:hanging="3"/>
        <w:spacing w:after="0" w:line="342" w:lineRule="auto"/>
        <w:tabs>
          <w:tab w:leader="none" w:pos="1635" w:val="left"/>
        </w:tabs>
        <w:numPr>
          <w:ilvl w:val="1"/>
          <w:numId w:val="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jc w:val="both"/>
        <w:ind w:left="1380" w:right="20" w:hanging="3"/>
        <w:spacing w:after="0" w:line="264" w:lineRule="auto"/>
        <w:tabs>
          <w:tab w:leader="none" w:pos="1625"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80" w:right="360" w:hanging="3"/>
        <w:spacing w:after="0" w:line="342" w:lineRule="auto"/>
        <w:tabs>
          <w:tab w:leader="none" w:pos="1625"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80" w:right="40" w:hanging="3"/>
        <w:spacing w:after="0" w:line="277" w:lineRule="auto"/>
        <w:tabs>
          <w:tab w:leader="none" w:pos="1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Judi 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6703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Judi Lum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3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8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StemCells, Inc. (the “Company”) Quarterly on Form 10-Q for the period ending March 31, 2005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 The Report fully complies with the requirements of Section 13(a) or 15(d) of the Securities Exchange Act of 1934, as amended; and</w:t>
      </w:r>
    </w:p>
    <w:p>
      <w:pPr>
        <w:spacing w:after="0" w:line="237" w:lineRule="exact"/>
        <w:rPr>
          <w:sz w:val="20"/>
          <w:szCs w:val="20"/>
          <w:color w:val="auto"/>
        </w:rPr>
      </w:pPr>
    </w:p>
    <w:p>
      <w:pPr>
        <w:ind w:left="1220" w:right="600" w:hanging="407"/>
        <w:spacing w:after="0" w:line="277" w:lineRule="auto"/>
        <w:rPr>
          <w:sz w:val="20"/>
          <w:szCs w:val="20"/>
          <w:color w:val="auto"/>
        </w:rPr>
      </w:pPr>
      <w:r>
        <w:rPr>
          <w:rFonts w:ascii="Arial" w:cs="Arial" w:eastAsia="Arial" w:hAnsi="Arial"/>
          <w:sz w:val="18"/>
          <w:szCs w:val="18"/>
          <w:color w:val="auto"/>
        </w:rPr>
        <w:t>(2). 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6703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StemCells, Inc. (the “Company”) Quarterly on Form 10-Q for the period ending March 31, 2005 as filed with the Securities and Exchange Commission on the date hereof (the “Report”), I, Judi Lum, Chief Financial Officer of the Company, certify pursuant to 18 U.S.C. Section 1350, as adopted pursuant to Section 906 of the Sarbanes-Oxley Act of 2002, that, to the best of my knowledge:</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 The Report fully complies with the requirements of Section 13(a) or 15(d) of the Securities Exchange Act of 1934, as amended; and</w:t>
      </w:r>
    </w:p>
    <w:p>
      <w:pPr>
        <w:spacing w:after="0" w:line="237" w:lineRule="exact"/>
        <w:rPr>
          <w:sz w:val="20"/>
          <w:szCs w:val="20"/>
          <w:color w:val="auto"/>
        </w:rPr>
      </w:pPr>
    </w:p>
    <w:p>
      <w:pPr>
        <w:ind w:left="1220" w:right="600" w:hanging="407"/>
        <w:spacing w:after="0" w:line="277" w:lineRule="auto"/>
        <w:rPr>
          <w:sz w:val="20"/>
          <w:szCs w:val="20"/>
          <w:color w:val="auto"/>
        </w:rPr>
      </w:pPr>
      <w:r>
        <w:rPr>
          <w:rFonts w:ascii="Arial" w:cs="Arial" w:eastAsia="Arial" w:hAnsi="Arial"/>
          <w:sz w:val="18"/>
          <w:szCs w:val="18"/>
          <w:color w:val="auto"/>
        </w:rPr>
        <w:t>(2). 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2005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Judi 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6703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Judi Lum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1"/>
    </w:lvl>
  </w:abstractNum>
  <w:abstractNum w:abstractNumId="1">
    <w:nsid w:val="663348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2019-12-11T22:41:05Z</dcterms:created>
  <dcterms:modified xsi:type="dcterms:W3CDTF">2019-12-11T22:41:05Z</dcterms:modified>
</cp:coreProperties>
</file>