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1400" w:hanging="1311"/>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ind w:left="3920" w:right="860" w:hanging="3831"/>
        <w:spacing w:after="0" w:line="500" w:lineRule="auto"/>
        <w:tabs>
          <w:tab w:leader="none" w:pos="11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189"/>
        </w:trPr>
        <w:tc>
          <w:tcPr>
            <w:tcW w:w="5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Securities registered under Section 12(b) of the Act:</w:t>
            </w:r>
          </w:p>
        </w:tc>
      </w:tr>
      <w:tr>
        <w:trPr>
          <w:trHeight w:val="432"/>
        </w:trPr>
        <w:tc>
          <w:tcPr>
            <w:tcW w:w="34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under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22"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0" w:right="339" w:bottom="122"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2"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$95,655,000.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March 24, 2026: 67,158,044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6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11"/>
            <w:shd w:val="clear" w:color="auto" w:fill="CCEEFF"/>
          </w:tcPr>
          <w:p>
            <w:pPr>
              <w:jc w:val="center"/>
              <w:ind w:right="4780"/>
              <w:spacing w:after="0" w:line="156" w:lineRule="exact"/>
              <w:rPr>
                <w:sz w:val="20"/>
                <w:szCs w:val="20"/>
                <w:color w:val="auto"/>
              </w:rPr>
            </w:pPr>
            <w:r>
              <w:rPr>
                <w:rFonts w:ascii="Times New Roman" w:cs="Times New Roman" w:eastAsia="Times New Roman" w:hAnsi="Times New Roman"/>
                <w:sz w:val="18"/>
                <w:szCs w:val="18"/>
                <w:color w:val="0000EE"/>
                <w:w w:val="95"/>
              </w:rPr>
              <w:t>PART I</w:t>
            </w:r>
          </w:p>
        </w:tc>
        <w:tc>
          <w:tcPr>
            <w:tcW w:w="640" w:type="dxa"/>
            <w:vAlign w:val="bottom"/>
            <w:shd w:val="clear" w:color="auto" w:fill="CCEEFF"/>
          </w:tcPr>
          <w:p>
            <w:pPr>
              <w:spacing w:after="0"/>
              <w:rPr>
                <w:sz w:val="16"/>
                <w:szCs w:val="16"/>
                <w:color w:val="auto"/>
              </w:rPr>
            </w:pPr>
          </w:p>
        </w:tc>
      </w:tr>
      <w:tr>
        <w:trPr>
          <w:trHeight w:val="176"/>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620" w:type="dxa"/>
            <w:vAlign w:val="bottom"/>
            <w:tcBorders>
              <w:top w:val="single" w:sz="8" w:color="CCEEFF"/>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Borders>
              <w:top w:val="single" w:sz="8" w:color="0000EE"/>
            </w:tcBorders>
            <w:gridSpan w:val="2"/>
          </w:tcPr>
          <w:p>
            <w:pPr>
              <w:spacing w:after="0"/>
              <w:rPr>
                <w:sz w:val="15"/>
                <w:szCs w:val="15"/>
                <w:color w:val="auto"/>
              </w:rPr>
            </w:pPr>
          </w:p>
        </w:tc>
        <w:tc>
          <w:tcPr>
            <w:tcW w:w="47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1B.</w:t>
            </w: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Property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80" w:type="dxa"/>
            <w:vAlign w:val="bottom"/>
            <w:gridSpan w:val="13"/>
          </w:tcPr>
          <w:p>
            <w:pPr>
              <w:jc w:val="center"/>
              <w:ind w:right="470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8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7A.</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9B.</w:t>
            </w: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380" w:type="dxa"/>
            <w:vAlign w:val="bottom"/>
            <w:gridSpan w:val="13"/>
            <w:shd w:val="clear" w:color="auto" w:fill="CCEEFF"/>
          </w:tcPr>
          <w:p>
            <w:pPr>
              <w:jc w:val="center"/>
              <w:ind w:right="472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shd w:val="clear" w:color="auto" w:fill="CCEEFF"/>
          </w:tcPr>
          <w:p>
            <w:pPr>
              <w:spacing w:after="0"/>
              <w:rPr>
                <w:sz w:val="17"/>
                <w:szCs w:val="17"/>
                <w:color w:val="auto"/>
              </w:rPr>
            </w:pP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560" w:type="dxa"/>
            <w:vAlign w:val="bottom"/>
            <w:tcBorders>
              <w:top w:val="single" w:sz="8" w:color="CCEEFF"/>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Borders>
              <w:top w:val="single" w:sz="8" w:color="0000EE"/>
            </w:tcBorders>
            <w:gridSpan w:val="6"/>
          </w:tcPr>
          <w:p>
            <w:pPr>
              <w:spacing w:after="0"/>
              <w:rPr>
                <w:sz w:val="15"/>
                <w:szCs w:val="15"/>
                <w:color w:val="auto"/>
              </w:rPr>
            </w:pPr>
          </w:p>
        </w:tc>
        <w:tc>
          <w:tcPr>
            <w:tcW w:w="47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50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80" w:type="dxa"/>
            <w:vAlign w:val="bottom"/>
            <w:gridSpan w:val="13"/>
          </w:tcPr>
          <w:p>
            <w:pPr>
              <w:jc w:val="center"/>
              <w:ind w:right="4700"/>
              <w:spacing w:after="0" w:line="176" w:lineRule="exact"/>
              <w:rPr>
                <w:sz w:val="20"/>
                <w:szCs w:val="20"/>
                <w:color w:val="auto"/>
              </w:rPr>
            </w:pPr>
            <w:r>
              <w:rPr>
                <w:rFonts w:ascii="Times New Roman" w:cs="Times New Roman" w:eastAsia="Times New Roman" w:hAnsi="Times New Roman"/>
                <w:sz w:val="18"/>
                <w:szCs w:val="18"/>
                <w:color w:val="0000EE"/>
                <w:w w:val="97"/>
              </w:rPr>
              <w:t>PART IV</w:t>
            </w:r>
          </w:p>
        </w:tc>
        <w:tc>
          <w:tcPr>
            <w:tcW w:w="64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78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REFERENCES TO OUR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Form 10-K, the words “we,” “us,” “our,” the “Company” and “Microbot” refer to Microbot Medical Inc., including our wholly owned subsidiary, Microbot Medical Ltd., an Israeli corporation (“Microbot Israel”). Unless the context otherwise requires, the historical business, financial statements and operations of Microbot include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jc w:val="both"/>
        <w:ind w:left="660" w:hanging="382"/>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December 31, 2025, Microbot has not recognized any revenues, and cannot make any assurances of generating significant revenues in the future. It has incurred significant operating losses since inception and is expected to continue to incur significant operating losses for the foreseeable future. The Company may never become profitable or, if achieved, be able to sustain profitability.</w:t>
      </w:r>
    </w:p>
    <w:p>
      <w:pPr>
        <w:spacing w:after="0" w:line="1"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as a commercial-stage company since it ceased primarily being a research and development-stage company, which may make it difficult to evaluate the prospects for the Company’s future viability.</w:t>
      </w:r>
    </w:p>
    <w:p>
      <w:pPr>
        <w:jc w:val="both"/>
        <w:ind w:left="660" w:hanging="382"/>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expects to need additional funding, to continue to transition to a profitable commercial enterprise and build a sustainable business model. If Microbot is unable to raise capital, it could be forced to delay, reduce or eliminate its commercialization efforts or future product development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Products</w:t>
      </w:r>
    </w:p>
    <w:p>
      <w:pPr>
        <w:spacing w:after="0" w:line="233" w:lineRule="exact"/>
        <w:rPr>
          <w:sz w:val="20"/>
          <w:szCs w:val="20"/>
          <w:color w:val="auto"/>
        </w:rPr>
      </w:pPr>
    </w:p>
    <w:p>
      <w:pPr>
        <w:jc w:val="both"/>
        <w:ind w:left="660" w:hanging="382"/>
        <w:spacing w:after="0" w:line="186"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product,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3" w:lineRule="exact"/>
        <w:rPr>
          <w:rFonts w:ascii="Times New Roman" w:cs="Times New Roman" w:eastAsia="Times New Roman" w:hAnsi="Times New Roman"/>
          <w:sz w:val="36"/>
          <w:szCs w:val="36"/>
          <w:color w:val="auto"/>
          <w:vertAlign w:val="superscript"/>
        </w:rPr>
      </w:pPr>
    </w:p>
    <w:p>
      <w:pPr>
        <w:jc w:val="both"/>
        <w:ind w:left="660" w:hanging="382"/>
        <w:spacing w:after="0" w:line="183"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1" w:lineRule="exact"/>
        <w:rPr>
          <w:rFonts w:ascii="Times New Roman" w:cs="Times New Roman" w:eastAsia="Times New Roman" w:hAnsi="Times New Roman"/>
          <w:sz w:val="36"/>
          <w:szCs w:val="36"/>
          <w:color w:val="auto"/>
          <w:vertAlign w:val="superscript"/>
        </w:rPr>
      </w:pPr>
    </w:p>
    <w:p>
      <w:pPr>
        <w:ind w:left="660" w:right="20" w:hanging="382"/>
        <w:spacing w:after="0" w:line="182"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 w:lineRule="exact"/>
        <w:rPr>
          <w:rFonts w:ascii="Times New Roman" w:cs="Times New Roman" w:eastAsia="Times New Roman" w:hAnsi="Times New Roman"/>
          <w:sz w:val="36"/>
          <w:szCs w:val="36"/>
          <w:color w:val="auto"/>
          <w:vertAlign w:val="superscript"/>
        </w:rPr>
      </w:pPr>
    </w:p>
    <w:p>
      <w:pPr>
        <w:jc w:val="both"/>
        <w:ind w:left="660" w:hanging="382"/>
        <w:spacing w:after="0" w:line="199"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its product candidates after they are approved for marketing and launched commercially, it would have a material adverse effect on Microbot’s business.</w:t>
      </w:r>
    </w:p>
    <w:p>
      <w:pPr>
        <w:spacing w:after="0" w:line="2" w:lineRule="exact"/>
        <w:rPr>
          <w:rFonts w:ascii="Times New Roman" w:cs="Times New Roman" w:eastAsia="Times New Roman" w:hAnsi="Times New Roman"/>
          <w:sz w:val="36"/>
          <w:szCs w:val="36"/>
          <w:color w:val="auto"/>
          <w:vertAlign w:val="superscript"/>
        </w:rPr>
      </w:pPr>
    </w:p>
    <w:p>
      <w:pPr>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studies, trials or procedures relating to product candidates under development or that we may develop, or applications for such candidates, could have a material adverse effect on our prospects.</w:t>
      </w:r>
    </w:p>
    <w:p>
      <w:pPr>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future product applications or candidates.</w:t>
      </w: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9"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does not know whether any data submitted with any future 510(k) application will satisfy all FDA requirements to support clearance of any future product candidate of Microbot, which would create uncertainty for Microbot as well as the possibility of increased product development costs and time to market for any such product candidate</w:t>
      </w:r>
    </w:p>
    <w:p>
      <w:pPr>
        <w:spacing w:after="0" w:line="1" w:lineRule="exact"/>
        <w:rPr>
          <w:rFonts w:ascii="Times New Roman" w:cs="Times New Roman" w:eastAsia="Times New Roman" w:hAnsi="Times New Roman"/>
          <w:sz w:val="18"/>
          <w:szCs w:val="18"/>
          <w:color w:val="auto"/>
        </w:rPr>
      </w:pPr>
    </w:p>
    <w:p>
      <w:pPr>
        <w:jc w:val="both"/>
        <w:ind w:left="660" w:hanging="382"/>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any future product applications and candidates, if such trials become necessary.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right="20" w:hanging="38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products and product candidates.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products and product candidates are not considered to be a safe and effective alternative to existing technologies, Microbot will not be commercially successful.</w:t>
      </w:r>
    </w:p>
    <w:p>
      <w:pPr>
        <w:ind w:left="660" w:hanging="38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products and product candidates if Microbot fails to comply with extensive governmental regulations.</w:t>
      </w: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9" w:lineRule="exact"/>
        <w:rPr>
          <w:rFonts w:ascii="Times New Roman" w:cs="Times New Roman" w:eastAsia="Times New Roman" w:hAnsi="Times New Roman"/>
          <w:sz w:val="18"/>
          <w:szCs w:val="18"/>
          <w:color w:val="auto"/>
        </w:rPr>
      </w:pPr>
    </w:p>
    <w:p>
      <w:pPr>
        <w:ind w:left="660" w:hanging="382"/>
        <w:spacing w:after="0" w:line="182"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other of Microbot’s future commercialized products cause or contribute to a death or a serious injury, Microbot will be subject to Medical Device Reporting regulations, which can result in voluntary corrective actions or agency enforcement actions.</w:t>
      </w:r>
    </w:p>
    <w:p>
      <w:pPr>
        <w:spacing w:after="0" w:line="1" w:lineRule="exact"/>
        <w:rPr>
          <w:rFonts w:ascii="Times New Roman" w:cs="Times New Roman" w:eastAsia="Times New Roman" w:hAnsi="Times New Roman"/>
          <w:sz w:val="36"/>
          <w:szCs w:val="36"/>
          <w:color w:val="auto"/>
          <w:vertAlign w:val="superscript"/>
        </w:rPr>
      </w:pPr>
    </w:p>
    <w:p>
      <w:pPr>
        <w:ind w:left="660" w:hanging="38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ind w:left="660" w:right="20" w:hanging="38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may be negatively impacted by inflation in the cost of labor, materials,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33" w:lineRule="exact"/>
        <w:rPr>
          <w:sz w:val="20"/>
          <w:szCs w:val="20"/>
          <w:color w:val="auto"/>
        </w:rPr>
      </w:pPr>
    </w:p>
    <w:p>
      <w:pPr>
        <w:ind w:left="660" w:right="20" w:hanging="382"/>
        <w:spacing w:after="0" w:line="188"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Microbot fails to obtain regulatory clearances in other countries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future product candidates, Microbot will not be able to commercialize these products or product candidates in those countries.</w:t>
      </w: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82"/>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ind w:left="660" w:hanging="38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ind w:left="660" w:hanging="382"/>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8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w:t>
      </w: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geopolitical conditions can adversely affect our business.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may have an adverse impact on our operating performance and results of operations.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data security breaches could harm our business.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single-use design with the capability to be operated remotely, reduce radiation exposure and physical strain to the physician, as well as the potential to eliminate the use of consumables.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8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660" w:hanging="382"/>
        <w:spacing w:after="0" w:line="182"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our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 w:lineRule="exact"/>
        <w:rPr>
          <w:rFonts w:ascii="Times New Roman" w:cs="Times New Roman" w:eastAsia="Times New Roman" w:hAnsi="Times New Roman"/>
          <w:sz w:val="36"/>
          <w:szCs w:val="36"/>
          <w:color w:val="auto"/>
          <w:vertAlign w:val="superscript"/>
        </w:rPr>
      </w:pPr>
    </w:p>
    <w:p>
      <w:pPr>
        <w:ind w:left="660" w:hanging="38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ind w:left="660" w:hanging="38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ind w:left="660" w:hanging="38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A remote control designed to be intuitive aims to simplify advanced procedures while shortening the physician’s learning curve.</w:t>
      </w:r>
    </w:p>
    <w:p>
      <w:pPr>
        <w:spacing w:after="0" w:line="9" w:lineRule="exact"/>
        <w:rPr>
          <w:rFonts w:ascii="Times New Roman" w:cs="Times New Roman" w:eastAsia="Times New Roman" w:hAnsi="Times New Roman"/>
          <w:sz w:val="18"/>
          <w:szCs w:val="18"/>
          <w:color w:val="auto"/>
        </w:rPr>
      </w:pPr>
    </w:p>
    <w:p>
      <w:pPr>
        <w:jc w:val="both"/>
        <w:ind w:left="660" w:hanging="382"/>
        <w:spacing w:after="0" w:line="20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510(k) clearance with the U.S. Food and Drug Administration (“FDA”).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ultimately allowing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recent FDA quality system management regulations and its incorporation by reference of the ISO 13485 standard, we believe it will help streamline our transition into this revised FDA regulation.</w:t>
      </w:r>
    </w:p>
    <w:p>
      <w:pPr>
        <w:spacing w:after="0" w:line="20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September 8, 2025, we announced that the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in November 2025, we announced the limited market release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selected high procedure volume regions where we already experienced preliminary demand for the product. The Company is planning for its full market release at the Society of Interventional Radiology conference in April 2026.</w:t>
      </w:r>
    </w:p>
    <w:p>
      <w:pPr>
        <w:spacing w:after="0" w:line="19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system for endovascular procedures. In November 2025, we announced that Emory University Hospital adopted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patient care, and that we are collaborating with it to establish an Endovascular Robotics Program in interventional radiology.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Minimally Invasive Robot-Assisted Endovascular Interventions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Precedence Research, the global market for robotic surgery is projected to continue its growth with a CAGR of 15.6% from 2025 to 2034.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which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it is well-positioned to deliver a value-added endovascular robotic system, with a focus on improving the ease and access and enhancing the safety of endovascular interventions.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3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Microbot’s goal is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204" w:lineRule="exact"/>
        <w:rPr>
          <w:sz w:val="20"/>
          <w:szCs w:val="20"/>
          <w:color w:val="auto"/>
        </w:rPr>
      </w:pPr>
    </w:p>
    <w:p>
      <w:pPr>
        <w:jc w:val="both"/>
        <w:ind w:left="660" w:hanging="382"/>
        <w:spacing w:after="0" w:line="203" w:lineRule="auto"/>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Expand our global commercial footprint to establish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the standard of care for robotic endovascular procedures in targeted accounts. We seek to partner with Key Opinion Leaders (KOLs) to conduct post-market clinical research and develop centers of excellence that are capable of educating and training future users.</w:t>
      </w:r>
    </w:p>
    <w:p>
      <w:pPr>
        <w:spacing w:after="0" w:line="2" w:lineRule="exact"/>
        <w:rPr>
          <w:rFonts w:ascii="Times New Roman" w:cs="Times New Roman" w:eastAsia="Times New Roman" w:hAnsi="Times New Roman"/>
          <w:sz w:val="36"/>
          <w:szCs w:val="36"/>
          <w:color w:val="auto"/>
          <w:vertAlign w:val="superscript"/>
        </w:rPr>
      </w:pPr>
    </w:p>
    <w:p>
      <w:pPr>
        <w:jc w:val="both"/>
        <w:ind w:left="660" w:hanging="382"/>
        <w:spacing w:after="0" w:line="199" w:lineRule="auto"/>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Continue to refine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develop additional surgical robotic solutions.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2" w:lineRule="exact"/>
        <w:rPr>
          <w:rFonts w:ascii="Times New Roman" w:cs="Times New Roman" w:eastAsia="Times New Roman" w:hAnsi="Times New Roman"/>
          <w:sz w:val="36"/>
          <w:szCs w:val="36"/>
          <w:color w:val="auto"/>
          <w:vertAlign w:val="superscript"/>
        </w:rPr>
      </w:pPr>
    </w:p>
    <w:p>
      <w:pPr>
        <w:jc w:val="both"/>
        <w:ind w:left="660" w:hanging="382"/>
        <w:spacing w:after="0" w:line="22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invest in research and development. Microbot’s most significant expense has historically been research and development, and Microbot expects to continue investing in research and development activities, including expenses it expects to incur to improve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any other prototype products it may have from time to time in order to respond to clinical data, to develop additional applications using its technologies and to develop future product candidates.</w:t>
      </w:r>
    </w:p>
    <w:p>
      <w:pPr>
        <w:spacing w:after="0" w:line="1"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partnerships for the introduction of Microbot’s products.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 w:lineRule="exact"/>
        <w:rPr>
          <w:rFonts w:ascii="Times New Roman" w:cs="Times New Roman" w:eastAsia="Times New Roman" w:hAnsi="Times New Roman"/>
          <w:sz w:val="18"/>
          <w:szCs w:val="18"/>
          <w:color w:val="auto"/>
        </w:rPr>
      </w:pPr>
    </w:p>
    <w:p>
      <w:pPr>
        <w:jc w:val="both"/>
        <w:ind w:left="660" w:hanging="382"/>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IP and technologies to complement and strengthen Microbot’s current IP portfolio. Microbot intends to continue exploring new technologies, IP and know-how to add to its current portfolio through licensing, mergers and/or acquisitions and to allow Microbot to enter new spaces and strengthen its overall product portfolio.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and is CE-marked for neurovascular interventions. Another competitor is R-One+ by Robocath (CE Marked, NMPA, South Africa for PCI only), and we believe there are many other competitors in the endovascular robotics space that are current in development. We believe these systems of our competitors that we have identified have drawbacks, such as limited maneuverability, the requirement to exchange and use multiple expensive surgical tools, requiring a larger space to operate,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3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System’s core technology is co-owned by Microbot Medical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The Technion Research and Development Foundation Ltd., or TRDF. The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29 patents issued/allowed and 52 patent applications pending worldwide. Microbot also holds 14 design patents issued/allowed worldwide. It also has registered trademarks in Israel, Europe, UK and the U.S. relating to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and also has trademarks relating to its proprietary Microbot</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wordmark registered in the U.S., Israel, Europe, and UK, and Microbot Medical logo registered in Israel, Europe, and UK. Microbot also has a trademark relating to the Liberty Endovascular Robotic Surgical System logo registered in Israel and pending in the U.S., Europe, UK, and Japan. In addition to having registered trademarks for the “One &amp; Done” wordmark in Israel, Europe, the U.S., UK, and Japan. Microbot also has a registered trademark in the U.S. for the NovaCross trademark.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related cost reductions,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pursuant to the terms of the License Agreement,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or hourly basis or as consultants, or through partnerships with industry leaders in manufacturing and design and researchers in academia. Microbot also works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2025 totaling approximately $2.5 million. This includes amounts received of approximately $518,000, which is a portion of an additional grant from the IIA in the amount of approximately NIS 2,153,000 (approximately $673,000) approved by the IIA on July 15, 2025,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As of December 31, 2025 the Company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 to the extent available.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2025 and 2024, respectively, Microbot incurred research and development expenses, net of approximately $6,283,000 and 6,630,000.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does not have any manufacturing facilities.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completion of all molds during 2026.</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increase its production capacity, as we plan for the full market release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expected in April 2026.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Microbot established a sales, marketing and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U.S.</w:t>
      </w:r>
    </w:p>
    <w:p>
      <w:pPr>
        <w:spacing w:after="0" w:line="13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November 2025, we announced the limited market release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selected high procedure volume regions where we already experienced preliminary demand for the product. Since then, we have announced that Emory University Hospital and Tampa General Hospital have adopted LIBERTY for patient care. The Company is planning for its full market release at the Society of Interventional Radiology conference in April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has not yet developed a commercial strategy outside of the United States, but it most likely would utilize distributors and strategic partnerships.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Conflict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reporting period, on February 28, 2026, an Israeli military operation referred to as “Epic-Fury” commenced with a large-scale attack on Iran carried out in coordination with the United States. In response, Iran launched a 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these and other Israeli military operations and related matters, including:</w:t>
      </w:r>
    </w:p>
    <w:p>
      <w:pPr>
        <w:spacing w:after="0" w:line="225" w:lineRule="exact"/>
        <w:rPr>
          <w:sz w:val="20"/>
          <w:szCs w:val="20"/>
          <w:color w:val="auto"/>
        </w:rPr>
      </w:pPr>
    </w:p>
    <w:p>
      <w:pPr>
        <w:ind w:left="660" w:right="20" w:hanging="38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w:t>
      </w: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in particular, and the Middle East in general; and</w:t>
      </w:r>
    </w:p>
    <w:p>
      <w:pPr>
        <w:ind w:left="660" w:hanging="382"/>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our ability to do business in certain jurisdictions or with certain industry groups or potential customers, among others.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closely monitor how these and other Israeli military operations and related activities could adversely affect our anticipated milestones and our Israel-based activities to support future commercial, clinical and regulatory milestones, including our ability to import materials that are required to construct our</w:t>
      </w:r>
    </w:p>
    <w:p>
      <w:pPr>
        <w:jc w:val="both"/>
        <w:spacing w:after="0" w:line="236"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devices and to ship them outside of Israel. In addition, we are also monitoring how negative international reaction to the events in Gaza, the West Bank, Iran and elsewhere in the Middle East could create a corresponding negative perception of companies with Israeli operations, which if broad enough, could negatively impact our business. As of the filing date of this Annual Report on Form 10-K, we have determined that there have not been any materially adverse effects on our business or operations, but we continue to monitor the situation, as in the event that the situation escalates into an even greater regional conflict or our Israeli facilities are damaged as a result of hostile actions, or hostilities otherwise disrupt our Israeli office’s support of our commercial, clinical and regulatory activities, our Israeli operations could be materially and adversely affected. We do not have any specific contingency plans in the event of any such escalation or change.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Microbot’s products sold in the United States will be subject to the Federal Food, Drug, and Cosmetic Act (FDCA) as implemented and enforced by the U.S. Food and Drug Administration.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7"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Management System Regulation, or QMSR, which require specification developers and manufacturers, including third-party manufacturers, to follow stringent design, testing, control, documentation and other quality assurance procedures during all aspects of the manufacturing process, and incorporates as a reference the ISO 13485 standard for medical device;</w:t>
      </w:r>
    </w:p>
    <w:p>
      <w:pPr>
        <w:spacing w:after="0" w:line="1"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9" w:lineRule="exact"/>
        <w:rPr>
          <w:rFonts w:ascii="Times New Roman" w:cs="Times New Roman" w:eastAsia="Times New Roman" w:hAnsi="Times New Roman"/>
          <w:sz w:val="18"/>
          <w:szCs w:val="18"/>
          <w:color w:val="auto"/>
        </w:rPr>
      </w:pPr>
    </w:p>
    <w:p>
      <w:pPr>
        <w:ind w:left="660" w:right="2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jc w:val="both"/>
        <w:ind w:left="66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 w:lineRule="exact"/>
        <w:rPr>
          <w:rFonts w:ascii="Times New Roman" w:cs="Times New Roman" w:eastAsia="Times New Roman" w:hAnsi="Times New Roman"/>
          <w:sz w:val="18"/>
          <w:szCs w:val="18"/>
          <w:color w:val="auto"/>
        </w:rPr>
      </w:pPr>
    </w:p>
    <w:p>
      <w:pPr>
        <w:ind w:left="660" w:right="2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660" w:hanging="382"/>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 w:lineRule="exact"/>
        <w:rPr>
          <w:rFonts w:ascii="Times New Roman" w:cs="Times New Roman" w:eastAsia="Times New Roman" w:hAnsi="Times New Roman"/>
          <w:sz w:val="18"/>
          <w:szCs w:val="18"/>
          <w:color w:val="auto"/>
        </w:rPr>
      </w:pPr>
    </w:p>
    <w:p>
      <w:pPr>
        <w:jc w:val="both"/>
        <w:ind w:left="660" w:hanging="382"/>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LIBERTY device is a classified as Class II, and received 510(k) premarket clearance in 2025. Microbot expects future medical products in its pipeline currently to be classified as Class II or possibly Class III.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7" w:lineRule="exact"/>
        <w:rPr>
          <w:sz w:val="20"/>
          <w:szCs w:val="20"/>
          <w:color w:val="auto"/>
        </w:rPr>
      </w:pPr>
    </w:p>
    <w:p>
      <w:pPr>
        <w:ind w:left="660" w:hanging="38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7" w:lineRule="exact"/>
        <w:rPr>
          <w:rFonts w:ascii="Times New Roman" w:cs="Times New Roman" w:eastAsia="Times New Roman" w:hAnsi="Times New Roman"/>
          <w:sz w:val="18"/>
          <w:szCs w:val="18"/>
          <w:color w:val="auto"/>
        </w:rPr>
      </w:pPr>
    </w:p>
    <w:p>
      <w:pPr>
        <w:ind w:left="660" w:right="20" w:hanging="38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ind w:left="660" w:hanging="382"/>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Description of the IDE process.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660" w:hanging="382"/>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9"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QMSRs. The FDA periodically inspects manufacturing facilities to assess compliance with QMSRs,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QMSRs and other types of regulatory controls.</w:t>
      </w:r>
    </w:p>
    <w:p>
      <w:pPr>
        <w:spacing w:after="0" w:line="2"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 w:lineRule="exact"/>
        <w:rPr>
          <w:rFonts w:ascii="Times New Roman" w:cs="Times New Roman" w:eastAsia="Times New Roman" w:hAnsi="Times New Roman"/>
          <w:sz w:val="18"/>
          <w:szCs w:val="18"/>
          <w:color w:val="auto"/>
        </w:rPr>
      </w:pPr>
    </w:p>
    <w:p>
      <w:pPr>
        <w:jc w:val="both"/>
        <w:ind w:left="660" w:hanging="382"/>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any future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Europe. The primary regulatory body in Europe is the European Union, or E.U., which consists of 27 member states and has a coordinated system for the authorization of medical devices.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 has adopted regulations concerning the regulation of medical devices within the European Union. The regulations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(which LIBERTY is considered), Class IIb, or Class III.</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initial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applied for the CE Mark for LIBERTY. There is no guarantee that Microbot will be granted a CE Mark for LIBERTY or all or any of its future potential pipeline products. Failure to obtain the CE Mark would likely adversely affect Microbot’s ability to grow its business.</w:t>
      </w:r>
    </w:p>
    <w:p>
      <w:pPr>
        <w:spacing w:after="0" w:line="1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In 2025, we engaged with a leading Notified Body and commenced audits for ISO 13485 certification to ensure basic compliance with the Quality Management System (QMS) requirements of the EU Medical Devices Regulation (MDR 2017/745).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ind w:left="660" w:right="20" w:hanging="38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660" w:hanging="38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applied for a license from the MOH for the LIBERTY device, and it is awaiting the outcome of the registration process. There is no guarantee that Microbot will be granted licenses for the LIBERTY device or any future pipeline products and failure to obtain such licenses would adversely affect its ability to grow its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24, 2026, we have 43 employees (including full-time and hourly employees).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23 other full-time employees, are based in the United States. These employees include executive, management and commercial operations of the Company. Additionally, Microbot has 18 full-time employees and 1 hourly employee based in its office located in Yokneam, Israel. These employees oversee day-to-day operations of the Company and leading engineering, manufacturing, intellectual property and administration functions of the Company. The Company expects to continue to increase hirings for its U.S.-based commercial team and other aspects of its U.S. and global operations.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along with other benefits customary in the locations at which the employees are based.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three years, we have increased the total number of women in management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Through December 31, 2025, Microbot has not recognized any revenues, and cannot make any assurances of generating significant revenues in the future. It is expected to continue to incur significant operating losses for the foreseeable future. The Company may never become profitable or, if achieved, be able to sustain profitability.</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conducts sales and marketing operations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continues its research and development of any other future product candidates; and all other work necessary to obtain regulatory clearances or approvals for its products or product candidates in the United States and other markets. In the future, Microbot intends to continue conducting micro-robotics research and development; performing necessary animal and clinical testing; working towards medical device regulatory compliance; and engaging in appropriate sales and marketing activities that, together with anticipated sales, general and administrative expenses, will likely result in Microbot incurring further significant losses for the foreseeable future.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18" w:lineRule="auto"/>
        <w:rPr>
          <w:sz w:val="20"/>
          <w:szCs w:val="20"/>
          <w:color w:val="auto"/>
        </w:rPr>
      </w:pPr>
      <w:r>
        <w:rPr>
          <w:rFonts w:ascii="Times New Roman" w:cs="Times New Roman" w:eastAsia="Times New Roman" w:hAnsi="Times New Roman"/>
          <w:sz w:val="18"/>
          <w:szCs w:val="18"/>
          <w:color w:val="auto"/>
        </w:rPr>
        <w:t>Microbot has not recognized any revenues from product sales through December 31, 2025, and does not anticipate generating significant revenues until it can successfully commercialize and sell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of which Microbot can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give no assurance. Even if Microbot or any of its future development partners, if any, succeed in commercializing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may never generate revenues significant enough to achieve profitability.</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ongoing research and development programs and/or day-to-day operations. Furthermore, there can be no assurance that profitability, if achieved, can be sustained on an ongoing basis.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as a commercial-stage company since it ceased primarily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as a commercial-stage company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not yet demonstrated its ability to successfully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expects to need additional funding to continue to transition to a profitable commercial enterprise and build a sustainable business model. If Microbot is unable to raise capital, it could be forced to delay, reduce or eliminate its product development programs or commercialization efforts or future product development programs.</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equity securities and grants. Microbot does not know when, or if, it will be profitable. It is anticipated that the Company will continue to incur losses for the foreseeable future, and that losses will increase as it continues the development of the manufacturing, sales and marketing infrastructure necessary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Microbot also expects the research and development expenses of the Company to continue in future periods as it potentially conducts clinical trials for additional research programs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if it initiates additional research programs for future product candidates. Furthermore, Microbot incurs substantial costs associated with operating as a public company in the United States. Accordingly, the Company will likely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research and development programs or any future commercialization efforts, in which case it may be unable to meet its obligations or fully implement its business plan, if at all.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or otherwise in order to meet expected future liquidity needs. The Company’s future capital requirements, generally, will depend on many factors, including:</w:t>
      </w:r>
    </w:p>
    <w:p>
      <w:pPr>
        <w:spacing w:after="0" w:line="162" w:lineRule="exact"/>
        <w:rPr>
          <w:sz w:val="20"/>
          <w:szCs w:val="20"/>
          <w:color w:val="auto"/>
        </w:rPr>
      </w:pP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sales, marketing, scientific and medical personnel;</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any applicable regulatory reviews, subsequent approvals or clearances, or other regulatory actions;</w:t>
      </w:r>
    </w:p>
    <w:p>
      <w:pPr>
        <w:spacing w:after="0" w:line="9" w:lineRule="exact"/>
        <w:rPr>
          <w:rFonts w:ascii="Times New Roman" w:cs="Times New Roman" w:eastAsia="Times New Roman" w:hAnsi="Times New Roman"/>
          <w:sz w:val="18"/>
          <w:szCs w:val="18"/>
          <w:color w:val="auto"/>
        </w:rPr>
      </w:pPr>
    </w:p>
    <w:p>
      <w:pPr>
        <w:ind w:left="660" w:right="20" w:hanging="38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Products</w:t>
      </w:r>
    </w:p>
    <w:p>
      <w:pPr>
        <w:spacing w:after="0" w:line="23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product,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Through December 31, 2025, Microbot has not recognized any revenues from its operations, and might not generate significant revenues in the foreseeable future, if at all, and depends heavily on the successful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success of commercializing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78" w:lineRule="exact"/>
        <w:rPr>
          <w:sz w:val="20"/>
          <w:szCs w:val="20"/>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that the device is safe and effective for its intended use;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medical community, patients and third-party payors;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w:t>
      </w:r>
    </w:p>
    <w:p>
      <w:pPr>
        <w:spacing w:after="0" w:line="2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If Microbot does not achieve one or more of these factors in a 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3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of Microbot’s future product candidate.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products. In addition, its competitors may develop new technologies for the same markets Microbot is targeting that are more attractive to medical facilities and physicians. If doctors and other medical professionals do not consider Microbot’s products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Microbot only recently, in 2025, shifted its focus primarily from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its commercialization. Consequently, Microbot has limited experience in manufacturing, and intends to manufacture its products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products will be dependent on material and other manufacturing costs. Microbot cannot offer any assurances that its manufacturing partner will be able manufacture its products at a competitive price or that achieving cost reductions will not cause a reduction in the performance, reliability and longevity of its products.</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of its product candidates after they are approved for marketing and launched commercially, it would have a material adverse effect on Microbot’s business.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products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studies, trials or procedures relating to product candidates under development or that we may develop, or applications for such candidates, could have a material adverse effect on our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potential future uses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prospects with respect to other uses or other product candidates we may pursue or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future product applications or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towards, most recently, commercializing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These goals relate to technology and design improvements as well</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 to dates for achieving specific development, commercialization and results.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exhibits technical defects or are unable to meet cost or performance goals, among other things, Microbot’s commercialization schedule could be delayed and potential purchasers may decline to purchase such products or may opt to pursue alternative products, which would materially harm its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does not know whether any data submitted with any future 510(k) application will satisfy all FDA requirements to support clearance of any future product candidate of Microbot, which would create uncertainty for Microbot as well as the possibility of increased product development costs and time to market for any such product candidate.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Microbot pursues a future product candidate that requires FDA approval or clearance, it would have to identify a predicate device for that product candidate which it would then use in its 510(k) application. However, there is no guarantee that the FDA will agree with the Company’s determination or that the FDA would accept the predicate device that Microbot submitted in any such 510(k). Furthermore, the FDA also may request additional data in response to a 510(k) or require Microbot to conduct further testing or compile more data in support of its 510(k).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will require clinical data to be submitted as part of any future product candidate’s marketing submission, and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any future product candidate would significantly increase the costs associated with developing and commercializing the product and delay the timing of U.S. regulatory authorization. Additionally, any medical device regulatory changes by the FDA could further affect our development plans for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any future product applications and candidates, if such trials become necessary.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Microbot has prior experience in designing, initiating, conducting and monitoring human clinical trials, it expects to continue to depend in part upon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any future product candidates and, consequently, could delay or materially impair its ability to generate revenues from the commercialization of any of those future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Israel-Hamas war and related conflicts, we have experienced from time to time delays in the supply for certain components from Israeli-based vendors. We cannot determine with any certainty as to whether there will be future shortages, especially if the recently commenced U.S.-Israeli war against Iran escalates and spreads,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timelines will not be delayed while we identify and retain replacement suppliers. Accordingly, any material delay in delivery of any component parts or packaging could materially adversely affect our ability to meet our expected timeframes.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products and product candidates.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products, and it expects to rely on third parties to manufacture the commercialized products as well. Reliance on third-party manufacturers entails risks to which Microbot would not be subject if Microbot manufactured its product candidates or future commercial products itself, including:</w:t>
      </w:r>
    </w:p>
    <w:p>
      <w:pPr>
        <w:spacing w:after="0" w:line="176" w:lineRule="exact"/>
        <w:rPr>
          <w:sz w:val="20"/>
          <w:szCs w:val="20"/>
          <w:color w:val="auto"/>
        </w:rPr>
      </w:pPr>
    </w:p>
    <w:p>
      <w:pPr>
        <w:ind w:left="660" w:hanging="38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82"/>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supply products for its customers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products and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products and product candidates if Microbot fails to comply with extensive governmental regulations.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medical device products are categorized as Class II devices, which required a 510(k) or 510(k) de-novo premarket submission to the FDA. In addition, Microbot believes that any future medical device products it may develop would also likely be categorized as Class II devices. However, the FDA has not made any determination about whether Microbot’s contemplated future medical product candidates are Class II medical devices and may disagree with that classification. If the FDA determines that Microbot’s future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If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other of Microbot’s future commercialized products cause or contribute to a death or a serious injury, Microbot will be subject to Medical Device Reporting regulations, which can result in voluntary corrective actions or agency enforcement actions.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it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the other senior executive.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may be negatively impacted by inflation in the cost of labor, materials, and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inflation in the United States has declined since 2023, prices have continued to be significantly impacted by inflation relative to historical levels. This continued inflation has raised our costs for plastic products and other components of our LIBERTY device, thereby increasing our operating costs and capital expenditures. Additionally, the Trump administration has increased tariffs on many imports. The Trump administration has also imposed and expanded so called ‘reciprocal’ tariffs on a wide range of United States trading partners with which the United States has sizable trade imbalances and has announced or threatened additional increases on imports from Canada, Mexico, and other key partners. These and other import tariffs could substantially increase our operating and capital costs as we ramp up production and manufacturing of the LIBERTY device. Although we cannot predict any future inflation trends or the impact of current or future import tariffs, higher operating and capital costs would negatively impact our future profitability to the extent we are unable to recover such higher costs through passing them along to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Microbot fails to obtain regulatory clearances in other countries for </w:t>
      </w: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other future</w:t>
      </w:r>
      <w:r>
        <w:rPr>
          <w:rFonts w:ascii="Times New Roman" w:cs="Times New Roman" w:eastAsia="Times New Roman" w:hAnsi="Times New Roman"/>
          <w:sz w:val="18"/>
          <w:szCs w:val="18"/>
          <w:b w:val="1"/>
          <w:bCs w:val="1"/>
          <w:i w:val="1"/>
          <w:iCs w:val="1"/>
          <w:color w:val="auto"/>
        </w:rPr>
        <w:t xml:space="preserve"> product candidates, Microbot will not be able to commercialize these products or product candidates in those countries.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Microbot has submitted an application to AMAR based on its 510(k) clearance in the United States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following the U.S.-Israel joint attach on Iran.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have been exacerbated as a result of the October 7, 2023 surprise attack by hostile forces from Gaza, which led to Israeli military operation at first in Gaza, then in Lebanon, Syria, Yemen and Iran.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are on-going as of the filing date of this Annual Report on Form 10-K.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reporting period, on February 28, 2026, a military operation referred to as “Epic-Fury” commenced with a large-scale attack on Iran carried out in coordination with the United States. In response, Iran launched a 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these and other military operation and related matters, including:</w:t>
      </w:r>
    </w:p>
    <w:p>
      <w:pPr>
        <w:spacing w:after="0" w:line="225" w:lineRule="exact"/>
        <w:rPr>
          <w:sz w:val="20"/>
          <w:szCs w:val="20"/>
          <w:color w:val="auto"/>
        </w:rPr>
      </w:pPr>
    </w:p>
    <w:p>
      <w:pPr>
        <w:ind w:left="660" w:right="20" w:hanging="38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w:t>
      </w:r>
    </w:p>
    <w:p>
      <w:pPr>
        <w:ind w:left="660" w:hanging="38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and</w:t>
      </w:r>
    </w:p>
    <w:p>
      <w:pPr>
        <w:ind w:left="660" w:hanging="382"/>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our ability to do business in certain jurisdictions or with certain industry groups or potential customers, among others.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closely monitors how these and other military operation and related activities could adversely affect its anticipated milestones and its Israel-based activities to support future commercial, clinical and regulatory milestones, including the Company’s ability to import materials that are required to</w:t>
      </w:r>
    </w:p>
    <w:p>
      <w:pPr>
        <w:jc w:val="both"/>
        <w:spacing w:after="0" w:line="236" w:lineRule="auto"/>
        <w:rPr>
          <w:sz w:val="20"/>
          <w:szCs w:val="20"/>
          <w:color w:val="auto"/>
        </w:rPr>
      </w:pPr>
      <w:r>
        <w:rPr>
          <w:rFonts w:ascii="Times New Roman" w:cs="Times New Roman" w:eastAsia="Times New Roman" w:hAnsi="Times New Roman"/>
          <w:sz w:val="18"/>
          <w:szCs w:val="18"/>
          <w:color w:val="auto"/>
        </w:rPr>
        <w:t>construct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devices and to ship them outside of Israel. In addition, we are also monitoring how negative international reaction to the events in Gaza, the West Bank, Iran and elsewhere in the Middle East could create a corresponding negative perception of companies with Israeli operations, which if broad enough, could negatively impact our business. As of the filing date of this Annual Report on Form 10-K, the Company has determined that there have not been any materially adverse effects on its business or operations, but it continues to monitor the situation, as in the event that the situation escalates into an even greater regional conflict or our Israeli facilities are damaged as a result of hostile actions, or hostilities otherwise disrupt our Israeli office’s support of our commercial, clinical and regulatory activities, our Israeli operations could be materially and adversely affected. We do not have any specific contingency plans in the event of any such escalation or change.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an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$2.5 million through December 31, 2025. During 2025 year the Israeli Innovation Authority approved additional grant in the amount of approximately NIS 2.2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as of December 31, 2025, the Company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our 2022 agreement with Nitiloop, we took over the liability to repay Nitiloop’s IIA grants in the amount of approximately $925,000.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social and geopolitical conditions can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Political, social and geopolitical conditions in the markets in which our products are expected to be sold have been and could continue to be difficult to predict, resulting in adverse effects on our business. The results of elections, referendums or other political conditions (including government shutdowns), geopolitical events and tensions, wars and other military conflicts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sanctions, environmental and climate change regulations, taxes, benefit programs,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credit markets and other corporate banking services, including working capital facilities, volatility in global stock markets and global economic uncertainty and heightened risk to employee safety, any of which can adversely affect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as to all of the actions the second Trump administration in the U.S. will implement, and if implemented, how these actions may impact us or how we operate in the U.S., particularly any changes in personnel or processes or procedures at the FDA. Any actions taken by the Trump administration, including the many recent executive orders, may have a negative impact on the U.S. economy in general and on our business, financial condition, and results of operations in particular, especially if any such impact delays our planned 510(k) approval.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the Company is profitable, it expects to finance its cash needs through a combination of equity offerings, including possibly through an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and data security breaches could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information technology, digital communications and other computer resources to carry out important operational and marketing activities and to maintain our business records. We have implemented systems and processes intended to address ongoing and evolving cyber security risks, secure our information technology, applications and computer systems, and prevent unauthorized access to or loss of sensitive, confidential and personal data. We also depend on various partners and providers, and our software partners, to secure personal identifiable and confidential information. We provide regular personnel awareness training regarding potential cyber security threats, including the use of internal tips, reminders and phishing assessments, to help ensure employees remain diligent in identifying potential risks. In addition, we have deployed monitoring capabilities to support early detection, internal and external escalation, and effective responses to potential anomalies. However, cyberattacks or other security breaches may remain undetected over an extended period of time and may not be addressed in a timely manner to minimize the impact, which could result in substantial costs. Many of our information technology and other computer resources are provided to us and/or maintained on our behalf by third-party service providers pursuant to agreements that specify to varying degrees certain security and service level standards. We also rely upon our third-party service providers to maintain effective cyber security measures to keep our information secure and to carry cyber insurance. Although we and our service providers employ what we believe are adequate security, disaster recovery and other preventative and corrective measures, our security measures, taken as a whole, may not be sufficient for all possible situations and may be vulnerable to, among other things, hacking, employee error, system error and faulty password management.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conduct our business may be impaired if these information technology and computer resources, including our website and customer-facing applications, are compromised, degraded or damaged or if they fail, whether due to a virus or other harmful circumstance, intentional penetration or disruption of our information technology resources by a third party, natural disaster, hardware or software corruption or failure or error (including a failure of security controls incorporated into or applied to such hardware or software), telecommunications system failure, service provider error or failure or intentional or unintentional personnel actions (including the failure to follow our security protocols), or lost connectivity to our networked resources. A significant disruption in the functioning of these resources, or breach thereof, including our website, could damage our reputation and cause us to lose customers, sales and revenue.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breaches of our information technology systems or data security systems, including cyberattacks and malicious uses of artificial intelligence, could result in the unintended and/or unauthorized public disclosure or the misappropriation of proprietary, personal identifying and confidential information (including information we collect and retain in connection with our business, business partners and employees), and require us to incur significant expense (that we may not be able to recover in whole or in part from our service providers or responsible parties, or their or our insurers) to address and remediate or otherwise resolve. The unintended and/or unauthorized public disclosure or the misappropriation of proprietary, personal identifying or confidential information may also lead to litigation or other proceedings against us by affected individuals and/or business partners and/or by regulators, and the outcome of such proceedings, which could include losses, penalties, fines, injunctions, expenses and charges recorded against our earnings, could have a material and adverse effect on our financial condition, results of operations and cash flows and harm our reputation. In addition, the costs of maintaining adequate protection against such threats, based on considerations of their evolution, increasing sophistication, pervasiveness and frequency and/or increasingly demanding government-mandated standards or obligations regarding information security and privacy, could be material to our consolidated financial statements in a particular period or over various periods.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u w:val="single" w:color="auto"/>
          <w:color w:val="auto"/>
        </w:rPr>
        <w:t>Cybersecurity</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Since our formation, we have been primarily focused on research and development activities and pursuing FDA approval of our planned products, and only recently commenced building our commercial team and focusing on the commercialization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have 42 full-time employees and 1 hourly employee, of which 24 are based in the United States and 19 are based in Israel, and currently use third-party vendors and service providers for certain product development and regulatory approval activities.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We use a third-party sub-contractor to manage all Information Technology (IT) issues, including protection against, detection, and response to cyberattacks.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measures that are taken to ensure proper protection include:</w:t>
      </w:r>
    </w:p>
    <w:p>
      <w:pPr>
        <w:spacing w:after="0" w:line="225" w:lineRule="exact"/>
        <w:rPr>
          <w:sz w:val="20"/>
          <w:szCs w:val="20"/>
          <w:color w:val="auto"/>
        </w:rPr>
      </w:pPr>
    </w:p>
    <w:p>
      <w:pPr>
        <w:jc w:val="both"/>
        <w:ind w:left="660" w:hanging="382"/>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are protected using a cloud-powered endpoint security solution that helps enterprises prevent, 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p>
      <w:pPr>
        <w:spacing w:after="0" w:line="2"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computer hard drives are automatically encrypted.</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e-mails are protected by a cloud-based email filtering service designed to protect the Company against advanced threats related to email and collaboration tools.</w:t>
      </w:r>
    </w:p>
    <w:p>
      <w:pPr>
        <w:ind w:left="660" w:hanging="38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all users on the Company’s computer network are required to perform multi-factor authentication.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 cloud-based identity and access management service that enables access to external resources.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is performed using a secure, automatic cloud-based backup and restore service.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considers and evaluates, and adopts if appropriate, additional cyber security procedures and tools.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IT service provider assesses and manages cybersecurity risks on our behalf, who provides updates and proposals as appropriate, and who reports to our Chief Technology Officer and General Manager, who does not have specific cybersecurity expertise. The Company has an Information Technology Policy that, among other things, governs and provides for cybersecurity policies and processes, including to define safety measures to protect the Company’s 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has commenced commercialization of its first product.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cybersecurity threats have not materially affected the Company, including its business strategy, results of operations or financial condition, while it was focused on pursuing FDA approval and had pre-commercial operations. The Company is not aware of any material security breach to date. Accordingly, the Company has not incurred any material expenses over the last two years relating to information security breaches. The Company is considering how its evolving business operations could result in a greater risk of a cybersecurity incident, and potential responses and actions to take as a result. The occurrence of cyber-incidents,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Description of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These facilities are expected to provide the space and infrastructure necessary to accommodate its commercial and business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2025, the Company received a demand letter from legal counsel representing a former employee in connection with an employment-related matter. On December 3, 2025, the Company received a charge filed by the former employee with the Massachusetts Commission Against Discrimination and Equal Employment Opportunity Commission, alleging discrimination and retaliation. On January 16, 2026, the Company filed a position statement responding to same and challenging the merits of the charge in total. Based on its initial assessment, the Company believes the allegations lack merit and intends to defend against them.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24, 2026, there were approximately 118 holders of record of our common stock, and the closing price of our common stock as reported on the NASDAQ Capital Market was $2.50.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2025.</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38"/>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623"/>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2,624,123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2,587,548</w:t>
            </w:r>
          </w:p>
        </w:tc>
      </w:tr>
      <w:tr>
        <w:trPr>
          <w:trHeight w:val="445"/>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3,105,615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2,744,133</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-1028065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-745490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-471170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684" w:right="339" w:bottom="1440" w:gutter="0" w:footer="0" w:header="0"/>
          <w:type w:val="continuous"/>
        </w:sectPr>
      </w:pPr>
    </w:p>
    <w:p>
      <w:pPr>
        <w:spacing w:after="0" w:line="25" w:lineRule="exact"/>
        <w:rPr>
          <w:sz w:val="20"/>
          <w:szCs w:val="20"/>
          <w:color w:val="auto"/>
        </w:rPr>
      </w:pPr>
    </w:p>
    <w:p>
      <w:pPr>
        <w:jc w:val="both"/>
        <w:ind w:firstLine="8"/>
        <w:spacing w:after="0" w:line="266" w:lineRule="auto"/>
        <w:tabs>
          <w:tab w:leader="none" w:pos="2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general and administrative expenses consist primarily of the costs associated with salaries, benefits and related expenses, sales and marketing activities, business development expenses,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sales, general and administrative expenses will increase over the long-term, as it expands its operating and commercialization activities, maintains compliance with exchange listing and SEC requirements. Microbot expects these potential increases will likely include management</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costs, the costs of building out marketing and sales teams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legal fees, accounting fees, insurance premiums and expenses associated with investor relations.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more likely than not that sufficient taxable income will not be available for the tax losses to be fully utilized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actual cost, determined using the first-in, first-out method, or net realizable value (“NRV”).</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primarily consist of raw materials ordered by us or in advance by our third-party contract manufacturer. Work in process and finished goods are produced by our third-party contract manufacturer and include direct labor and allocable overhead.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routinely evaluate the quantity and value of our inventories in light of current market conditions, and based on expiration of sterilization dates or defective inventory, and record write-downs when NRV is below cost. As of December 31, 2025, no reserve for excess or obsolete inventory was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began ramping up inventory manufacturing for units intended for sale after receiving FDA clearance on September 4,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(6,630)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 expenses</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(4,995)</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 The decrease in research and development expenses of approximately $0.3 million in 2025 as compared to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increases in government grants recognized as contra research and development expenses in 2025 and a decrease in professional services in 2025 due to a material, non-recurring clinical study conducted in 2024. This decrease was partially offset by an increase in payroll and related expenses due to new hires, salary increases and bonuses above 2024 levels.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Sales, General and Administrative Expenses</w:t>
      </w:r>
      <w:r>
        <w:rPr>
          <w:rFonts w:ascii="Times New Roman" w:cs="Times New Roman" w:eastAsia="Times New Roman" w:hAnsi="Times New Roman"/>
          <w:sz w:val="18"/>
          <w:szCs w:val="18"/>
          <w:color w:val="auto"/>
        </w:rPr>
        <w:t>. The increase in sales, general and administrative expenses of approximately $3.5 million in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2024 was primarily due to an increase in sales and marketing payroll and related expenses mainly due to new hiring, commercialization activities, as well as increases in professional services, including legal, audit and recruitment fees, and higher travel and office rent expenses. This increase was partially offset by a decrease in stock-based compensation expenses.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increase in financing income in 2025 compared with 2024 was primarily driven by higher market gains earned on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following the investments of capital raised during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Other </w:t>
      </w:r>
      <w:r>
        <w:rPr>
          <w:rFonts w:ascii="Times New Roman" w:cs="Times New Roman" w:eastAsia="Times New Roman" w:hAnsi="Times New Roman"/>
          <w:sz w:val="17"/>
          <w:szCs w:val="17"/>
          <w:i w:val="1"/>
          <w:iCs w:val="1"/>
          <w:color w:val="auto"/>
        </w:rPr>
        <w:t>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7"/>
          <w:szCs w:val="17"/>
          <w:color w:val="auto"/>
        </w:rPr>
        <w:t>The Company received a judgment in the amount of approximately $316,000, net of legal fees and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December 31, 2025, Microbot has not recognized any revenues, and cannot make any assurances of generating significant revenues in the future. Microbot has incurred losses since inception and negative cash flows from operating activities for all periods presented. As of December 31, 2025, Microbot had a net working capital of approximately $76.4 million, consisting primarily of cash and cash equivalents and marketable securities. This compares to net working capital of approximately $3.4 million as of December 31, 2024. Microbot anticipates that it will continue to incur net losses for</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foreseeable future as it continues to ramp up manufacturing and commercialization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continues research and development efforts with respect to other uses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potential technologies and products, and continues to incur costs associated with being a public company.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December 31, 2025, Microbot has raised cash proceeds of approximately $168.3 million. Since inception (November 2010) through December 31, 2025, Microbot incurred a total cumulative loss of approximately $104.1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December 31, 2025, we raised the following amounts:</w:t>
      </w:r>
    </w:p>
    <w:p>
      <w:pPr>
        <w:spacing w:after="0" w:line="225" w:lineRule="exact"/>
        <w:rPr>
          <w:sz w:val="20"/>
          <w:szCs w:val="20"/>
          <w:color w:val="auto"/>
        </w:rPr>
      </w:pPr>
    </w:p>
    <w:p>
      <w:pPr>
        <w:ind w:left="660" w:right="20" w:hanging="38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$1.1 million in January 2025, before fees and expenses of $65,452, through our then-existing At-the-Market facility;</w:t>
      </w:r>
    </w:p>
    <w:p>
      <w:pPr>
        <w:ind w:left="660" w:hanging="38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an aggregate of approximately $15.6 million in gross proceeds, before fees and expenses of approximately $1.4 million, from institutional investors;</w:t>
      </w:r>
    </w:p>
    <w:p>
      <w:pPr>
        <w:ind w:left="660" w:right="20" w:hanging="38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approximately $916,000 in gross proceeds from the exercise of outstanding preferred investment options, before fees and expenses of $64,164;</w:t>
      </w:r>
    </w:p>
    <w:p>
      <w:pPr>
        <w:ind w:left="660" w:hanging="38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an aggregate of approximately $13.0 million in gross proceeds, before fees and expenses of approximately $1.2 million, from the sale of our securities to institutional investors;</w:t>
      </w:r>
    </w:p>
    <w:p>
      <w:pPr>
        <w:ind w:left="660" w:hanging="38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approximately $2.3 million in gross proceeds from the exercise of outstanding Series E and Series F preferred investment options, before fees and expenses of approximately $161,000;</w:t>
      </w:r>
    </w:p>
    <w:p>
      <w:pPr>
        <w:ind w:left="660" w:hanging="382"/>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approximately $1.4 million in gross proceeds from the exercise of outstanding Series F preferred investment options, before fees and expenses of approximately $98,000;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hanging="38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approximately $1.3 million in gross proceeds from the exercise of outstanding Series E, F and G preferred investment options, before fees and expenses of approximately $93,000;</w:t>
      </w:r>
    </w:p>
    <w:p>
      <w:pPr>
        <w:ind w:left="660" w:hanging="38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approximately $12.2 million in gross proceeds from the exercise of outstanding Series F and G preferred investment options, before fees and expenses of approximately $706,000;</w:t>
      </w:r>
    </w:p>
    <w:p>
      <w:pPr>
        <w:ind w:left="660" w:hanging="38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approximately $15.2 million in gross proceeds from the exercise of outstanding Series E, G, H, I preferred investment options, before fees and expenses of approximately $1.1 million;</w:t>
      </w:r>
    </w:p>
    <w:p>
      <w:pPr>
        <w:ind w:left="660" w:hanging="38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approximately $472,500 in gross proceeds from the exercise of outstanding Series H preferred investment options, before fees and expenses of $33,075;</w:t>
      </w:r>
    </w:p>
    <w:p>
      <w:pPr>
        <w:ind w:left="660" w:hanging="38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approximately $895,744 in gross proceeds from the exercise of placement agent options;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an aggregate of approximately $26.5 million in gross proceeds from an inducement transaction exercise of outstanding preferred investment options, before fees and expenses of approximately $2.2 million, from institutional investors; and</w:t>
      </w:r>
    </w:p>
    <w:p>
      <w:pPr>
        <w:ind w:left="660" w:right="20" w:hanging="382"/>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an aggregate of approximately $2.8 million in gross proceeds from the inducement transaction exercise of outstanding preferred investment options, before fees and expenses of approximately $223,000, from institutional investors.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December 31, 2025 in the total amount of approximately $2.5 million. This amount includes amounts received of approximately $518,000, which are a portion of an additional grant from the IIA in the amount of approximately NIS 2.2 million (approximately $673,000) approved on July 15, 2025, to further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of December 31, 2025, Microbot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In relation to the Ministry of Economy grant,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including to continue to build a commercial and sales team in the U.S. and</w:t>
      </w:r>
    </w:p>
    <w:p>
      <w:pPr>
        <w:jc w:val="both"/>
        <w:spacing w:after="0" w:line="239" w:lineRule="auto"/>
        <w:rPr>
          <w:sz w:val="20"/>
          <w:szCs w:val="20"/>
          <w:color w:val="auto"/>
        </w:rPr>
      </w:pPr>
      <w:r>
        <w:rPr>
          <w:rFonts w:ascii="Times New Roman" w:cs="Times New Roman" w:eastAsia="Times New Roman" w:hAnsi="Times New Roman"/>
          <w:sz w:val="18"/>
          <w:szCs w:val="18"/>
          <w:color w:val="auto"/>
        </w:rPr>
        <w:t>elsewhere as part of its full market release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expected in April 2026. The capital raises from issuances of convertible debt and equity securities could result in additional dilution to Microbot’s shareholders. In addition, to the extent Microbot is determined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As of the filing date of this Annual Report on Form 10-K,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gridSpan w:val="2"/>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provided by investing activities</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(72,384)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86,240</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7,936</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was primarily from an increase in research and development expenses, manufacturing inventory, sales and marketing, and general and administration expenses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net cash flows used in investing activities was primarily due to an increase in purchases of marketable securities in 2025 compared to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provided by financing activities was due to increased issuances of common stock and warrants in 2025 compared to 2024, also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December 31, 2025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profitability,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2025. Based on that review and evaluation, the Chief Executive Officer and Chief Financial Officer, along with the management of the Company, have determined that as of December 31, 2025,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r>
        <w:rPr>
          <w:rFonts w:ascii="Times New Roman" w:cs="Times New Roman" w:eastAsia="Times New Roman" w:hAnsi="Times New Roman"/>
          <w:sz w:val="18"/>
          <w:szCs w:val="18"/>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2025, and have concluded that, as of December 31, 2025, our internal control over financial reporting was effective.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below, during the three months ended December 31, 2025,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10, 2025, Simon Sharon, our Chief Technology Officer and General Manager, Microbot Israel, adopted a Rule 10b5-1 trading arrangement with the intention to satisfy the affirmative defense of Rule 10b5-1(c). The trading arrangement is for a term of two years, and is for a total of 185,888 shares of the Company’s common stock that Mr. Sharon may acquire through the exercise of outstanding stock options owned by him.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March 24,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 (1)(3)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Wilson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also serves as a director from September 2025 of Brenmiller Energy (NASDAQ: BNRG).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served as Chairman of MEDX Xelerator L.P., a medical device and digital health Israeli incubator, from July 2016 until August 2025.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In October 2025, Mr. Burell was appointed to the Board of Directors of Expion360 (Nasdaq: XPON), an industry leader of premium lithium iron phosphate batteries and accessories for recreational vehicles and marine applications, with residential and industrial applications under development.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was the CEO of Deinde Medical Corporation through June 2025, and is a Board Member of Deinde Medical Corporation,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In May 2025, he became the Founding Managing Partner of Star51 Capital, a new investment vehicle focused on the intersection of Medtech &amp; AI.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David J. Wilson</w:t>
      </w:r>
      <w:r>
        <w:rPr>
          <w:rFonts w:ascii="Times New Roman" w:cs="Times New Roman" w:eastAsia="Times New Roman" w:hAnsi="Times New Roman"/>
          <w:sz w:val="18"/>
          <w:szCs w:val="18"/>
          <w:color w:val="auto"/>
        </w:rPr>
        <w:t>, was elected at our December 17, 2024 Annual Meeting of Stockholders as a Class III director for a three-year term, was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Mr. Wilson currently serves as an Engineering Advisory Board member (Chair) for the University of Alabama at Birmingham School of Engineering.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March 24, 2026.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Wilson. Each of the members of the Audit Committee is independent, and the Board has determined that Mr. Burell, the Chair of the Audit Committee, is an “audit committee financial expert,” as defined in SEC rules. The Audit Committee acts pursuant to a written charter which is available through our website at www.microbotmedical.com. The Audit Committee held four meetings and acted by unanimous written consent one time during the fiscal year ended December 31,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Wilson and Stockburger.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2025 and acted by unanimous written consent three times.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executive compensation in general, determines executive compensation and approves equity incentive compensation for employees and consultants.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(Chairman),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2025.</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Ethics and Conduct that applies to all of our directors, officers, employees, and consultants. A copy of our code of ethics is posted on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is filed as Exhibit 14.1 to this Form 10-K. We intend to disclose any substantive amendment or waivers to this code on our website. There were no substantive amendments or waivers to this code in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2025,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Exhibit 19.2 to this Form 10-K, and are also included in the Company’s Code of Ethics and Conducts, which is filed as Exhibit 14.1 to this Form 10-K, and in its Blackout Period and Trading Window Policy, which is filed as Exhibit 19.1 to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Awards</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0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3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552,892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705,952(4)</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350,701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55,400(3)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1,664,945</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520,249</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149,189(2)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514,141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57,900(3)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1,241,479</w:t>
            </w: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277,006</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145,362(5)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72,874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101,304(9)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596,545</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241,455</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84,754(2)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123,785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89,435(9)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539,429</w:t>
            </w: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364,808</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105,000(6)</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34,504</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27,600(8)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531,912</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350,000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26,478</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376,478</w:t>
            </w: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207,772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88,736(4)</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79,572(9)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439,995</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162,793</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40,816(2)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105,862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53,694(9)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11 to the Consolidated Financial Statements of the Company for the fiscal year ended December 31, 2025 included elsewhere in this Annual Report on Form 10-K for the fiscal year ended December 31, 2025.</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of $397,837 for the 2024 fiscal year, which amount was actually paid in 2025, plus one-time bonuses aggregating $308,115.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$85,335 for the 2024 fiscal year, which amount was actually paid in 2025 , plus a one-time bonus of $60,027.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2024 fiscal year, which amount was actually paid in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of $57,534 for the 2024 fiscal year, which amount was actually paid in 2025, plus a one-time bonus of $31,202.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80" w:type="dxa"/>
            <w:vAlign w:val="bottom"/>
            <w:tcBorders>
              <w:bottom w:val="single" w:sz="8" w:color="auto"/>
            </w:tcBorders>
          </w:tcPr>
          <w:p>
            <w:pPr>
              <w:spacing w:after="0"/>
              <w:rPr>
                <w:sz w:val="20"/>
                <w:szCs w:val="20"/>
                <w:color w:val="auto"/>
              </w:rPr>
            </w:pPr>
          </w:p>
        </w:tc>
      </w:tr>
      <w:tr>
        <w:trPr>
          <w:trHeight w:val="187"/>
        </w:trPr>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3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3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32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3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120,847</w:t>
            </w:r>
          </w:p>
        </w:tc>
        <w:tc>
          <w:tcPr>
            <w:tcW w:w="1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c>
          <w:tcPr>
            <w:tcW w:w="180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09/14/2027</w:t>
            </w:r>
          </w:p>
        </w:tc>
        <w:tc>
          <w:tcPr>
            <w:tcW w:w="110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166,666</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02/25/2030</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02/01/2031</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01/26/2032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12/21/2032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08/01/2033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79,567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02/26/2034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153,900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02/05/2035</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08/13/2028</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14,170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08/12/2029</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01/26/2032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32,375</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12/21/2032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13,562</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08/01/2033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02/26/2034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14,218</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02/05/2035</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01/26/2032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07/18/2032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12/21/2032</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13,562</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08/01/2033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4,375</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02/26/2034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02/05/2035</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12/01/2033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02/22/2034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02/26/2034</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8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02/05/2035</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was $556,972, which was increased by 5% for the fiscal year ending December 31,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Gadot shall also be entitled to receive a target annual cash bonus of up to a maximum amount of 75% of base salary, which maximum amount of $417,729 was paid in 2026 for the 2025 fiscal year. In February 2026, the Compensation Committee authorized the payment to Mr. Gadot of a special bonus in the amount of approximately $140,000.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2025, the Company granted Mr. Gadot an aggregate of 228,000 options vested in accordance with their terms, and in February 2026, the Company granted Mr. Gadot 480,000 options.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on February 5, 2025 and on February 18, 2026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was 720,000 NIS which was increased by 5% for the fiscal year ending December 31, 2026.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50% (increased from 35% in February 2026) of her annual salary. For the 2025 fiscal year, Ms. Vaknin received a cash bonus of 252,000 NIS (approximately $82,000).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on amount of NIS 5,000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2025, the Company granted Ms. Vaknin an aggregate of 48,125 options vested in accordance with their terms, and in February 2026, the Company granted Ms. Vaknin 105,000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on February 5, 2025 and on February 18, 2026 (as so amended, the “Sharon Agreement”), with Mr. Sharon, to serve as the Company’s Chief Technology Officer and the General Manager of Microbot Medical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was 960,000 NIS, which was increased by 5% for the fiscal year ending December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50% of his annual salary (increased from 35% in February 2026). For the 2025 fiscal year, Mr. Sharon received a cash bonus of approximately $109,000.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2025, the Company granted Mr. Sharon an aggregate of 43,750 options and in February 2026, the Company granted Ms. Sharon 105,000 options.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and February 18, 2026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was $367,500, which was increased by 5% for the fiscal year ending December 31,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50% (up from 35% in February 2026) of his annual base salary, provided that he is employed by the Company as of December 31st of the year to which the Target Bonus relates in order to receive the Target Bonus. For the 2025 fiscal year, Dr. Diaz-Cartelle received a cash bonus of approximately $128,000.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Diaz-Cartelle shall be entitled to receive incentive equity awards on an annual basis at the discretion of the Compensation Committee, and in February 2025, the Company granted Dr. Diaz-Cartelle an aggregate of 42,000 options and in February 2026, the Company granted Dr. Diaz-Cartelle 105,000 options.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Equity Awards Close in Time to the Release of Material Nonpublic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any adopted policies and practices on the timing of awards of options in relation to the disclosure of material nonpublic information by the Company. The Company’s Compensation Committee and Board of Directors, as applicable, typically grants options in the first quarter of each fiscal year to the Company’s executive officers and employees, and would typically grants options to independent members of the Board of Directors after each annual meeting of stockholders (which was not followed in 2024, with such options being granted in January 2025, or 2025 with such options being granted in the first quarter of 2026), although such awards are not granted on a predetermined schedule. The board and compensation committee takes material nonpublic information into account when determining the timing and terms of such an award and whether any disclosure of material nonpublic information is timed for the purpose of affecting the value of executive compensation, and will, for instance, delay the grant of awards if material news is expected to be made public based on discussions with management.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during the last completed fiscal year, did not award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commencing 2026, each such Board member would receive for his or her services $40,000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number of options shall be determined by the Compensation Committee or the Board based on, among other factors, a market competitive percentage of the Corporation’s issued and outstanding shares of common stock from time to time. For the 2025 fiscal year, in March 2026 the independent members of the Board were each granted 20,000 options.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105,000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$ 55,557</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115,557</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105,000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$ 55,557</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115,557</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78,750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$ 55,557</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100,557</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74,500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$ 55,557</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98,107</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$ 55,557</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95,557</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$ 29,451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81,951</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11 to the Consolidated Financial Statements of the Company included in the Company’s Annual Report on Form 10-K for the fiscal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March 24, 2026,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24, 2026. We calculated percentage ownership in accordance with the rules of the SEC. The percentage of common stock beneficially owned is based on 67,158,044 shares outstanding as of March 24, 2026. In addition, shares issuable pursuant to options or other convertible securities that may be acquired within 60 days of March 24, 2026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175 Derby St., Bld 27, Hingham, MA 02043.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0" w:type="dxa"/>
            <w:vAlign w:val="bottom"/>
          </w:tcPr>
          <w:p>
            <w:pPr>
              <w:spacing w:after="0"/>
              <w:rPr>
                <w:sz w:val="20"/>
                <w:szCs w:val="20"/>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0"/>
        </w:trPr>
        <w:tc>
          <w:tcPr>
            <w:tcW w:w="6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00" w:type="dxa"/>
            <w:vAlign w:val="bottom"/>
            <w:vMerge w:val="continue"/>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6,002,185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(2)(3)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1,261,127</w:t>
            </w:r>
          </w:p>
        </w:tc>
        <w:tc>
          <w:tcPr>
            <w:tcW w:w="2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109,316</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109,316</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109,316</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104,220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155,044</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102,629</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111,249</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58,925</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J. Wilson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2,141,142</w:t>
            </w:r>
          </w:p>
        </w:tc>
        <w:tc>
          <w:tcPr>
            <w:tcW w:w="2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340" w:hanging="332"/>
        <w:spacing w:after="0" w:line="253"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on January 23, 2026 by Mitchell P. Kopin, Daniel B. Asher and Intracoastal Capital LLC (“Intracoastal” and with Mr. Kopin and Mr. Asher, the “Reporting Persons”), each of the Reporting Persons may have been deemed to have beneficial ownership of 6,002,185 shares of our common stock issuable upon exercise a warrant held by Intracoastal (the “Intracoastal Warrant”) and all such shares of common stock represented beneficial ownership of approximately 8.2% of the Common Stock, based on (1) 67,158,044 shares of Common Stock outstanding as of November 14, 2025, as reported by the Company, plus (2) 6,002,185 shares of Common Stock issuable upon exercise of the Intracoastal Warrant. The principal business office of Mr. Kopin and Intracoastal is 245 Palm Trail, Delray Beach, Florida 33483. The principal business office of Mr. Asher is 1011 Lake Street, Suite 311, Oak Park, Illinois 60301.</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1,124,280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(2) and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Burell, Madden, Laxminarain, Wenderow and Wilson,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Tax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upon the recommendation of the Audit Committee, has selected the independent accounting firm of Brightman Almagor Zohar &amp; Co., a Firm in the Deloitte Global Network, to audit the accounts of the Company for the year ending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received the following information concerning the fees of the independent accountants for the years ended December 31, 2025 and 2024, has considered whether the provision of these services is compatible with independence of the independent accountants, and concluded that it 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2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110,000</w:t>
            </w:r>
          </w:p>
        </w:tc>
        <w:tc>
          <w:tcPr>
            <w:tcW w:w="7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the audit of our annual consolidated financial statements and reviews of the interim consolidated financial statements, and review of audit-related SEC filings.</w:t>
      </w: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related to issuing Auditor consents and comfort letters, for Registration Statements on Forms S-1 and S-3, and transfer pricing study.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are filed as part of this Annual Report on Form 10-K commencing on page F-1 and are hereby incorporated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are omitted as they are either not applicable or the information required is presented in the financial statements and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20" w:type="dxa"/>
            <w:vAlign w:val="bottom"/>
            <w:tcBorders>
              <w:bottom w:val="single" w:sz="8" w:color="0000EE"/>
            </w:tcBorders>
            <w:gridSpan w:val="18"/>
          </w:tcPr>
          <w:p>
            <w:pPr>
              <w:spacing w:after="0" w:line="169"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r:id="rId80">
              <w:r>
                <w:rPr>
                  <w:rFonts w:ascii="Times New Roman" w:cs="Times New Roman" w:eastAsia="Times New Roman" w:hAnsi="Times New Roman"/>
                  <w:sz w:val="18"/>
                  <w:szCs w:val="18"/>
                  <w:color w:val="0000EE"/>
                  <w:w w:val="94"/>
                </w:rPr>
                <w:t>2016).</w:t>
              </w:r>
            </w:hyperlink>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Report on Form 8-K filed on May 3, 2021).</w:t>
              </w:r>
            </w:hyperlink>
          </w:p>
        </w:tc>
        <w:tc>
          <w:tcPr>
            <w:tcW w:w="700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Section 2.5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Report on Form 8-K filed on April 15, 2025).</w:t>
              </w:r>
            </w:hyperlink>
          </w:p>
        </w:tc>
        <w:tc>
          <w:tcPr>
            <w:tcW w:w="68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Amendment to Certificate of Incorporation (incorporated by reference to the Company’s Current Report on Form 8-K filed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June 11,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Description of the Company’s Securities (incorporated by reference to the Registrant’s Quarterly Report on Form 10-Q for the fiscal quarter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ended June 30,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5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9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4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4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9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520" w:type="dxa"/>
            <w:vAlign w:val="bottom"/>
            <w:gridSpan w:val="11"/>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93">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95">
              <w:r>
                <w:rPr>
                  <w:rFonts w:ascii="Times New Roman" w:cs="Times New Roman" w:eastAsia="Times New Roman" w:hAnsi="Times New Roman"/>
                  <w:sz w:val="18"/>
                  <w:szCs w:val="18"/>
                  <w:color w:val="0000EE"/>
                  <w:w w:val="95"/>
                </w:rPr>
                <w:t>2025)</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220" w:type="dxa"/>
            <w:vAlign w:val="bottom"/>
            <w:gridSpan w:val="6"/>
          </w:tcPr>
          <w:p>
            <w:pPr>
              <w:ind w:left="12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10, 2025)</w:t>
              </w:r>
            </w:hyperlink>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680" w:type="dxa"/>
            <w:vAlign w:val="bottom"/>
            <w:tcBorders>
              <w:top w:val="single" w:sz="8" w:color="0000EE"/>
              <w:bottom w:val="single" w:sz="8" w:color="auto"/>
            </w:tcBorders>
            <w:gridSpan w:val="3"/>
          </w:tcPr>
          <w:p>
            <w:pPr>
              <w:spacing w:after="0"/>
              <w:rPr>
                <w:sz w:val="24"/>
                <w:szCs w:val="24"/>
                <w:color w:val="auto"/>
              </w:rPr>
            </w:pPr>
          </w:p>
        </w:tc>
        <w:tc>
          <w:tcPr>
            <w:tcW w:w="4180" w:type="dxa"/>
            <w:vAlign w:val="bottom"/>
            <w:tcBorders>
              <w:bottom w:val="single" w:sz="8" w:color="auto"/>
            </w:tcBorders>
            <w:gridSpan w:val="8"/>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4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8" w:name="page59"/>
    <w:bookmarkEnd w:id="58"/>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97">
        <w:r>
          <w:rPr>
            <w:rFonts w:ascii="Times New Roman" w:cs="Times New Roman" w:eastAsia="Times New Roman" w:hAnsi="Times New Roman"/>
            <w:sz w:val="18"/>
            <w:szCs w:val="18"/>
            <w:u w:val="single" w:color="auto"/>
            <w:color w:val="0000EE"/>
          </w:rPr>
          <w:t>Form of Series J Preferred Investment Option (incorporated by reference to the Registrant’s Current Report on Form 8-K filed on September</w:t>
        </w:r>
      </w:hyperlink>
    </w:p>
    <w:p>
      <w:pPr>
        <w:spacing w:after="0" w:line="27"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16, 2025)</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98">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February</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11, 2025)</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99">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September</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16, 2025)</w:t>
        </w:r>
      </w:hyperlink>
    </w:p>
    <w:p>
      <w:pPr>
        <w:spacing w:after="0" w:line="9" w:lineRule="exact"/>
        <w:rPr>
          <w:sz w:val="20"/>
          <w:szCs w:val="20"/>
          <w:color w:val="auto"/>
        </w:rPr>
      </w:pPr>
    </w:p>
    <w:p>
      <w:pPr>
        <w:jc w:val="both"/>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0">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Company’s Current Report on Form 8-K filed on November 29, 2016).</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01">
        <w:r>
          <w:rPr>
            <w:rFonts w:ascii="Times New Roman" w:cs="Times New Roman" w:eastAsia="Times New Roman" w:hAnsi="Times New Roman"/>
            <w:sz w:val="18"/>
            <w:szCs w:val="18"/>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jc w:val="both"/>
        <w:ind w:left="86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2">
        <w:r>
          <w:rPr>
            <w:rFonts w:ascii="Times New Roman" w:cs="Times New Roman" w:eastAsia="Times New Roman" w:hAnsi="Times New Roman"/>
            <w:sz w:val="18"/>
            <w:szCs w:val="18"/>
            <w:u w:val="single" w:color="auto"/>
            <w:color w:val="0000EE"/>
          </w:rPr>
          <w:t>License Agreement, dated June 20, 2012, by and between Technion Research and Development Foundation, and Microbot Medical Ltd.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2016 and filed on March</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21,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3">
        <w:r>
          <w:rPr>
            <w:rFonts w:ascii="Times New Roman" w:cs="Times New Roman" w:eastAsia="Times New Roman" w:hAnsi="Times New Roman"/>
            <w:sz w:val="18"/>
            <w:szCs w:val="18"/>
            <w:u w:val="single" w:color="auto"/>
            <w:color w:val="0000EE"/>
          </w:rPr>
          <w:t>Form of Stock Option Agreement under the Microbot Medical Inc. 2017 Equity Incentive Plan (incorporated by reference to the Company’s</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jc w:val="both"/>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4">
        <w:r>
          <w:rPr>
            <w:rFonts w:ascii="Times New Roman" w:cs="Times New Roman" w:eastAsia="Times New Roman" w:hAnsi="Times New Roman"/>
            <w:sz w:val="18"/>
            <w:szCs w:val="18"/>
            <w:u w:val="single" w:color="auto"/>
            <w:color w:val="0000EE"/>
          </w:rPr>
          <w:t>Microbot Medical Inc. 2017 Equity Incentive Plan (incorporated by reference to Exhibit A of the Company’s Definitive Proxy Statement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Schedule 14A filed on August 11, 2017).</w:t>
        </w:r>
      </w:hyperlink>
    </w:p>
    <w:p>
      <w:pPr>
        <w:spacing w:after="0" w:line="1" w:lineRule="exact"/>
        <w:rPr>
          <w:sz w:val="20"/>
          <w:szCs w:val="20"/>
          <w:color w:val="auto"/>
        </w:rPr>
      </w:pPr>
    </w:p>
    <w:p>
      <w:pPr>
        <w:jc w:val="both"/>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5">
        <w:r>
          <w:rPr>
            <w:rFonts w:ascii="Times New Roman" w:cs="Times New Roman" w:eastAsia="Times New Roman" w:hAnsi="Times New Roman"/>
            <w:sz w:val="18"/>
            <w:szCs w:val="18"/>
            <w:u w:val="single" w:color="auto"/>
            <w:color w:val="0000EE"/>
          </w:rPr>
          <w:t>Microbot Medical Inc. 2020 Omnibus Performance Award Plan, as amended (incorporated by reference to Exhibit A of the Company’s</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definitive Proxy Statement on Schedule 14A filed on April 29, 2025)</w:t>
        </w:r>
      </w:hyperlink>
    </w:p>
    <w:p>
      <w:pPr>
        <w:spacing w:after="0" w:line="1" w:lineRule="exact"/>
        <w:rPr>
          <w:sz w:val="20"/>
          <w:szCs w:val="20"/>
          <w:color w:val="auto"/>
        </w:rPr>
      </w:pPr>
    </w:p>
    <w:p>
      <w:pPr>
        <w:jc w:val="both"/>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6">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spacing w:after="0" w:line="1" w:lineRule="exact"/>
        <w:rPr>
          <w:sz w:val="20"/>
          <w:szCs w:val="20"/>
          <w:color w:val="auto"/>
        </w:rPr>
      </w:pPr>
    </w:p>
    <w:p>
      <w:pPr>
        <w:jc w:val="both"/>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07">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jc w:val="both"/>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08">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09">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860" w:hanging="850"/>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0">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1">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12">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3">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4">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15">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15">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6">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7">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18">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9">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0">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21">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860" w:right="20" w:hanging="809"/>
        <w:spacing w:after="0" w:line="26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2">
        <w:r>
          <w:rPr>
            <w:rFonts w:ascii="Times New Roman" w:cs="Times New Roman" w:eastAsia="Times New Roman" w:hAnsi="Times New Roman"/>
            <w:sz w:val="18"/>
            <w:szCs w:val="18"/>
            <w:u w:val="single" w:color="auto"/>
            <w:color w:val="0000EE"/>
          </w:rPr>
          <w:t>Form of Securities Purchase Agreement, dated as of January 6, 2025,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(incorporated by reference to the Registrant’s Current Report on Form 8-K filed on January 7, 2025)</w:t>
        </w:r>
      </w:hyperlink>
    </w:p>
    <w:p>
      <w:pPr>
        <w:spacing w:after="0" w:line="20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560" w:top="715" w:right="339" w:bottom="1440" w:gutter="0" w:footer="0" w:header="0"/>
        </w:sectPr>
      </w:pPr>
    </w:p>
    <w:bookmarkStart w:id="59" w:name="page60"/>
    <w:bookmarkEnd w:id="59"/>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10.24</w:t>
            </w:r>
          </w:p>
        </w:tc>
        <w:tc>
          <w:tcPr>
            <w:tcW w:w="10140" w:type="dxa"/>
            <w:vAlign w:val="bottom"/>
            <w:gridSpan w:val="1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Securities Purchase Agreement, dated as of January 7, 2025, by and among Microbot Medical Inc. and the purchasers party thereto</w:t>
              </w:r>
            </w:hyperlink>
          </w:p>
        </w:tc>
      </w:tr>
      <w:tr>
        <w:trPr>
          <w:trHeight w:val="196"/>
        </w:trPr>
        <w:tc>
          <w:tcPr>
            <w:tcW w:w="94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(incorporated by reference to the Registrant’s Current Report on Form 8-K filed on January 10, 2025)</w:t>
              </w:r>
            </w:hyperlink>
          </w:p>
        </w:tc>
        <w:tc>
          <w:tcPr>
            <w:tcW w:w="28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Addendum #2 to Employment Agreement, dated as of February 5, 2025, with Simon Sharon (incorporated by reference to the Registrant’s</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Addendum #2 to Employment Agreement, dated as of February 5, 2025, with Rachel Vaknin (incorporated by reference to the Registrant’s</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Amendment to Employment Agreement, dated as of February 5, 2025, with Juan Diaz-Cartelle (incorporated by reference to the</w:t>
              </w:r>
            </w:hyperlink>
          </w:p>
        </w:tc>
      </w:tr>
      <w:tr>
        <w:trPr>
          <w:trHeight w:val="196"/>
        </w:trPr>
        <w:tc>
          <w:tcPr>
            <w:tcW w:w="94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Registrant’s Current Report on Form 8-K filed on February 7, 2025)</w:t>
              </w:r>
            </w:hyperlink>
          </w:p>
        </w:tc>
        <w:tc>
          <w:tcPr>
            <w:tcW w:w="5220" w:type="dxa"/>
            <w:vAlign w:val="bottom"/>
            <w:gridSpan w:val="6"/>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Securities Purchase Agreement, dated as of February 9, 2025, by and among the Company and the purchasers party thereto</w:t>
              </w:r>
            </w:hyperlink>
          </w:p>
        </w:tc>
      </w:tr>
      <w:tr>
        <w:trPr>
          <w:trHeight w:val="196"/>
        </w:trPr>
        <w:tc>
          <w:tcPr>
            <w:tcW w:w="94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(incorporated by reference to the Registrant’s Current Report on Form 8-K filed on February 11, 2025)</w:t>
              </w:r>
            </w:hyperlink>
          </w:p>
        </w:tc>
        <w:tc>
          <w:tcPr>
            <w:tcW w:w="2740" w:type="dxa"/>
            <w:vAlign w:val="bottom"/>
            <w:gridSpan w:val="3"/>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Letter Agreement, dated as of September 14, 2025, by and among Microbot Medical Inc. and the holders party thereto</w:t>
              </w:r>
            </w:hyperlink>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the Registrant’s Current Report on Form 8-K filed on September 16, 2025)</w:t>
              </w:r>
            </w:hyperlink>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Addendum #3 to Employment Agreement, dated as of February 20, 2026, with Simon Sharon (incorporated by reference to the Registrant’s</w:t>
              </w:r>
            </w:hyperlink>
          </w:p>
        </w:tc>
      </w:tr>
      <w:tr>
        <w:trPr>
          <w:trHeight w:val="196"/>
        </w:trPr>
        <w:tc>
          <w:tcPr>
            <w:tcW w:w="94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Current Report on Form 8-K filed on February 24, 2026)</w:t>
              </w:r>
            </w:hyperlink>
          </w:p>
        </w:tc>
        <w:tc>
          <w:tcPr>
            <w:tcW w:w="6040" w:type="dxa"/>
            <w:vAlign w:val="bottom"/>
            <w:gridSpan w:val="8"/>
          </w:tcPr>
          <w:p>
            <w:pPr>
              <w:spacing w:after="0"/>
              <w:rPr>
                <w:sz w:val="17"/>
                <w:szCs w:val="17"/>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Addendum #3 to Employment Agreement, dated as of February 20, 2026, with Rachel Vaknin (incorporated by reference to the Registrant’s</w:t>
              </w:r>
            </w:hyperlink>
          </w:p>
        </w:tc>
      </w:tr>
      <w:tr>
        <w:trPr>
          <w:trHeight w:val="196"/>
        </w:trPr>
        <w:tc>
          <w:tcPr>
            <w:tcW w:w="94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Current Report on Form 8-K filed on February 24, 2026)</w:t>
              </w:r>
            </w:hyperlink>
          </w:p>
        </w:tc>
        <w:tc>
          <w:tcPr>
            <w:tcW w:w="6040" w:type="dxa"/>
            <w:vAlign w:val="bottom"/>
            <w:gridSpan w:val="8"/>
          </w:tcPr>
          <w:p>
            <w:pPr>
              <w:spacing w:after="0"/>
              <w:rPr>
                <w:sz w:val="17"/>
                <w:szCs w:val="17"/>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#2 to Employment Agreement, dated as of February 20, 2026, with Juan Diaz-Cartelle (incorporated by reference to the</w:t>
              </w:r>
            </w:hyperlink>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Registrant’s Current Report on Form 8-K filed on February 24, 2026)</w:t>
              </w:r>
            </w:hyperlink>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Code of Ethics and Conduct (incorporated by reference to the Company’s Annual Report on Form 10-K for the fiscal year ended December</w:t>
              </w:r>
            </w:hyperlink>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31, 2024 and filed on March 25, 2025)</w:t>
              </w:r>
            </w:hyperlink>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Blackout Period and Trading Window Policy (incorporated by reference to the Company’s Annual Report on Form 10-K for the fiscal year</w:t>
              </w:r>
            </w:hyperlink>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ended December 31, 2024 and filed on March 25, 2025)</w:t>
              </w:r>
            </w:hyperlink>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Insider Trading Policy (incorporated by reference to the Company’s Annual Report on Form 10-K for the fiscal year ended December 31,</w:t>
              </w:r>
            </w:hyperlink>
          </w:p>
        </w:tc>
      </w:tr>
      <w:tr>
        <w:trPr>
          <w:trHeight w:val="196"/>
        </w:trPr>
        <w:tc>
          <w:tcPr>
            <w:tcW w:w="94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2024 and filed on March 25, 2025)</w:t>
              </w:r>
            </w:hyperlink>
          </w:p>
        </w:tc>
        <w:tc>
          <w:tcPr>
            <w:tcW w:w="7620" w:type="dxa"/>
            <w:vAlign w:val="bottom"/>
            <w:gridSpan w:val="15"/>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Subsidiaries of the Company (incorporated by reference to the Company’s Annual Report on Form 10-K for the fiscal year ended December</w:t>
              </w:r>
            </w:hyperlink>
          </w:p>
        </w:tc>
      </w:tr>
      <w:tr>
        <w:trPr>
          <w:trHeight w:val="196"/>
        </w:trPr>
        <w:tc>
          <w:tcPr>
            <w:tcW w:w="9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31, 2016 and filed on March 21, 2017).</w:t>
              </w:r>
            </w:hyperlink>
          </w:p>
        </w:tc>
        <w:tc>
          <w:tcPr>
            <w:tcW w:w="7300" w:type="dxa"/>
            <w:vAlign w:val="bottom"/>
            <w:gridSpan w:val="12"/>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820" w:type="dxa"/>
            <w:vAlign w:val="bottom"/>
            <w:gridSpan w:val="7"/>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Securities Exchange Act Rule 13(a)-14(a), as Adopted Pursuant to Section 302 of the Sarbanes-Oxley Act of 2002</w:t>
            </w:r>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(Harel Gadot, Chief Executive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Securities Exchange Act Rule 13(a)-14(a), as Adopted Pursuant to Section 302 of the Sarbanes-Oxley Act of 2002</w:t>
            </w:r>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(Rachel Vaknin, Chief Financial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(Harel Gadot,</w:t>
            </w:r>
          </w:p>
        </w:tc>
      </w:tr>
      <w:tr>
        <w:trPr>
          <w:trHeight w:val="196"/>
        </w:trPr>
        <w:tc>
          <w:tcPr>
            <w:tcW w:w="940" w:type="dxa"/>
            <w:vAlign w:val="bottom"/>
          </w:tcPr>
          <w:p>
            <w:pPr>
              <w:spacing w:after="0"/>
              <w:rPr>
                <w:sz w:val="17"/>
                <w:szCs w:val="17"/>
                <w:color w:val="auto"/>
              </w:rPr>
            </w:pPr>
          </w:p>
        </w:tc>
        <w:tc>
          <w:tcPr>
            <w:tcW w:w="101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Chief Executive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(Rachel Vaknin,</w:t>
            </w:r>
          </w:p>
        </w:tc>
      </w:tr>
      <w:tr>
        <w:trPr>
          <w:trHeight w:val="196"/>
        </w:trPr>
        <w:tc>
          <w:tcPr>
            <w:tcW w:w="94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w:t>
            </w:r>
          </w:p>
        </w:tc>
        <w:tc>
          <w:tcPr>
            <w:tcW w:w="8360" w:type="dxa"/>
            <w:vAlign w:val="bottom"/>
            <w:gridSpan w:val="17"/>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Clawback Policy (incorporated by reference to the Company’s Annual Report on Form 10-K for the fiscal year ended December 31, 2023</w:t>
              </w:r>
            </w:hyperlink>
          </w:p>
        </w:tc>
      </w:tr>
      <w:tr>
        <w:trPr>
          <w:trHeight w:val="196"/>
        </w:trPr>
        <w:tc>
          <w:tcPr>
            <w:tcW w:w="94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and filed on March 27, 2024)</w:t>
              </w:r>
            </w:hyperlink>
          </w:p>
        </w:tc>
        <w:tc>
          <w:tcPr>
            <w:tcW w:w="8020" w:type="dxa"/>
            <w:vAlign w:val="bottom"/>
            <w:gridSpan w:val="16"/>
          </w:tcPr>
          <w:p>
            <w:pPr>
              <w:spacing w:after="0"/>
              <w:rPr>
                <w:sz w:val="17"/>
                <w:szCs w:val="17"/>
                <w:color w:val="auto"/>
              </w:rPr>
            </w:pPr>
          </w:p>
        </w:tc>
      </w:tr>
      <w:tr>
        <w:trPr>
          <w:trHeight w:val="2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40" w:type="dxa"/>
            <w:vAlign w:val="bottom"/>
          </w:tcPr>
          <w:p>
            <w:pPr>
              <w:spacing w:after="0"/>
              <w:rPr>
                <w:sz w:val="18"/>
                <w:szCs w:val="18"/>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ind w:right="3600" w:firstLine="359"/>
        <w:spacing w:after="0" w:line="391" w:lineRule="auto"/>
        <w:tabs>
          <w:tab w:leader="none" w:pos="10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Indicates Management contract or compensatory plan or arrangement</w:t>
      </w:r>
    </w:p>
    <w:p>
      <w:pPr>
        <w:ind w:left="340" w:right="2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not to provide summary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26, 2026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3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2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J. Wilson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2025 and 2024</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2025 and 2024</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F-31</w:t>
            </w: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2025 and 2024, and the related consolidated statements of comprehensive loss, shareholders’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Classification of Warrants Issued during 2025 - Refer to Note 11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agreements with certain investors pursuant to which it agreed to issue and sell shares of its common stock and warrants. The Company concluded that the warrants met the criteria for equity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classification of the warrants to purchase common stock issued as a critical audit matter. We deemed our audit of the classification as challenging from a perspective of audit effort in comparison to our audit as a whole, because auditor judgment was required to evaluate the appropriate classification due to the application of technical accounting guidance.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classification of the warrants included the following, among others:</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executed agreements, analyzed and evaluated key terms of the Company’s equity transaction.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interpretation and application of the relevant accounting guidance to assess the appropriateness of the Company’s conclusion.</w:t>
      </w: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consideration received by agreeing cash receipts to bank statement and related supporting documentation.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440" w:type="dxa"/>
            <w:vAlign w:val="bottom"/>
          </w:tcPr>
          <w:p>
            <w:pPr>
              <w:spacing w:after="0"/>
              <w:rPr>
                <w:sz w:val="19"/>
                <w:szCs w:val="19"/>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3,912</w:t>
            </w:r>
          </w:p>
        </w:tc>
        <w:tc>
          <w:tcPr>
            <w:tcW w:w="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74,680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2G</w:t>
            </w: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w:t>
            </w:r>
          </w:p>
        </w:tc>
        <w:tc>
          <w:tcPr>
            <w:tcW w:w="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shd w:val="clear" w:color="auto" w:fill="CCEEFF"/>
          </w:tcPr>
          <w:p>
            <w:pPr>
              <w:spacing w:after="0"/>
              <w:rPr>
                <w:sz w:val="19"/>
                <w:szCs w:val="19"/>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120,000,000 and 60,000,000 shares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of December 31, 2025 and 2024, respectively; 67,158,044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19,399,513 shares issued and outstanding as of December 31, 2025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180,968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94,279</w:t>
            </w: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(104,086)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(90,944)</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440" w:type="dxa"/>
            <w:vAlign w:val="bottom"/>
          </w:tcPr>
          <w:p>
            <w:pPr>
              <w:spacing w:after="0"/>
              <w:rPr>
                <w:sz w:val="20"/>
                <w:szCs w:val="20"/>
                <w:color w:val="auto"/>
              </w:rPr>
            </w:pPr>
          </w:p>
        </w:tc>
        <w:tc>
          <w:tcPr>
            <w:tcW w:w="24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2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72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(8,460)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09"/>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10G</w:t>
            </w:r>
          </w:p>
        </w:tc>
        <w:tc>
          <w:tcPr>
            <w:tcW w:w="44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(0.29)</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45,790,362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15,644,511</w:t>
            </w:r>
          </w:p>
        </w:tc>
      </w:tr>
      <w:tr>
        <w:trPr>
          <w:trHeight w:val="20"/>
        </w:trPr>
        <w:tc>
          <w:tcPr>
            <w:tcW w:w="58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7"/>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5"/>
              </w:rPr>
              <w:t>F-5</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180" w:type="dxa"/>
            <w:vAlign w:val="bottom"/>
          </w:tcPr>
          <w:p>
            <w:pPr>
              <w:spacing w:after="0"/>
              <w:rPr>
                <w:sz w:val="20"/>
                <w:szCs w:val="20"/>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 net (1)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3,252,351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agreement (2)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program, net (3)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3,433,880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3,517</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(11,443)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19,399,513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CCEEFF"/>
            </w:tcBorders>
          </w:tcPr>
          <w:p>
            <w:pPr>
              <w:spacing w:after="0"/>
              <w:rPr>
                <w:sz w:val="22"/>
                <w:szCs w:val="22"/>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Issuance of common stock and warrants, net (4)</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27,880,955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52,452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52,731</w:t>
            </w:r>
          </w:p>
        </w:tc>
        <w:tc>
          <w:tcPr>
            <w:tcW w:w="100" w:type="dxa"/>
            <w:vAlign w:val="bottom"/>
            <w:shd w:val="clear" w:color="auto" w:fill="CCEEFF"/>
          </w:tcPr>
          <w:p>
            <w:pPr>
              <w:spacing w:after="0"/>
              <w:rPr>
                <w:sz w:val="17"/>
                <w:szCs w:val="17"/>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offering program, net (5)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842,606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18,987,752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32,190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(13,142)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(13,142)</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67,158,044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$661.</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10F.</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$239.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$5,155, of which $101 had not been paid as of December 31, 2025.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$2,370.</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than $1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(13,142)</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long-term deposit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(82,926)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10,602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provided by investing activities</w:t>
            </w:r>
          </w:p>
        </w:tc>
        <w:tc>
          <w:tcPr>
            <w:tcW w:w="4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86,239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46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not paid</w:t>
            </w:r>
          </w:p>
        </w:tc>
        <w:tc>
          <w:tcPr>
            <w:tcW w:w="16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4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issuance costs</w:t>
            </w: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ind w:left="980"/>
        <w:spacing w:after="0" w:line="223" w:lineRule="auto"/>
        <w:rPr>
          <w:sz w:val="20"/>
          <w:szCs w:val="20"/>
          <w:color w:val="auto"/>
        </w:rPr>
      </w:pPr>
      <w:r>
        <w:rPr>
          <w:rFonts w:ascii="Times New Roman" w:cs="Times New Roman" w:eastAsia="Times New Roman" w:hAnsi="Times New Roman"/>
          <w:sz w:val="18"/>
          <w:szCs w:val="18"/>
          <w:color w:val="auto"/>
        </w:rPr>
        <w:t>Using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the Company has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Through December 31, 2025, the Company has not recognized any revenues, and cannot make any assurances of generating significant revenues in the future.</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cash equivalents and marketable securities balance of approximately $78,592, excluding restricted cash. The Company expects to incur significant losses for the foreseeable future as it conducts marketing activities for its current product and continues its research and development of any other future product candidates and all other work necessary to obtain regulatory clearances or approvals for its products or product candidates. Notwithstanding these conditions, the Company’s management has concluded that the available funds as of the balance sheet date are sufficient to fund the Company’s operations for more than twelve months from issuance date of these consolidated financial statements.</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will seek to raise additional funds through future issuances of either debt and/or equity securities and possibly additional grants from the Israeli Innovation Authority and other government institutions in order to fund further growth and expansion of the Company.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Middle East Conflict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ongoing risks of operating in Israel have been exacerbated as a result of the October 7, 2023 surprise attack by hostile forces from Gaza, which led to Israeli military operation at first in Gaza, then in Lebanon, Syria, Yemen and Iran. These include security and economic risks, risks relating to the Company’s ability to sell or buy internationally, risk of economic instability, risk of exchange rate fluctuation negatively affecting operating costs, and the risk of employees leaving to perform military service. These military operations and related activities are on-going as of the filing date of these consolidated financial statements.</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Subsequent to the reporting period, on February 28, 2026, a military operation referred to as “Epic-Fury” commenced with a large-scale attack on Iran carried out in coordination with the United States. In response, Iran launched a 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these and other military operation and related matters, including:</w:t>
      </w:r>
    </w:p>
    <w:p>
      <w:pPr>
        <w:spacing w:after="0" w:line="225" w:lineRule="exact"/>
        <w:rPr>
          <w:sz w:val="20"/>
          <w:szCs w:val="20"/>
          <w:color w:val="auto"/>
        </w:rPr>
      </w:pPr>
    </w:p>
    <w:p>
      <w:pPr>
        <w:ind w:left="1300" w:right="20" w:hanging="320"/>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w:t>
      </w: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and</w:t>
      </w:r>
    </w:p>
    <w:p>
      <w:pPr>
        <w:ind w:left="1300" w:hanging="320"/>
        <w:spacing w:after="0" w:line="260"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our ability to do business in certain jurisdictions or with certain industry groups or potential customers, among others.</w:t>
      </w:r>
    </w:p>
    <w:p>
      <w:pPr>
        <w:spacing w:after="0" w:line="18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closely monitors how these and other military operation and related activities could adversely affect its anticipated milestones and its Israel-based activities to support future commercial, clinical and regulatory milestones, including the Company’s ability to import</w:t>
      </w: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materials that are required to construct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devices and to ship them outside of Israel. As of the filing date of these consolidated financial statements, the Company has determined that there have not been any materially adverse effects on its business or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677"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serves as collateral for the Company’s lease agreements and are classified as either current or long-term depending on when the anticipated use of these funds will be required.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Long-term deposit: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Long-term deposit represents cash advances paid to a vendor as security for the performance of the Company’s payment obligations. The Company does not expect these deposits to be utilized in the normal course of business.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prepaid expenses and other current assets, accounts payable and accrued liabilities are stated at their carrying value, which approximates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Property and equipment: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8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2025 and 2024, no impairment charges were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Common stock warrants:</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as detailed in Notes 2P, 11H and 11I, have been excluded from the calculation of the diluted loss per share for the years ended December 31, 2025 and 2024,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Research and development expenses, net:</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2U below. Reimbursement of expenses for research and development projects is recognized as the costs are incurred and is netted against research and development expenses in the statement of comprehensive loss. Research and development reimbursements of $0, and $83 were offset against research and development costs in the years ended December 31, 2025 and 2024, respectively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Sales, general and administrative expenses: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Sales, general and administrative expenses are charged to the statement of comprehensive loss as incurred.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258"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condition, the cost of the award is expensed on the grant date.</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Income taxes: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2025, and 2024, the Company had a full valuation allowance against deferred tax assets due to the uncertainty as to whether the Company’s deferred tax assets will ever be realized in future periods.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Marketable securities: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invests in equity securities. Equity securities consist of a mutual fund. The Company records these investments in the consolidated balance sheet at fair value.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2025 and 2024, include participation in research and development expenses in the amount of approximately $496 and $149,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 Inventory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Inventories primarily consist of raw materials, work-in-process and finished goods produced by our third-party contract manufacturer.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Inventories are stated at the lower of cost, determined using the first-in, first-out (FIFO) method, or net realizable value.</w:t>
      </w:r>
    </w:p>
    <w:p>
      <w:pPr>
        <w:spacing w:after="0" w:line="20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Inventory costs include the purchase price of materials and other manufacturing costs, including overhead and personnel costs for employees involved in production planning.</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its inventory for excess and obsolescence. The Company considers the expiration of sterilization dates where applicable. When the carrying value of inventory exceeds its estimated net realizable value, the Company records a write-down.</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The Company began recognizing inventory related to the manufacture of</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October 2025, after FDA approval was granted related to Liberty. As such, the manufacturing costs incurred prior to regulatory approval were not recognized as inventory but rather were expensed as incurred as research and development expenses.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Segment Reporting</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a single operating and reportable segment, which is the development of robotic devices for endoluminal surgery. See Note 1A for further details. The Company’s chief operating decision maker (the “CODM”), the Chief Executive Officer (“CEO”), reviews financial information presented on a consolidated basis for purposes of making operating decisions, assessing performance, and allocating resources. For further details, refer to Note 15.</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X. Recently Adopted accounting pronouncements: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December 2023, FASB issued ASU No. 2023-09, Income Taxes (Topic 740): Improvements to Income Tax Disclosures. 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The Company adopted the ASU on its consolidated financial statements and disclosures. For further details, refer to Note 17.</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Y. Accounting pronouncements not yet effective: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In November 2024, FASB issued Accounting Standards Update (ASU) 2024-03, Income Statement—Reporting Comprehensive Income— Expense Disaggregation Disclosures (Subtopic 220-40), Disaggregation of Income Statement Expenses. This update aims to enhance the transparency of financial reporting by requiring public business entities (PBEs) to provide disaggregated disclosure of certain income statement expense captions into specified categories in disclosures within the footnotes to the financial statements. The ASU is effective for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of adopting this ASU on its consolidated financial statements and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245"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2025 and 2024:</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3,912</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74,680</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2,356</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78,592</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$4 and $0 for the years ended December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2025 and 2024:</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74,680</w:t>
            </w:r>
          </w:p>
        </w:tc>
        <w:tc>
          <w:tcPr>
            <w:tcW w:w="1240" w:type="dxa"/>
            <w:vAlign w:val="bottom"/>
            <w:gridSpan w:val="2"/>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2,356</w:t>
            </w:r>
          </w:p>
        </w:tc>
        <w:tc>
          <w:tcPr>
            <w:tcW w:w="1240" w:type="dxa"/>
            <w:vAlign w:val="bottom"/>
            <w:gridSpan w:val="2"/>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INVENTORY</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have been no write-downs of inventory from the time inventory was first capitalized.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35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F-15</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March 2025, the Company entered into a lease agreement for its US office for the period from March 2025 until February 2027. The monthly lease payments are approximately $2.</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July 2025, the Subsidiary entered into a lease agreement for its Israel office for the period from July 2025 until October 2029. The monthly lease payments are approximately $20. To secure the lease payments, the Company issued a bank guarantee of $56 in favor of the facility’s lessor.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Additionally, the Company has several agreements for car leases.</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operating lease cost, which is classified as a component of research and development in the consolidated statement of comprehensive loss for all periods presented, was $256 and $215, respectively. Also for the years ended December 31, 2025 and 2024, cash paid under operating lease agreements were $212 and $219,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2025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38"/>
        </w:trPr>
        <w:tc>
          <w:tcPr>
            <w:tcW w:w="8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2025 and 2024:</w:t>
      </w:r>
    </w:p>
    <w:p>
      <w:pPr>
        <w:spacing w:after="0" w:line="23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weighted-average remaining lease term (in years)</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w:t>
            </w:r>
          </w:p>
        </w:tc>
        <w:tc>
          <w:tcPr>
            <w:tcW w:w="18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weighted-average discount rate</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8.2%</w:t>
            </w:r>
          </w:p>
        </w:tc>
        <w:tc>
          <w:tcPr>
            <w:tcW w:w="18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5"/>
              </w:rPr>
              <w:t>6.7%</w:t>
            </w:r>
          </w:p>
        </w:tc>
        <w:tc>
          <w:tcPr>
            <w:tcW w:w="16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tc>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3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ACCRUED LIABILITIES</w:t>
            </w:r>
          </w:p>
        </w:tc>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30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1,979</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grants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F-17</w:t>
            </w: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2025 totaling approximately $2,468. This includes amounts received of approximately $518, in 2025 which is a portion of an additional grant from the IIA in the amount of approximately NIS 2,153 (approximately $673) approved by the IIA on July 15, 2025,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8" w:lineRule="auto"/>
        <w:rPr>
          <w:sz w:val="20"/>
          <w:szCs w:val="20"/>
          <w:color w:val="auto"/>
        </w:rPr>
      </w:pPr>
      <w:r>
        <w:rPr>
          <w:rFonts w:ascii="Times New Roman" w:cs="Times New Roman" w:eastAsia="Times New Roman" w:hAnsi="Times New Roman"/>
          <w:sz w:val="17"/>
          <w:szCs w:val="17"/>
          <w:color w:val="auto"/>
        </w:rPr>
        <w:t>As of December 31, 2025, the Company received grants from the Ministry of Economy of the State of Israel in the amount of approximately $50, to further finance the marketing activities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in the U.S. market. In relation to the</w:t>
      </w:r>
    </w:p>
    <w:p>
      <w:pPr>
        <w:spacing w:after="0" w:line="1"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79" w:lineRule="exact"/>
        <w:rPr>
          <w:sz w:val="20"/>
          <w:szCs w:val="20"/>
          <w:color w:val="auto"/>
        </w:rPr>
      </w:pPr>
    </w:p>
    <w:p>
      <w:pPr>
        <w:jc w:val="both"/>
        <w:ind w:left="980"/>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ind w:left="980"/>
        <w:spacing w:after="0" w:line="257"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w:t>
      </w:r>
    </w:p>
    <w:p>
      <w:pPr>
        <w:spacing w:after="0" w:line="1"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ATM agreement:</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11D.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Engagement letters with H.C. Wainwright: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(which was amended most recently on February 9, 2025), pursuant to which Wainwright agreed to serve as the exclusive placement agent for the issuance and sale of securities of the Company.</w:t>
      </w:r>
    </w:p>
    <w:p>
      <w:pPr>
        <w:spacing w:after="0" w:line="180"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in certain circumstances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 See also Note 11E below.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Royalties at a rate of 3%-5% of net revenue generated as a result of sales, license or other exploitation of the Devices; and</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current liability and a current asset on its consolidated balance sheet totaling $2,211 and $1,335, respectively. Within this asset, $1,100 represents the recovery of the cash payment of the settlement amount, and $235 represents recovery of legal expenses. A net non-operating loss of $1,111 from legal settlement was reflected in the Company’s consolidated statement of comprehensive loss for the year ended December 31, 2023. In the first quarter of 2024, the Company received $1,335 from the insurance company. Additionally, during the first quarter of 2024, the Company paid the settlement amount by transferring $1,100 in cash to the Plaintiffs and issuing 1,005,965 shares of the Company’s common stock, thereby settling the liability recorded as of December 31, 2023.</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Mona litigation:</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March 2025, an appellate court held in favor of the Company with respect to a 2019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the Company received a judgment in the amount of approximately $316, net of legal fees and expenses. The amount received was recorded as other income in the Company’s audited consolidated statements of comprehensive loss.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Employment-Related Matter</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17, 2025, the Company received a demand letter from legal counsel representing a former employee in connection with an employment-related matter. On December 3, 2025, the Company received a charge filed by the former employee with the Massachusetts Commission Against Discrimination and Equal Employment Opportunity Commission, alleging discrimination and retaliation. On January 16, 2026, the Company filed a position statement responding to same and challenging the merits of the charge in total. Based on its initial assessment, the Company believes the allegations lack merit.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Accrued bonuses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recorded accrued bonuses to the CEO, executives and certain employees in the amount of $1,089, related to fiscal year 2025 (refer also to Note 18A).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pursuant to which the holders agreed to exercise for cash such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has an exercise price equal to $1.50 per share, and is exercisable from the date of the issuance until five and one-half (5.5) years following the date of the issuance. The estimated fair value of the Inducement Investment Options using a Black-Scholes options pricing model is approximately $1,853. At the closing on January 3, 2024, the Company received aggregate gross proceeds of approximately $2,730 from the exercise of such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The estimated fair value of the preferred investment options using a Black-Scholes options pricing model is approximately $89.</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62"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January 6, 2025, the Company entered into Securities Purchase Agreements with institutional investors, pursuant to which the Company agreed to issue and sell, in a registered direct offering priced at-the-market under the rules of the Nasdaq Stock Market, an aggregate of 4,000,001 shares of the Company’s common stock, par value $0.01 per share, at an offering price of $1.75 per share, for aggregate gross proceeds from the offerings of approximately $7,000 before deducting the placement agent fee and related offering expenses of approximately $690. In a concurrent private placement, the Company agreed to issue to the investors series G preferred investment options to purchase up to 8,000,002 shares of common stock at an exercise price of $1.75 per share. Each Series G preferred investment option is exercisable immediately and will expire two years from the initial exercise date. The Company also issued to Wainwright or its designees preferred investment options to purchase up to 200,000 shares of common stock which have the same terms as investors’ preferred investment options except for an exercise price equal to $2.1875 per share.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January 7, 2025, the Company entered into Securities Purchase Agreements with institutional investors, pursuant to which the Company agreed to issue and sell, in a registered direct offering priced at-the-market under the rules of the Nasdaq Stock Market, an aggregate of 3,788,550 shares of the Company’s common stock, par value $0.01 per share, at an offering price of $2.27 per share, for aggregate gross proceeds from the offerings of approximately $8,600 before deducting the placement agent fee and related offering expenses of approximately $818. In a concurrent private placement, the Company agreed to issue to the investors series H preferred investment options to purchase up to 7,577,100 shares of common stock at an exercise price of $2.10 per share. Each Series H preferred investment option is exercisable immediately and will expire two years from the initial exercise date. The Company also issued to Wainwright or its designees preferred investment options to purchase up to 189,428 shares of common stock which have the same terms as investors’ preferred investment options except for an exercise price equal to $2.8375 per share.</w:t>
      </w:r>
    </w:p>
    <w:p>
      <w:pPr>
        <w:spacing w:after="0" w:line="188"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February 9, 2025, the Company entered into Securities Purchase Agreements with institutional investors, pursuant to which the Company agreed to issue and sell, in a registered direct offering priced at-the-market under the rules of the Nasdaq Stock Market, an aggregate of 6,103,289 shares of the Company’s common stock, par value $0.01 per share, at an offering price of $2.13 per share, for aggregate gross proceeds from the offerings of approximately $13,000 before deducting the placement agent fee and related offering expenses of approximately $1,175. In a concurrent private placement, the Company agreed to issue to the investors series I preferred investment options to purchase up to 12,206,578 shares of common stock at an exercise price of $2.13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305,164 shares of common stock which have the same terms as investors’ preferred investment options except for an exercise price equal to $2.6625 per share.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June 10, 2025, at the Company’s annual meeting of stockholders, an amendment to the Company’s articles of incorporation was approved, increasing the number of authorized shares of common stock to 120,000,000. The amendment was subsequently filed with and accepted by the State of Delaware law and became effective on that date. Refer to Note 11F.</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a result, the Series I preferred investment options to purchase up to 12,206,578 shares of common stock at an exercise price of $2.13 per share, and the placement agent preferred investment options to purchase up to 305,164 shares of common stock at an exercise price of $2.6625 per share, each of which was issued on February 11, 2025, became immediately exercisable until their two year anniversary.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Equity Classification: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is classified as equity under the requirements of ASC Topic 505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Pursuant to the guidance of ASC 480 and ASC 815 the warrants were classified as equity instruments.</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outstanding preferred investment options issued to Wainwright and all such preferred investment options are equity-classified awards.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July 1, 2024, the Company filed with the SEC a prospectus supplement relating to the offer, issuance and sale of up to $4,820 of the Company’s shares of common stock pursuant to the ATM Agreement. During the fiscal year ended December 31, 2024, the Company issued 3,433,880 shares of the Company’s common stock pursuant to the ATM Agreement, for total gross proceeds of approximately $3,756 before deducting sales agent commissions and other offering expenses of $239.</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January 2025, the Company issued 842,606 shares of the Company’s common stock pursuant to the ATM Agreement, for total gross proceeds of approximately $1,062 before deducting sales agent commissions and other offering expenses of $65. The Company is no longer selling its securities pursuant to the ATM Agreement and has not as of the filing of these financial statements entered into a new or replacement ATM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Exercise of Investment Options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raised approximately $33,855 in gross proceeds from the exercise of an aggregate of 18,613,585 outstanding Series E, Series F, Series G, Series H and Series I preferred investment options. As a result of these exercises, and in accordance with the Company’s engagement letters with its placement agent, as mentioned in Note 10D, the Company incurred placement agent cash fees of approximately $2,370. Additionally, the Company issued an aggregate of 930,680 placement agent options in accordance with such engagement letter.</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2025, the Company received gross proceeds of approximately $895 from the exercise of an aggregate of 374,167 outstanding placement agent options.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Increase in Authorized Share</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Following the 2025 annual meeting of stockholders of the Company held on June 10, 2025, the Company filed with the State of Delaware a certificate of amendment to the Company’s restated certificate of incorporation, as amended, which increased the total number of shares of common stock authorized for issuance to 120,000,000 shares, with a corresponding increase in the total authorized shares from 61,000,000 to 121,000,000. Immediately thereafter, the Company had 121,000,000 shares of authorized stock, consisting of (i) 120,000,000 shares of common stock, and (ii) 1,000,000 shares of undesignated preferred stock.</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Investment Inducement Transaction</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September 14, 2025, the Company entered into an inducement agreement (the “Letter Agreement”) with certain holders (the “Holders”) of existing (i) series F preferred investment options to purchase 207,224 shares of Company’s common stock at an exercise price of $1.50 per share, (ii) series G preferred investment options to purchase 628,571 shares of Company’s common stock at an exercise price of $1.75 per share, (iii) series H preferred investment options to purchase 4,702,612 shares of Company’s common stock at an exercise price of $2.10 per share, and (iv) series I preferred investment options to purchase 8,450,708 shares of Company’s common stock at an exercise price of $2.13 per share (collectively, the “Existing Preferred Investment Options”). Pursuant to the Letter Agreement, the Holders exercised for cash their Existing Preferred Investment Options to purchase an aggregate of 13,989,115 shares of Company’s common stock, at exercise prices ranging from $1.50 to $2.13 per share, in consideration for the Company’s agreement to issue new series J preferred investment options (the “New Preferred Investment Options”) to purchase up to an aggregate of 13,989,115 shares of Company’s common stock at an exercise price of $4.50 per share (collectively, the “Inducement Transaction”). The New Preferred Investment Options are exercisable beginning six months after issuance and will expire two years thereafter.</w:t>
      </w:r>
    </w:p>
    <w:p>
      <w:pPr>
        <w:spacing w:after="0" w:line="192"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At the first closing of the Inducement Transaction, which occurred on September 16, 2025, certain Holders exercised Existing Preferred Investment Options to purchase up to an aggregate of 12,064,627 shares of Company’s common stock for cash and received New Preferred Investment Options to purchase up to an aggregate of 12,064,627 shares of Company’s common stock. At the second closing of the Inducement Transaction on September 29, 2025, a certain Holder exercised Existing Preferred Investment Options to purchase 600,000 shares of Company’s common stock for cash and received New Preferred Investment Options to purchase up to 600,000 shares of Company’s common stock. At the third closing of the Inducement Transaction, which occurred on October 6, 2025, certain Holders exercised Existing Preferred Investment Options to purchase up to an aggregate of 1,324,488 shares of Company’s common stock for cash and received New Preferred Investment Options to purchase up to an aggregate of 1,324,488 shares of Company’s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received aggregate gross proceeds of approximately $29,286 from the exercise of the Existing Preferred Investment Options at the closings, before deducting placement agent fees and other offering expenses of approximately $2,472, of which $101 had not been paid as of December 31, 2025. Additionally, as a result of the Inducement Transaction, and in accordance with the Company’s engagement letters with its placement agent, as mentioned in Note 10D, the Company issued an aggregate of 699,456 placement agent options.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inducement occurred concurrently with a fund raising. Pursuant to the guidance of ASC 480 and ASC 815 the warrants were classified as equity instruments before and after the warrant modification. In accordance with ASC Topic 815 guidance on equity classified warrant</w:t>
      </w:r>
    </w:p>
    <w:p>
      <w:pPr>
        <w:sectPr>
          <w:pgSz w:w="11900" w:h="16838" w:orient="portrait"/>
          <w:cols w:equalWidth="0" w:num="1">
            <w:col w:w="11240"/>
          </w:cols>
          <w:pgMar w:left="320" w:top="657" w:right="339" w:bottom="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modifications, the incremental change in fair value of the warrants was accounted as an equity issuance cost, which was recorded to additional paid-in capital.</w:t>
      </w:r>
    </w:p>
    <w:p>
      <w:pPr>
        <w:spacing w:after="0" w:line="3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Employee Stock Option Grants and Exercises: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year ended December 31, 2024:</w:t>
      </w:r>
    </w:p>
    <w:p>
      <w:pPr>
        <w:spacing w:after="0" w:line="225" w:lineRule="exact"/>
        <w:rPr>
          <w:sz w:val="20"/>
          <w:szCs w:val="20"/>
          <w:color w:val="auto"/>
        </w:rPr>
      </w:pPr>
    </w:p>
    <w:p>
      <w:pPr>
        <w:ind w:left="1620" w:hanging="316"/>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its executives and management, fully vested options to purchase an aggregate of 80,000 and 50,000 shares of the Company’s common stock, respectively, at an exercise price per share of $1.2684.</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and certain executives, options to purchase an aggregate of 80,000 and 52,500 shares of the Company’s common stock, respectively, at an exercise price per share of $1.25. The vesting of these options is subject to the achievement of specified performance conditions. For the year ended December 31, 2024, the Company recorded an expense of $38, reflecting management’s assessment that the specified performance milestones for 35,625 of the 132,500 options were achieved by their due date.</w:t>
      </w:r>
    </w:p>
    <w:p>
      <w:pPr>
        <w:spacing w:after="0" w:line="183"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its executives, and certain employees, options to purchase an aggregate of 80,000 and 115,000 shares of the Company’s common stock, respectively, at an exercise price per share of $1.2684, with a vesting period of three years.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an advisor options to purchase an aggregate of 25,000 shares of the Company’s common stock, at an exercise price per share of $0.881, with a vesting period of three years.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With respect to the CEO’s 2023 annual bonus, during February 2024, the Company paid 25% of the CEO’s total 2023 bonus – amounting to approximately $99, through the grant of fully vested options to purchase an aggregate of 79,567 shares of the Company’s common stock with an exercise price per share of $1.25.</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February 2025, the Company determined that 35,625 out of 132,500 performance-based options granted in February 2024 had met their milestones and been vested, while the remainder 96,875 options which did not meet their milestones had been forfeited.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June 10, 2025, at the Company’s annual meeting of stockholders, an amendment to the Company’s 2020 Omnibus Performance Award Plan (as amended) was approved. This amendment increased the number of shares of common stock authorized and reserved for issuance under the plan by 2,591,019 shares.</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the CEO, other executives and certain employees, and certain board members 228,000, 483,875 and 70,000 options, respectively.</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August 2025, a former advisor of the Company exercised 47,218 vested options at an exercise price of NIS 0.01 per option. As a result of this exercise, the Company received total consideration of approximately $1.</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stock options vest over a period of three years as outlined in the option agreements evidencing such grants.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 Employee Stock Option Grants and Exercises:</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8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8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9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2,497,366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781,875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2,342,707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8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8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9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2,095,362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562,067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1,866,523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2025 and 2024, respectively.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aggregate intrinsic value of the outstanding options is $726 and $75, respectively, and the aggregate intrinsic value of the exercisable options is $558 and $69,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2025 and 2024 was $1.65 and $0.99,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Employee Stock Option Grants and Exercises: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approximately $1,109 of total unrecognized compensation costs related to unvested share-based compensation awards granted under the Share Incentive Plan. The costs are expected to be recognized over a weighted average period of 2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stock options outstanding as of December 31, 2025 and 2024,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contractual</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life – years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life – years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exercisable</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3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3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3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100" w:type="dxa"/>
            <w:vAlign w:val="bottom"/>
            <w:tcBorders>
              <w:bottom w:val="single" w:sz="8" w:color="CCEEFF"/>
            </w:tcBorders>
          </w:tcPr>
          <w:p>
            <w:pPr>
              <w:spacing w:after="0"/>
              <w:rPr>
                <w:sz w:val="20"/>
                <w:szCs w:val="20"/>
                <w:color w:val="auto"/>
              </w:rPr>
            </w:pPr>
          </w:p>
        </w:tc>
      </w:tr>
      <w:tr>
        <w:trPr>
          <w:trHeight w:val="209"/>
        </w:trPr>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0.00-0.99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1.00-3.73</w:t>
            </w: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2,032,875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1,299,562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1,283,092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731,559</w:t>
            </w:r>
          </w:p>
        </w:tc>
      </w:tr>
      <w:tr>
        <w:trPr>
          <w:trHeight w:val="216"/>
        </w:trPr>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499,636</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577,482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499,636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539,642</w:t>
            </w:r>
          </w:p>
        </w:tc>
      </w:tr>
      <w:tr>
        <w:trPr>
          <w:trHeight w:val="216"/>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8.16-9.64</w:t>
            </w: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380,872</w:t>
            </w:r>
          </w:p>
        </w:tc>
      </w:tr>
      <w:tr>
        <w:trPr>
          <w:trHeight w:val="229"/>
        </w:trPr>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152,873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152,873</w:t>
            </w:r>
          </w:p>
        </w:tc>
      </w:tr>
      <w:tr>
        <w:trPr>
          <w:trHeight w:val="223"/>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3,105,615</w:t>
            </w: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2,342,707</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1,866,523</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F-26</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8" w:name="page89"/>
    <w:bookmarkEnd w:id="88"/>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Employee Stock Option Grants and Exercises: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2025 and 2024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38"/>
        </w:trPr>
        <w:tc>
          <w:tcPr>
            <w:tcW w:w="6260" w:type="dxa"/>
            <w:vAlign w:val="bottom"/>
          </w:tcPr>
          <w:p>
            <w:pPr>
              <w:spacing w:after="0"/>
              <w:rPr>
                <w:sz w:val="20"/>
                <w:szCs w:val="20"/>
                <w:color w:val="auto"/>
              </w:rPr>
            </w:pPr>
          </w:p>
        </w:tc>
        <w:tc>
          <w:tcPr>
            <w:tcW w:w="2560" w:type="dxa"/>
            <w:vAlign w:val="bottom"/>
            <w:tcBorders>
              <w:bottom w:val="single" w:sz="8" w:color="auto"/>
            </w:tcBorders>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94.0%-102.3%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90.4%-100.7%</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3.7%-4.4%</w:t>
            </w: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3.5%- 4.3%</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5.5-5.8</w:t>
            </w:r>
          </w:p>
        </w:tc>
        <w:tc>
          <w:tcPr>
            <w:tcW w:w="5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8"/>
        </w:trPr>
        <w:tc>
          <w:tcPr>
            <w:tcW w:w="27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Exercisable Through</w:t>
            </w: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Warrant to underwriters October</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16"/>
                <w:szCs w:val="16"/>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May</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32,778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May</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60,476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June</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35,088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June</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31,231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16"/>
        </w:trPr>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E January 2024</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2029</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January</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84,284</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84,284</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3, 2029</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F June 2024</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3,133,338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2026</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June</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28,102</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78,333</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 2026</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January</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71,750</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7, 2027</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January</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189,428</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10, 2027</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January</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30,526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2030</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February</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109,478</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10, 2027</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10,362</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31,429</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138,906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422,535</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2028</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53,758</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2031</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146,306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368,572</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143,723</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3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187,794</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J September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12,064,627</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bl>
    <w:p>
      <w:pPr>
        <w:sectPr>
          <w:pgSz w:w="11900" w:h="16936" w:orient="portrait"/>
          <w:cols w:equalWidth="0" w:num="1">
            <w:col w:w="11240"/>
          </w:cols>
          <w:pgMar w:left="320" w:top="657" w:right="33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J September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600,000</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4.50</w:t>
            </w:r>
          </w:p>
        </w:tc>
        <w:tc>
          <w:tcPr>
            <w:tcW w:w="2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29, 2028</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J October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1,324,488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4.50</w:t>
            </w: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April 6, 2028</w:t>
            </w:r>
          </w:p>
        </w:tc>
      </w:tr>
      <w:tr>
        <w:trPr>
          <w:trHeight w:val="23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J October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66,224</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2.66</w:t>
            </w:r>
          </w:p>
        </w:tc>
        <w:tc>
          <w:tcPr>
            <w:tcW w:w="2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April 6, 2028</w:t>
            </w:r>
          </w:p>
        </w:tc>
      </w:tr>
      <w:tr>
        <w:trPr>
          <w:trHeight w:val="223"/>
        </w:trPr>
        <w:tc>
          <w:tcPr>
            <w:tcW w:w="27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16,312,990</w:t>
            </w:r>
          </w:p>
        </w:tc>
        <w:tc>
          <w:tcPr>
            <w:tcW w:w="36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5,192,335</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13"/>
        </w:trPr>
        <w:tc>
          <w:tcPr>
            <w:tcW w:w="2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F-27</w:t>
            </w: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2025 and 2024.</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2025 and 2024, potentially dilutive securities excluded from the diluted loss per share calculation are 19,418,605 and 7,689,701,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RESEARCH AND DEVELOPMENT EXPENSES, NET</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(230)</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subcontractors</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(1,898)</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(171)</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(270)</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(122)</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(357)</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0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496</w:t>
            </w: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 SALES, GENERAL AND ADMINISTRATIVE EXPENSES</w:t>
            </w: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(827)</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(1,971)</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(393)</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(213)</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06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(335)</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(735)</w:t>
            </w: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60" w:type="dxa"/>
            <w:vAlign w:val="bottom"/>
            <w:vMerge w:val="restart"/>
          </w:tcPr>
          <w:p>
            <w:pPr>
              <w:ind w:left="4480"/>
              <w:spacing w:after="0"/>
              <w:rPr>
                <w:sz w:val="20"/>
                <w:szCs w:val="20"/>
                <w:color w:val="auto"/>
              </w:rPr>
            </w:pPr>
            <w:r>
              <w:rPr>
                <w:rFonts w:ascii="Times New Roman" w:cs="Times New Roman" w:eastAsia="Times New Roman" w:hAnsi="Times New Roman"/>
                <w:sz w:val="18"/>
                <w:szCs w:val="18"/>
                <w:color w:val="auto"/>
              </w:rPr>
              <w:t>F-28</w:t>
            </w: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REPORTING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2025 and 2024:</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and payroll related</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(7,435)</w:t>
            </w:r>
          </w:p>
        </w:tc>
        <w:tc>
          <w:tcPr>
            <w:tcW w:w="110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(5,376)</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and subcontractors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w:t>
            </w:r>
          </w:p>
        </w:tc>
        <w:tc>
          <w:tcPr>
            <w:tcW w:w="1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(2,553)</w:t>
            </w:r>
          </w:p>
        </w:tc>
      </w:tr>
      <w:tr>
        <w:trPr>
          <w:trHeight w:val="22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8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209"/>
        <w:spacing w:after="0" w:line="266" w:lineRule="auto"/>
        <w:rPr>
          <w:sz w:val="20"/>
          <w:szCs w:val="20"/>
          <w:color w:val="auto"/>
        </w:rPr>
      </w:pPr>
      <w:r>
        <w:rPr>
          <w:rFonts w:ascii="Times New Roman" w:cs="Times New Roman" w:eastAsia="Times New Roman" w:hAnsi="Times New Roman"/>
          <w:sz w:val="18"/>
          <w:szCs w:val="18"/>
          <w:color w:val="auto"/>
        </w:rPr>
        <w:t>(*)Other segment expense items included within net loss include professional services, patents, overhead and depreciation, travel expenses, financial income, net, other income and other miscellaneous expenses net of grants received. See the consolidated financial statements for other financial information regarding the Company’s operating segment.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Long-lived assets and operating lease right-of-use assets by geographical areas were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2025 and 2024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2025 and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has generated accumulated net operating losses in the U.S. of approximately $517,992 and $511,371, respectively. The Company has available carryforward net operating losses amounting to approximately $108,969 at the U.S. federal level. This consists of pre-2017 net operating losses subject to a 20-year limitation per Section 382, amounting to approximately $83,848, and post-2017 net operating losses which can be carried forward indefinitely, amounting to approximately $25,121.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 ended December 31, 2025 and 2024. Microbot Israel has not received a final tax assessment since 2020.</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Microbot Israel has generated accumulated net operating losses in Israel of approximately $54,074 and $47,553, respectively, which may be carried forward and offset against taxable income in the future for an indefinite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121,215</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118,309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10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10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(121,345)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(118,374)</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10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Tax</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rate</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 difference between U.S. and Israel</w:t>
            </w:r>
          </w:p>
        </w:tc>
        <w:tc>
          <w:tcPr>
            <w:tcW w:w="2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2433"/>
              <w:spacing w:after="0"/>
              <w:rPr>
                <w:sz w:val="20"/>
                <w:szCs w:val="20"/>
                <w:color w:val="auto"/>
              </w:rPr>
            </w:pPr>
            <w:r>
              <w:rPr>
                <w:rFonts w:ascii="Times New Roman" w:cs="Times New Roman" w:eastAsia="Times New Roman" w:hAnsi="Times New Roman"/>
                <w:sz w:val="18"/>
                <w:szCs w:val="18"/>
                <w:color w:val="auto"/>
              </w:rPr>
              <w:t>F-30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5"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grants and other compensation: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2026, the Company authorized and approved the CEO a total bonus amounting to approximately $556, out of which an approximate amount of $417 is related to fiscal year 2025 and $139 is a special bonus. The company also approved salary increase to the CEO.</w:t>
      </w:r>
    </w:p>
    <w:p>
      <w:pPr>
        <w:spacing w:after="0" w:line="175"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2026, the Company authorized and approved bonuses to executives and certain employees in the amount of approximately $434, related to fiscal year 2025, and approved salary increases to executives and certain employees.</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in February and March 2026, the Company granted the CEO and executives 480,000 and 315,000 options, respectively. Additionally, the Company approved to grant 292,500 options to certain employees.</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guarantee:</w:t>
      </w:r>
    </w:p>
    <w:p>
      <w:pPr>
        <w:spacing w:after="0" w:line="256"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2026, the Company provided an unconditional bank guarantee on amount of $800. The guarantee was provided to secure the Company’s obligations in respect of purchases made by the subcontractor that manufactures inventory for the Company. The guarantee will be exercised only in the event that the Company fails to settle its payment obligations to the subcontractor for such purchases.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(Registration No. 333-221216, 333-250963 and 333-288833), and the Registration Statements on Form S-3 (Registration No. 333-275634, 333-285690, 333-290848, 333-290847, 333-284688, 333-280113, 333-273207 and 333-276487) of our report dated March 26, 2026 relating to the consolidated financial statements of Microbot Medical Inc. (the “Company”) appearing in this Annual Report on Form 10-K of the Company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Rachel Vaknin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of Microbot Medical Inc. (the “Company”) on Form 10-K for the fiscal year ended December 31, 2025 as filed with the Securities and Exchange Commission on the date hereof (the “Report”), I, </w:t>
      </w:r>
      <w:r>
        <w:rPr>
          <w:rFonts w:ascii="Times New Roman" w:cs="Times New Roman" w:eastAsia="Times New Roman" w:hAnsi="Times New Roman"/>
          <w:sz w:val="18"/>
          <w:szCs w:val="18"/>
          <w:b w:val="1"/>
          <w:bCs w:val="1"/>
          <w:color w:val="auto"/>
        </w:rPr>
        <w:t>Harel Gadot</w:t>
      </w:r>
      <w:r>
        <w:rPr>
          <w:rFonts w:ascii="Times New Roman" w:cs="Times New Roman" w:eastAsia="Times New Roman" w:hAnsi="Times New Roman"/>
          <w:sz w:val="18"/>
          <w:szCs w:val="18"/>
          <w:color w:val="auto"/>
        </w:rPr>
        <w:t>, President and Chief Executive Officer of the Company, certify, pursuant to 18 U.S.C. Sec. 1350, as adopted pursuant to Sec. 906 of the Sarbanes-Oxley Act of 2002, that:</w:t>
      </w:r>
    </w:p>
    <w:p>
      <w:pPr>
        <w:spacing w:after="0" w:line="176" w:lineRule="exact"/>
        <w:rPr>
          <w:sz w:val="20"/>
          <w:szCs w:val="20"/>
          <w:color w:val="auto"/>
        </w:rPr>
      </w:pPr>
    </w:p>
    <w:p>
      <w:pPr>
        <w:ind w:left="580" w:hanging="248"/>
        <w:spacing w:after="0"/>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of Microbot Medical Inc. (the “Company”) on Form 10-K for the fiscal year ended December 31, 2025 as filed with the Securities and Exchange Commission on the date hereof (the “Report”), I, </w:t>
      </w:r>
      <w:r>
        <w:rPr>
          <w:rFonts w:ascii="Times New Roman" w:cs="Times New Roman" w:eastAsia="Times New Roman" w:hAnsi="Times New Roman"/>
          <w:sz w:val="18"/>
          <w:szCs w:val="18"/>
          <w:b w:val="1"/>
          <w:bCs w:val="1"/>
          <w:color w:val="auto"/>
        </w:rPr>
        <w:t>Rachel Vaknin</w:t>
      </w:r>
      <w:r>
        <w:rPr>
          <w:rFonts w:ascii="Times New Roman" w:cs="Times New Roman" w:eastAsia="Times New Roman" w:hAnsi="Times New Roman"/>
          <w:sz w:val="18"/>
          <w:szCs w:val="18"/>
          <w:color w:val="auto"/>
        </w:rPr>
        <w:t>, Chief Financial Officer of the Company, certify, pursuant to 18 U.S.C. Sec. 1350, as adopted pursuant to Sec. 906 of the Sarbanes-Oxley Act of 2002, that:</w:t>
      </w:r>
    </w:p>
    <w:p>
      <w:pPr>
        <w:spacing w:after="0" w:line="176" w:lineRule="exact"/>
        <w:rPr>
          <w:sz w:val="20"/>
          <w:szCs w:val="20"/>
          <w:color w:val="auto"/>
        </w:rPr>
      </w:pPr>
    </w:p>
    <w:p>
      <w:pPr>
        <w:ind w:left="580" w:hanging="248"/>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Rachel Vaknin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lowerRoman"/>
      <w:start w:val="2"/>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
      <w:numFmt w:val="bullet"/>
      <w:start w:val="1"/>
    </w:lvl>
    <w:lvl w:ilvl="1">
      <w:lvlJc w:val="left"/>
      <w:lvlText w:val="%2"/>
      <w:numFmt w:val="decimal"/>
      <w:start w:val="104"/>
    </w:lvl>
  </w:abstractNum>
  <w:abstractNum w:abstractNumId="40">
    <w:nsid w:val="7A6D8D3C"/>
    <w:multiLevelType w:val="hybridMultilevel"/>
    <w:lvl w:ilvl="0">
      <w:lvlJc w:val="left"/>
      <w:lvlText w:val="**"/>
      <w:numFmt w:val="bullet"/>
      <w:start w:val="1"/>
    </w:lvl>
    <w:lvl w:ilvl="1">
      <w:lvlJc w:val="left"/>
      <w:lvlText w:val="%2"/>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upp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123" Type="http://schemas.openxmlformats.org/officeDocument/2006/relationships/image" Target="media/image69.png"/><Relationship Id="rId138" Type="http://schemas.openxmlformats.org/officeDocument/2006/relationships/image" Target="media/image70.png"/><Relationship Id="rId139" Type="http://schemas.openxmlformats.org/officeDocument/2006/relationships/image" Target="media/image71.png"/><Relationship Id="rId140" Type="http://schemas.openxmlformats.org/officeDocument/2006/relationships/image" Target="media/image72.png"/><Relationship Id="rId141" Type="http://schemas.openxmlformats.org/officeDocument/2006/relationships/image" Target="media/image73.png"/><Relationship Id="rId142" Type="http://schemas.openxmlformats.org/officeDocument/2006/relationships/image" Target="media/image74.png"/><Relationship Id="rId143" Type="http://schemas.openxmlformats.org/officeDocument/2006/relationships/image" Target="media/image75.png"/><Relationship Id="rId144" Type="http://schemas.openxmlformats.org/officeDocument/2006/relationships/image" Target="media/image76.png"/><Relationship Id="rId145" Type="http://schemas.openxmlformats.org/officeDocument/2006/relationships/image" Target="media/image77.png"/><Relationship Id="rId146" Type="http://schemas.openxmlformats.org/officeDocument/2006/relationships/image" Target="media/image78.png"/><Relationship Id="rId147" Type="http://schemas.openxmlformats.org/officeDocument/2006/relationships/image" Target="media/image79.png"/><Relationship Id="rId148" Type="http://schemas.openxmlformats.org/officeDocument/2006/relationships/image" Target="media/image80.png"/><Relationship Id="rId149" Type="http://schemas.openxmlformats.org/officeDocument/2006/relationships/image" Target="media/image81.png"/><Relationship Id="rId150" Type="http://schemas.openxmlformats.org/officeDocument/2006/relationships/image" Target="media/image82.png"/><Relationship Id="rId151" Type="http://schemas.openxmlformats.org/officeDocument/2006/relationships/image" Target="media/image83.png"/><Relationship Id="rId152" Type="http://schemas.openxmlformats.org/officeDocument/2006/relationships/image" Target="media/image84.png"/><Relationship Id="rId153" Type="http://schemas.openxmlformats.org/officeDocument/2006/relationships/image" Target="media/image85.png"/><Relationship Id="rId154" Type="http://schemas.openxmlformats.org/officeDocument/2006/relationships/image" Target="media/image86.png"/><Relationship Id="rId155" Type="http://schemas.openxmlformats.org/officeDocument/2006/relationships/image" Target="media/image87.png"/><Relationship Id="rId156" Type="http://schemas.openxmlformats.org/officeDocument/2006/relationships/image" Target="media/image88.png"/><Relationship Id="rId157" Type="http://schemas.openxmlformats.org/officeDocument/2006/relationships/image" Target="media/image89.png"/><Relationship Id="rId158" Type="http://schemas.openxmlformats.org/officeDocument/2006/relationships/image" Target="media/image90.png"/><Relationship Id="rId159" Type="http://schemas.openxmlformats.org/officeDocument/2006/relationships/image" Target="media/image91.png"/><Relationship Id="rId160"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76" Type="http://schemas.openxmlformats.org/officeDocument/2006/relationships/hyperlink" Target="https://www.sec.gov/Archives/edgar/data/883975/000119312516682077/d161430dex21.htm" TargetMode="External"/><Relationship Id="rId77" Type="http://schemas.openxmlformats.org/officeDocument/2006/relationships/hyperlink" Target="https://www.sec.gov/Archives/edgar/data/883975/000095013407005808/f27726exv3w1.htm" TargetMode="External"/><Relationship Id="rId78" Type="http://schemas.openxmlformats.org/officeDocument/2006/relationships/hyperlink" Target="https://www.sec.gov/Archives/edgar/data/883975/000119312516779597/d296933dex31.htm" TargetMode="External"/><Relationship Id="rId79" Type="http://schemas.openxmlformats.org/officeDocument/2006/relationships/hyperlink" Target="https://www.sec.gov/Archives/edgar/data/883975/000149315218012872/ex3-1.htm" TargetMode="External"/><Relationship Id="rId80" Type="http://schemas.openxmlformats.org/officeDocument/2006/relationships/hyperlink" Target="https://www.sec.gov/Archives/edgar/data/883975/000129993316002374/exhibit1.htm" TargetMode="External"/><Relationship Id="rId81" Type="http://schemas.openxmlformats.org/officeDocument/2006/relationships/hyperlink" Target="https://www.sec.gov/Archives/edgar/data/883975/000149315218017395/ex3-1.htm" TargetMode="External"/><Relationship Id="rId82" Type="http://schemas.openxmlformats.org/officeDocument/2006/relationships/hyperlink" Target="https://www.sec.gov/Archives/edgar/data/883975/000149315219013998/ex3-1.htm" TargetMode="External"/><Relationship Id="rId83" Type="http://schemas.openxmlformats.org/officeDocument/2006/relationships/hyperlink" Target="https://www.sec.gov/Archives/edgar/data/883975/000149315221010347/ex3-1.htm" TargetMode="External"/><Relationship Id="rId84" Type="http://schemas.openxmlformats.org/officeDocument/2006/relationships/hyperlink" Target="https://www.sec.gov/Archives/edgar/data/883975/000164117225004707/ex3-1.htm" TargetMode="External"/><Relationship Id="rId85" Type="http://schemas.openxmlformats.org/officeDocument/2006/relationships/hyperlink" Target="https://www.sec.gov/Archives/edgar/data/883975/000164117225014622/ex3-1.htm" TargetMode="External"/><Relationship Id="rId86" Type="http://schemas.openxmlformats.org/officeDocument/2006/relationships/hyperlink" Target="https://www.sec.gov/Archives/edgar/data/883975/000164117225023206/ex4-1.htm" TargetMode="External"/><Relationship Id="rId87" Type="http://schemas.openxmlformats.org/officeDocument/2006/relationships/hyperlink" Target="https://www.sec.gov/Archives/edgar/data/883975/000149315222029541/ex4-4.htm" TargetMode="External"/><Relationship Id="rId88" Type="http://schemas.openxmlformats.org/officeDocument/2006/relationships/hyperlink" Target="https://www.sec.gov/Archives/edgar/data/883975/000149315223018718/ex4-1.htm" TargetMode="External"/><Relationship Id="rId89" Type="http://schemas.openxmlformats.org/officeDocument/2006/relationships/hyperlink" Target="https://www.sec.gov/Archives/edgar/data/883975/000149315223018932/ex4-2.htm" TargetMode="External"/><Relationship Id="rId90" Type="http://schemas.openxmlformats.org/officeDocument/2006/relationships/hyperlink" Target="https://www.sec.gov/Archives/edgar/data/883975/000149315223018932/ex10-2.htm" TargetMode="External"/><Relationship Id="rId91" Type="http://schemas.openxmlformats.org/officeDocument/2006/relationships/hyperlink" Target="https://www.sec.gov/Archives/edgar/data/883975/000149315223020309/ex4-2.htm" TargetMode="External"/><Relationship Id="rId92" Type="http://schemas.openxmlformats.org/officeDocument/2006/relationships/hyperlink" Target="https://www.sec.gov/Archives/edgar/data/883975/000149315223022814/ex4-2.htm" TargetMode="External"/><Relationship Id="rId93" Type="http://schemas.openxmlformats.org/officeDocument/2006/relationships/hyperlink" Target="https://www.sec.gov/Archives/edgar/data/883975/000149315224000109/ex4-2.htm" TargetMode="External"/><Relationship Id="rId94" Type="http://schemas.openxmlformats.org/officeDocument/2006/relationships/hyperlink" Target="https://www.sec.gov/Archives/edgar/data/883975/000149315224022560/ex4-2.htm" TargetMode="External"/><Relationship Id="rId95" Type="http://schemas.openxmlformats.org/officeDocument/2006/relationships/hyperlink" Target="https://www.sec.gov/Archives/edgar/data/883975/000149315225001133/ex4-2.htm" TargetMode="External"/><Relationship Id="rId96" Type="http://schemas.openxmlformats.org/officeDocument/2006/relationships/hyperlink" Target="https://www.sec.gov/Archives/edgar/data/883975/000149315225001559/ex4-2.htm" TargetMode="External"/><Relationship Id="rId97" Type="http://schemas.openxmlformats.org/officeDocument/2006/relationships/hyperlink" Target="https://www.sec.gov/Archives/edgar/data/883975/000149315225013743/ex4-1.htm" TargetMode="External"/><Relationship Id="rId98" Type="http://schemas.openxmlformats.org/officeDocument/2006/relationships/hyperlink" Target="https://www.sec.gov/Archives/edgar/data/883975/000149315225005820/ex4-2.htm" TargetMode="External"/><Relationship Id="rId99" Type="http://schemas.openxmlformats.org/officeDocument/2006/relationships/hyperlink" Target="https://www.sec.gov/Archives/edgar/data/883975/000149315225013743/ex4-2.htm" TargetMode="External"/><Relationship Id="rId100" Type="http://schemas.openxmlformats.org/officeDocument/2006/relationships/hyperlink" Target="https://www.sec.gov/Archives/edgar/data/883975/000119312516779597/d296933dex104.htm" TargetMode="External"/><Relationship Id="rId101" Type="http://schemas.openxmlformats.org/officeDocument/2006/relationships/hyperlink" Target="https://www.sec.gov/Archives/edgar/data/883975/000119312516779597/d296933dex105.htm" TargetMode="External"/><Relationship Id="rId102" Type="http://schemas.openxmlformats.org/officeDocument/2006/relationships/hyperlink" Target="https://www.sec.gov/Archives/edgar/data/883975/000149315217002678/ex10-14.htm" TargetMode="External"/><Relationship Id="rId103" Type="http://schemas.openxmlformats.org/officeDocument/2006/relationships/hyperlink" Target="https://www.sec.gov/Archives/edgar/data/883975/000149315217013222/ex10-1.htm" TargetMode="External"/><Relationship Id="rId104" Type="http://schemas.openxmlformats.org/officeDocument/2006/relationships/hyperlink" Target="https://www.sec.gov/Archives/edgar/data/883975/000149315217008987/def14a.htm" TargetMode="External"/><Relationship Id="rId105" Type="http://schemas.openxmlformats.org/officeDocument/2006/relationships/hyperlink" Target="https://www.sec.gov/Archives/edgar/data/883975/000164117225006658/formdef14a.htm" TargetMode="External"/><Relationship Id="rId106" Type="http://schemas.openxmlformats.org/officeDocument/2006/relationships/hyperlink" Target="https://www.sec.gov/Archives/edgar/data/883975/000149315220022543/ex4-2.htm" TargetMode="External"/><Relationship Id="rId107" Type="http://schemas.openxmlformats.org/officeDocument/2006/relationships/hyperlink" Target="https://www.sec.gov/Archives/edgar/data/883975/000149315220022543/ex4-3.htm" TargetMode="External"/><Relationship Id="rId108" Type="http://schemas.openxmlformats.org/officeDocument/2006/relationships/hyperlink" Target="https://www.sec.gov/Archives/edgar/data/883975/000149315220022543/ex4-4.htm" TargetMode="External"/><Relationship Id="rId109" Type="http://schemas.openxmlformats.org/officeDocument/2006/relationships/hyperlink" Target="https://www.sec.gov/Archives/edgar/data/883975/000149315220022543/ex4-5.htm" TargetMode="External"/><Relationship Id="rId110" Type="http://schemas.openxmlformats.org/officeDocument/2006/relationships/hyperlink" Target="https://www.sec.gov/Archives/edgar/data/883975/000149315220022543/ex4-6.htm" TargetMode="External"/><Relationship Id="rId111" Type="http://schemas.openxmlformats.org/officeDocument/2006/relationships/hyperlink" Target="https://www.sec.gov/Archives/edgar/data/883975/000149315221008148/ex10-1.htm" TargetMode="External"/><Relationship Id="rId112" Type="http://schemas.openxmlformats.org/officeDocument/2006/relationships/hyperlink" Target="https://www.sec.gov/Archives/edgar/data/883975/000149315221009469/ex10-1.htm" TargetMode="External"/><Relationship Id="rId113" Type="http://schemas.openxmlformats.org/officeDocument/2006/relationships/hyperlink" Target="https://www.sec.gov/Archives/edgar/data/883975/000149315222027872/ex10-1.htm" TargetMode="External"/><Relationship Id="rId114" Type="http://schemas.openxmlformats.org/officeDocument/2006/relationships/hyperlink" Target="https://www.sec.gov/Archives/edgar/data/883975/000149315222009272/ex10-1.htm" TargetMode="External"/><Relationship Id="rId115" Type="http://schemas.openxmlformats.org/officeDocument/2006/relationships/hyperlink" Target="https://www.sec.gov/Archives/edgar/data/883975/000149315222002881/ex10-1.htm" TargetMode="External"/><Relationship Id="rId116" Type="http://schemas.openxmlformats.org/officeDocument/2006/relationships/hyperlink" Target="https://www.sec.gov/Archives/edgar/data/883975/000149315223010223/ex10-21.htm" TargetMode="External"/><Relationship Id="rId117" Type="http://schemas.openxmlformats.org/officeDocument/2006/relationships/hyperlink" Target="https://www.sec.gov/Archives/edgar/data/883975/000149315223018456/ex10-1.htm" TargetMode="External"/><Relationship Id="rId118" Type="http://schemas.openxmlformats.org/officeDocument/2006/relationships/hyperlink" Target="https://www.sec.gov/Archives/edgar/data/883975/000149315223018456/ex10-2.htm" TargetMode="External"/><Relationship Id="rId119" Type="http://schemas.openxmlformats.org/officeDocument/2006/relationships/hyperlink" Target="https://www.sec.gov/Archives/edgar/data/883975/000149315223042204/ex10-1.htm" TargetMode="External"/><Relationship Id="rId120" Type="http://schemas.openxmlformats.org/officeDocument/2006/relationships/hyperlink" Target="https://www.sec.gov/Archives/edgar/data/883975/000149315224000109/ex10-1.htm" TargetMode="External"/><Relationship Id="rId121" Type="http://schemas.openxmlformats.org/officeDocument/2006/relationships/hyperlink" Target="https://www.sec.gov/Archives/edgar/data/883975/000149315224004231/ex10-2.htm" TargetMode="External"/><Relationship Id="rId122" Type="http://schemas.openxmlformats.org/officeDocument/2006/relationships/hyperlink" Target="https://www.sec.gov/Archives/edgar/data/883975/000149315225001133/ex10-1.htm" TargetMode="External"/><Relationship Id="rId124" Type="http://schemas.openxmlformats.org/officeDocument/2006/relationships/hyperlink" Target="https://www.sec.gov/Archives/edgar/data/883975/000149315225001559/ex10-1.htm" TargetMode="External"/><Relationship Id="rId125" Type="http://schemas.openxmlformats.org/officeDocument/2006/relationships/hyperlink" Target="https://www.sec.gov/Archives/edgar/data/883975/000149315225005410/ex10-1.htm" TargetMode="External"/><Relationship Id="rId126" Type="http://schemas.openxmlformats.org/officeDocument/2006/relationships/hyperlink" Target="https://www.sec.gov/Archives/edgar/data/883975/000149315225005410/ex10-2.htm" TargetMode="External"/><Relationship Id="rId127" Type="http://schemas.openxmlformats.org/officeDocument/2006/relationships/hyperlink" Target="https://www.sec.gov/Archives/edgar/data/883975/000149315225005410/ex10-3.htm" TargetMode="External"/><Relationship Id="rId128" Type="http://schemas.openxmlformats.org/officeDocument/2006/relationships/hyperlink" Target="https://www.sec.gov/Archives/edgar/data/883975/000149315225005820/ex10-1.htm" TargetMode="External"/><Relationship Id="rId129" Type="http://schemas.openxmlformats.org/officeDocument/2006/relationships/hyperlink" Target="https://www.sec.gov/Archives/edgar/data/883975/000149315225013743/ex10-1.htm" TargetMode="External"/><Relationship Id="rId130" Type="http://schemas.openxmlformats.org/officeDocument/2006/relationships/hyperlink" Target="https://www.sec.gov/Archives/edgar/data/883975/000149315226007900/ex10-1.htm" TargetMode="External"/><Relationship Id="rId131" Type="http://schemas.openxmlformats.org/officeDocument/2006/relationships/hyperlink" Target="https://www.sec.gov/Archives/edgar/data/883975/000149315226007900/ex10-2.htm" TargetMode="External"/><Relationship Id="rId132" Type="http://schemas.openxmlformats.org/officeDocument/2006/relationships/hyperlink" Target="https://www.sec.gov/Archives/edgar/data/883975/000149315226007900/ex10-3.htm" TargetMode="External"/><Relationship Id="rId133" Type="http://schemas.openxmlformats.org/officeDocument/2006/relationships/hyperlink" Target="https://www.sec.gov/Archives/edgar/data/883975/000164117225000614/ex14-1.htm" TargetMode="External"/><Relationship Id="rId134" Type="http://schemas.openxmlformats.org/officeDocument/2006/relationships/hyperlink" Target="https://www.sec.gov/Archives/edgar/data/883975/000164117225000614/ex19-1.htm" TargetMode="External"/><Relationship Id="rId135" Type="http://schemas.openxmlformats.org/officeDocument/2006/relationships/hyperlink" Target="https://www.sec.gov/Archives/edgar/data/883975/000164117225000614/ex19-2.htm" TargetMode="External"/><Relationship Id="rId136" Type="http://schemas.openxmlformats.org/officeDocument/2006/relationships/hyperlink" Target="https://www.sec.gov/Archives/edgar/data/883975/000149315217002678/ex21-1.htm" TargetMode="External"/><Relationship Id="rId137" Type="http://schemas.openxmlformats.org/officeDocument/2006/relationships/hyperlink" Target="https://www.sec.gov/Archives/edgar/data/883975/00014931522401152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2026-03-26T16:05:13Z</dcterms:created>
  <dcterms:modified xsi:type="dcterms:W3CDTF">2026-03-26T16:05:13Z</dcterms:modified>
</cp:coreProperties>
</file>