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333-276487</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NO. 13</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June 21,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1,769,966 Shares of Common Stock</w:t>
      </w:r>
    </w:p>
    <w:p>
      <w:pPr>
        <w:spacing w:after="0" w:line="229"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(this “Prospectus Supplement”) is being filed to update and supplement our prospectus dated June 21, 2024, as supplemented (the “Prospectus”), relating to the resale of up to 1,769,966 shares of our common stock, $0.01 par value per share, representing shares issuable upon the exercise of outstanding preferred investment options held by the selling stockholders named in the Prospectus, including their transferees, pledgees, donees or successors.</w:t>
      </w:r>
    </w:p>
    <w:p>
      <w:pPr>
        <w:spacing w:after="0" w:line="180"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Specifically, this Prospectus Supplement is being filed to update and supplement the information in the Prospectus with the information contained in our Current Report on Form 8-K, filed with the Securities and Exchange Commission on February 11, 2025 (the “Form 8-K”). Accordingly, we have attached the Form 8-K to this Prospectus Supplement. Any statement contained in the Prospectus shall be deemed to be modified or superseded to the extent that information in this Prospectus Supplement modifies or supersedes such statement. Any statement that is modified or superseded shall not be deemed to constitute a part of the Prospectus except as modified or superseded by this Prospectus Supplement.</w:t>
      </w:r>
    </w:p>
    <w:p>
      <w:pPr>
        <w:spacing w:after="0" w:line="18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2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including any supplements and amendments thereto.</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7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February 10, 2025, the closing price of our common stock was $2.31.</w:t>
      </w:r>
    </w:p>
    <w:p>
      <w:pPr>
        <w:spacing w:after="0" w:line="158"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You should read the section entitled “Risk Factors” beginning on page 11 of the Prospectus for a discussion of certain risk factors that you should consider before investing in our common stock.</w:t>
      </w:r>
    </w:p>
    <w:p>
      <w:pPr>
        <w:spacing w:after="0" w:line="15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or other regulatory body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February 11,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9, 2025</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194"/>
        </w:trPr>
        <w:tc>
          <w:tcPr>
            <w:tcW w:w="2940" w:type="dxa"/>
            <w:vAlign w:val="bottom"/>
            <w:tcBorders>
              <w:top w:val="single" w:sz="8" w:color="auto"/>
            </w:tcBorders>
          </w:tcPr>
          <w:p>
            <w:pPr>
              <w:jc w:val="center"/>
              <w:ind w:left="59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tcPr>
          <w:p>
            <w:pPr>
              <w:jc w:val="center"/>
              <w:ind w:right="7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2760" w:type="dxa"/>
            <w:vAlign w:val="bottom"/>
          </w:tcPr>
          <w:p>
            <w:pPr>
              <w:spacing w:after="0"/>
              <w:rPr>
                <w:sz w:val="18"/>
                <w:szCs w:val="18"/>
                <w:color w:val="auto"/>
              </w:rPr>
            </w:pPr>
          </w:p>
        </w:tc>
      </w:t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6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2760" w:type="dxa"/>
            <w:vAlign w:val="bottom"/>
          </w:tcPr>
          <w:p>
            <w:pPr>
              <w:spacing w:after="0"/>
              <w:rPr>
                <w:sz w:val="24"/>
                <w:szCs w:val="24"/>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2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9, 2025, Microbot Medical Inc., a Delaware corporation (the “Company”), entered into Securities Purchase Agreements (the “Purchase Agreements”) with investors (the “Investors”), pursuant to which the Company agreed to issue and sell, in a registered direct offering priced at-the-market under the rules of The Nasdaq Stock Market (the “Registered Offering”) an aggregate of 6,103,289 shares (the “Shares”) of the Company’s common stock, par value $0.01 per share (“Common Stock”), at an offering price of $2.13 per share for aggregate gross proceeds from the Offerings (as defined below) of approximately $13.0 million before deducting the placement agent fee (as described in greater detail below) and related offering expenses.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Purchase Agreements contain customary representations and warranties and agreements of the Company and the Investors and customary indemnification rights and obligations of the parties. Pursuant to the terms of each of the Purchase Agreements, the Company has agreed to certain restrictions on the issuance and sale of its Common Stock or Common Stock Equivalents (as defined in the Purchase Agreements) during the 60-day period following the closing of the Registered Offering.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were offered by the Company pursuant to a registration statement on Form S-3 (File No. 333-275634), which was filed with the Securities and Exchange Commission (the “Commission”) on November 17, 2023, amended on November 30, 2023 and was declared effective by the Commission on December 4, 2023 (the “Registration Statement”), a base prospectus dated December 4, 2023, and a prospectus supplement dated February 9, 2025.</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 concurrent private placement (the “Private Placement” and, together with the Registered Offering, the “Offerings”), the Company agreed to issue to the Investors Series I preferred investment options (the “Series I Warrants”) to purchase up to 12,206,578 shares of Common Stock (the “Series I Warrant Shares”) at an exercise price of $2.13 per share. Each Series I Warrant is exercisable on and after the later of (i) the date (the “Authorized Share Increase Date”) on which the amendment to the Company’s articles of incorporation that increases the number of authorized shares of Common Stock to an amount of shares of Common Stock sufficient for the exercise in full of the Series I Warrants is filed and accepted with the State of Delaware (the “Amendment”) and (ii) the date on which approval as may be required by the applicable rules and regulations of the Nasdaq Stock Market (or any successor entity) from the stockholders of the Company with respect to the issuance of all the Series I Warrants and the Series I Warrant Shares upon the exercise thereof, is received and deemed effective under Delaware law (the “Stockholder Approval Date”). Each Series I Warrant will expire two years from the initial exercise date. The Series I Warrants and the Series I Warrant Shares are not being registered under the Securities Act of 1933, as amended (the “Securities Act”), were not offered pursuant to the Registration Statement and were offered pursuant to the exemption provided in Section 4(a)(2) under the Securities Act, and Rule 506(b) promulgated thereunder. The Company has agreed to hold an annual or special meeting of stockholders within 90 days of the closing of the Registered Offering to approve the Amendment and the exercise of the Series I Warrants and issuance of the Series I Warrant Shares underlying the Series I Warrants.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Offerings are expected to close on or about February 11, 2025, subject to the satisfaction of customary closing conditions.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holder (together with its affiliates) may not exercise any portion of the Series I Warrants to the extent that the holder would own more than 4.99% (or, at the purchaser’s option upon issuance, 9.99%) of the Company’s outstanding Common Stock immediately after exercise. However, upon at least 61 days’ prior notice from the holder to the Company, a holder with a 4.99% ownership blocker may increase the amount of ownership of outstanding Common Stock after exercising the holder’s Series I Warrants up to 9.99% of the number of the Company’s Common Stock outstanding immediately after giving effect to the exercise, as such percentage ownership is determined in accordance with the terms of the Series I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both"/>
        <w:spacing w:after="0" w:line="252" w:lineRule="auto"/>
        <w:rPr>
          <w:sz w:val="20"/>
          <w:szCs w:val="20"/>
          <w:color w:val="auto"/>
        </w:rPr>
      </w:pPr>
      <w:r>
        <w:rPr>
          <w:rFonts w:ascii="Times New Roman" w:cs="Times New Roman" w:eastAsia="Times New Roman" w:hAnsi="Times New Roman"/>
          <w:sz w:val="18"/>
          <w:szCs w:val="18"/>
          <w:color w:val="auto"/>
        </w:rPr>
        <w:t>On May 29, 2024, the Company entered into an engagement letter, as amended on January 3, 2025 and on February 9, 2025, in connection with the Offerings (as amended, the “Engagement Letter”), with H.C. Wainwright &amp; Co., LLC (“Wainwright”), pursuant to which Wainwright agreed to serve as the exclusive placement agent for the issuance and sale of securities of the Company pursuant to the Purchase Agreement. As compensation for such placement agent services, the Company has agreed to pay Wainwright an aggregate cash fee equal to 7.0% of the gross proceeds received by the Company from the Offerings, plus a management fee equal to 1.0% of the gross proceeds received by the Company from the Offerings, a non-accountable expense of $25,000, up to $35,000 for its fees and expenses of legal counsel and $15,950 for clearing expenses. The Company has also agreed to issue to Wainwright or its designees warrants to purchase 305,164 shares of Common Stock (the “Wainwright Warrants” and, together with the Series I Warrants, the “Warrants”). The Wainwright Warrants are exercisable on or after the later of (i) the Authorized Share Increase Date and (ii) the Stockholder Approval Date, will expire two years from the initial exercise date (but no later than February 9, 2030), and have an exercise price of $2.6625 per share. Further, pursuant to the Engagement Letter, Wainwright is entitled to compensation with respect to any financing of the Company occurring within six months of the termination of the Engagement Letter when such financing is provided by investors whom Wainwright introduced to the Company during the term of the Engagement Letter.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termination of the Engagement Letter. In addition, upon any exercise for cash of any Series I Warrants issued to investors in the Offering, the Company shall pay Wainwright, within five (5) business days of the Company’s receipt of the exercise price, a cash fee of seven (7.0%) percent of the aggregate gross exercise price paid in cash with respect thereto. Also, upon any exercise for cash of any Series I Warrants issued to investors in the Offering, the Company shall issue to Wainwright (or its designees), within five (5) business days of the Company’s receipt of the exercise price, warrants to purchase that number of shares of Common Stock of the Company equal to five (5.0%) percent of the aggregate number of such shares of Common Stock underlying the preferred investment options that have been so exercised. The Engagement Letter also includes indemnification obligations of the Company and other provisions customary for transactions of this nature.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of the Wainwright Warrants nor the shares of Common Stock issuable upon the exercise of the Wainwright Warrants (the “Wainwright Warrant Shares”) are registered under the Securities Act. The Wainwright Warrants and the Wainwright Warrant Shares were issued in reliance on the exemptions from registration provided by Section 4(a)(2) under the Securities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Common Stock is listed on The Nasdaq Capital Market. There is no established trading market for the Warrants, and the Company does not intend to list the Warrants on any securities exchange or nationally recognized trading system. Without a trading market, the liquidity of the Warrants may be extremely limited.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summaries of the form of Series I Warrant, the form of Wainwright Warrant and the form of Purchase Agreement do not purport to be complete and are subject to, and qualified in their entirety by, such documents attached as Exhibits 4.1, 4.2, and 10.1, respectively, to this Current Report on Form 8-K, which are incorporated herein by reference.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any securities or a solicitation of an offer to buy any securities, nor shall there be any sale of any securities in any state or jurisdiction in which such an offer, solicitation or sale would be unlawful prior to registration or qualification under the securities laws of any such state or jurisdiction.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copy of the opinion of Mintz, Levin, Cohn, Ferris, Glovsky and Popeo, P.C. relating to the legality of the issuance and sale of the Shares is attached as Exhibit 5.1 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1.01 above related to the Warrants, the Series I Warrant Shares and the Wainwright Warrant Shares is incorporated herein by reference into this Item 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10, 2025, the Company issued a press release announcing the Offerings, a copy of which is attached hereto as Exhibit 99.1 and is incorporated by reference into this Item 8.01 of this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39"/>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9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40" w:type="dxa"/>
            <w:vAlign w:val="bottom"/>
            <w:tcBorders>
              <w:top w:val="single" w:sz="8" w:color="auto"/>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Form of Series I Warrant.</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101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Form of Wainwright Warrant.</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7"/>
                <w:szCs w:val="17"/>
                <w:color w:val="auto"/>
              </w:rPr>
            </w:pPr>
          </w:p>
        </w:tc>
        <w:tc>
          <w:tcPr>
            <w:tcW w:w="46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Opinion of Mintz, Levin, Cohn, Ferris, Glovsky and Popeo, P.C.</w:t>
            </w:r>
          </w:p>
        </w:tc>
        <w:tc>
          <w:tcPr>
            <w:tcW w:w="5500" w:type="dxa"/>
            <w:vAlign w:val="bottom"/>
            <w:gridSpan w:val="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95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Securities Purchase Agreement, dated as of February 9, 2025, by and among the Company and the purchasers party thereto.</w:t>
            </w:r>
          </w:p>
        </w:tc>
        <w:tc>
          <w:tcPr>
            <w:tcW w:w="60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7"/>
                <w:szCs w:val="17"/>
                <w:color w:val="auto"/>
              </w:rPr>
            </w:pPr>
          </w:p>
        </w:tc>
        <w:tc>
          <w:tcPr>
            <w:tcW w:w="65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Mintz, Levin, Cohn, Ferris, Glovsky and Popeo, P.C. (included in Exhibit 5.1).</w:t>
            </w:r>
          </w:p>
        </w:tc>
        <w:tc>
          <w:tcPr>
            <w:tcW w:w="3640" w:type="dxa"/>
            <w:vAlign w:val="bottom"/>
            <w:gridSpan w:val="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7"/>
                <w:szCs w:val="17"/>
                <w:color w:val="auto"/>
              </w:rPr>
            </w:pPr>
          </w:p>
        </w:tc>
        <w:tc>
          <w:tcPr>
            <w:tcW w:w="16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Pricing Press Release.</w:t>
            </w:r>
          </w:p>
        </w:tc>
        <w:tc>
          <w:tcPr>
            <w:tcW w:w="8540" w:type="dxa"/>
            <w:vAlign w:val="bottom"/>
            <w:gridSpan w:val="6"/>
          </w:tcPr>
          <w:p>
            <w:pPr>
              <w:spacing w:after="0"/>
              <w:rPr>
                <w:sz w:val="17"/>
                <w:szCs w:val="17"/>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7"/>
          <w:szCs w:val="17"/>
          <w:b w:val="1"/>
          <w:bCs w:val="1"/>
          <w:color w:val="auto"/>
        </w:rPr>
        <w:t>EXHIBIT A-2</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I PREFERRED INVESTMENT OPTION</w:t>
      </w: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Investment Option Shares: ______ Issue Date: February 11, 2025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SERIES I PREFERRED INVESTMENT OPTION (the “</w:t>
      </w:r>
      <w:r>
        <w:rPr>
          <w:rFonts w:ascii="Times New Roman" w:cs="Times New Roman" w:eastAsia="Times New Roman" w:hAnsi="Times New Roman"/>
          <w:sz w:val="18"/>
          <w:szCs w:val="18"/>
          <w:u w:val="single" w:color="auto"/>
          <w:color w:val="auto"/>
        </w:rPr>
        <w:t>Preferred Investment Option</w:t>
      </w:r>
      <w:r>
        <w:rPr>
          <w:rFonts w:ascii="Times New Roman" w:cs="Times New Roman" w:eastAsia="Times New Roman" w:hAnsi="Times New Roman"/>
          <w:sz w:val="18"/>
          <w:szCs w:val="18"/>
          <w:color w:val="auto"/>
        </w:rPr>
        <w:t>”) certifies that, for value received,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any time on or after the later of (i) the Authorized Share Increase Date and (ii) the Stockholder Approval Date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the date that is the two (2) year anniversary of the Initial Exercise Date, provided that, if such date is not a Trading Day, the date that is the immediately following Trading Day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 shares (as subject to adjustment hereunder, the “</w:t>
      </w:r>
      <w:r>
        <w:rPr>
          <w:rFonts w:ascii="Times New Roman" w:cs="Times New Roman" w:eastAsia="Times New Roman" w:hAnsi="Times New Roman"/>
          <w:sz w:val="18"/>
          <w:szCs w:val="18"/>
          <w:u w:val="single" w:color="auto"/>
          <w:color w:val="auto"/>
        </w:rPr>
        <w:t>Preferred Investment Option</w:t>
      </w:r>
    </w:p>
    <w:p>
      <w:pPr>
        <w:spacing w:after="0" w:line="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Common Stock. The purchase price of one share of Common Stock under this Preferred Investment Option shall be equal to the Exercise Price, as defined in Section 2(b).</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February 9, 2025, among the Company and the purchasers signatory thereto.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Preferred Investment Option</w:t>
      </w:r>
      <w:r>
        <w:rPr>
          <w:rFonts w:ascii="Times New Roman" w:cs="Times New Roman" w:eastAsia="Times New Roman" w:hAnsi="Times New Roman"/>
          <w:sz w:val="18"/>
          <w:szCs w:val="18"/>
          <w:color w:val="auto"/>
        </w:rPr>
        <w:t>. Exercise of the purchase rights represented by this Preferred Investment Option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Preferred Investment Option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The Company shall have no obligation to inquire with respect to or otherwise confirm the authenticity of the signature(s) contained on any Notice of Exercise nor the authority of the person so executing such Notice of Exercise. Notwithstanding anything herein to the contrary, the Holder shall not be required to physically surrender this Preferred Investment Option to the Company until the Holder has purchased all of the Preferred Investment Option Shares available hereunder and the Preferred Investment Option has been exercised in full, in which case, the Holder shall surrender this Preferred Investment Option to the Company for cancellation as soon as reasonably practicable of the date on which the final Notice of Exercise is delivered to the Company. Partial exercises of this Preferred Investment Option resulting in purchases of a portion of the total number of Preferred Investment Option Shares available hereunder shall have the effect of lowering the outstanding number of Preferred Investment Option Shares purchasable hereunder in an amount equal to the applicable number of Preferred Investment Option Shares purchased. The Holder and the Company shall maintain records showing the number of Preferred Investment Option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any assignee, by acceptance of this Preferred Investment Option, acknowledge and agree that, by reason of the provisions of this paragraph, following the purchase of a portion of the Preferred Investment Option Shares hereunder, the number of Preferred Investment Option Shares available for purchase hereunder at any given time may be less than the amount stated on the face hereof.</w:t>
      </w:r>
    </w:p>
    <w:p>
      <w:pPr>
        <w:spacing w:after="0" w:line="183" w:lineRule="exact"/>
        <w:rPr>
          <w:rFonts w:ascii="Times New Roman" w:cs="Times New Roman" w:eastAsia="Times New Roman" w:hAnsi="Times New Roman"/>
          <w:sz w:val="18"/>
          <w:szCs w:val="18"/>
          <w:color w:val="auto"/>
        </w:rPr>
      </w:pPr>
    </w:p>
    <w:p>
      <w:pPr>
        <w:ind w:right="20" w:firstLine="644"/>
        <w:spacing w:after="0" w:line="286" w:lineRule="auto"/>
        <w:tabs>
          <w:tab w:leader="none" w:pos="85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Common Stock under this Preferred Investment Option shall be </w:t>
      </w:r>
      <w:r>
        <w:rPr>
          <w:rFonts w:ascii="Times New Roman" w:cs="Times New Roman" w:eastAsia="Times New Roman" w:hAnsi="Times New Roman"/>
          <w:sz w:val="18"/>
          <w:szCs w:val="18"/>
          <w:b w:val="1"/>
          <w:bCs w:val="1"/>
          <w:color w:val="auto"/>
        </w:rPr>
        <w:t>$2.13</w:t>
      </w:r>
      <w:r>
        <w:rPr>
          <w:rFonts w:ascii="Times New Roman" w:cs="Times New Roman" w:eastAsia="Times New Roman" w:hAnsi="Times New Roman"/>
          <w:sz w:val="18"/>
          <w:szCs w:val="18"/>
          <w:color w:val="auto"/>
        </w:rPr>
        <w:t>,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Preferred Investment Option Shares by the Holder, then this Preferred Investment Option may also be exercised, in whole or in part, at such time by means of a “cashless exercise” in which the Holder shall be entitled to receive a number of Preferred Investment Option Shares equal to the quotient obtained by dividing [(A-B) (X)] by (A), where:</w:t>
      </w:r>
    </w:p>
    <w:p>
      <w:pPr>
        <w:spacing w:after="0" w:line="18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8" w:name="page9"/>
    <w:bookmarkEnd w:id="8"/>
    <w:p>
      <w:pPr>
        <w:jc w:val="right"/>
        <w:ind w:left="1300" w:hanging="656"/>
        <w:spacing w:after="0" w:line="269" w:lineRule="auto"/>
        <w:tabs>
          <w:tab w:leader="none" w:pos="97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w:t>
      </w:r>
    </w:p>
    <w:p>
      <w:pPr>
        <w:spacing w:after="0" w:line="2" w:lineRule="exact"/>
        <w:rPr>
          <w:rFonts w:ascii="Times New Roman" w:cs="Times New Roman" w:eastAsia="Times New Roman" w:hAnsi="Times New Roman"/>
          <w:sz w:val="17"/>
          <w:szCs w:val="17"/>
          <w:color w:val="auto"/>
        </w:rPr>
      </w:pPr>
    </w:p>
    <w:p>
      <w:pPr>
        <w:jc w:val="both"/>
        <w:ind w:left="1300" w:hanging="8"/>
        <w:spacing w:after="0" w:line="252" w:lineRule="auto"/>
        <w:tabs>
          <w:tab w:leader="none" w:pos="154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9"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Preferred Investment Option, as adjusted hereunder; and</w:t>
      </w:r>
    </w:p>
    <w:p>
      <w:pPr>
        <w:spacing w:after="0" w:line="225" w:lineRule="exact"/>
        <w:rPr>
          <w:sz w:val="20"/>
          <w:szCs w:val="20"/>
          <w:color w:val="auto"/>
        </w:rPr>
      </w:pPr>
    </w:p>
    <w:p>
      <w:pPr>
        <w:ind w:left="1300" w:hanging="656"/>
        <w:spacing w:after="0" w:line="266" w:lineRule="auto"/>
        <w:tabs>
          <w:tab w:leader="none" w:pos="9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Preferred Investment Option Shares that would be issuable upon exercise of this Preferred Investment Option in accordance with the terms of this Preferred Investment Option if such exercise were by means of a cash exercise rather than a cashless exercise.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9" w:name="page10"/>
    <w:bookmarkEnd w:id="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Preferred Investment Option Shares are issued in such a cashless exercise, the parties acknowledge and agree that in accordance with Section 3(a)(9) of the Securities Act, the Preferred Investment Option Shares shall take on the characteristics of the Preferred Investment Options being exercised, and the holding period of the Preferred Investment Option Shares being issued may be tacked on to the holding period of this Preferred Investment Option. The Company agrees not to take any position contrary to this Section 2(c).</w:t>
      </w:r>
    </w:p>
    <w:p>
      <w:pPr>
        <w:spacing w:after="0" w:line="180" w:lineRule="exact"/>
        <w:rPr>
          <w:sz w:val="20"/>
          <w:szCs w:val="20"/>
          <w:color w:val="auto"/>
        </w:rPr>
      </w:pPr>
    </w:p>
    <w:p>
      <w:pPr>
        <w:ind w:left="840" w:hanging="196"/>
        <w:spacing w:after="0"/>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170"/>
        <w:spacing w:after="0" w:line="251" w:lineRule="auto"/>
        <w:tabs>
          <w:tab w:leader="none" w:pos="130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Preferred Investment Option Shares Upon Exercise</w:t>
      </w:r>
      <w:r>
        <w:rPr>
          <w:rFonts w:ascii="Times New Roman" w:cs="Times New Roman" w:eastAsia="Times New Roman" w:hAnsi="Times New Roman"/>
          <w:sz w:val="18"/>
          <w:szCs w:val="18"/>
          <w:color w:val="auto"/>
        </w:rPr>
        <w:t>. The Company shall cause the Preferred Investment Option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Preferred Investment Option Shares to or resale of the Preferred Investment Option Shares by the Holder or (B) the Preferred Investment Option Shares are eligible for resale by the Holder without volume or manner-of-sale limitations pursuant to Rule 144 (assuming cashless exercise of the Preferred Investment Options), and otherwise by physical delivery of a certificate, registered in the Company’s share register in the name of the Holder or its designee, for the number of Preferred Investment Option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Preferred Investment Option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Preferred Investment Option Shares with respect to which this Preferred Investment Option has been exercised, irrespective of the date of delivery of the Preferred Investment Option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Preferred Investment Option Shares subject to a Notice of Exercise by the Preferred Investment Option Share Delivery Date, the Company shall pay to the Holder, in cash, as liquidated damages and not as a penalty, for each $1,000 of Preferred Investment Option Shares subject to such exercise (based on the VWAP of the Common Stock on the date of the applicable Notice of Exercise), $10 per Trading Day (increasing to $20 per Trading Day on the third Trading Day after the Preferred Investment Option Share Delivery Date) for each Trading Day after such Preferred Investment Option Share Delivery Date until such Preferred Investment Option Shares are delivered or Holder rescinds such exercise. The Company agrees to maintain a transfer agent that is a participant in the FAST program so long as this Preferred Investment Option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0" w:name="page11"/>
    <w:bookmarkEnd w:id="10"/>
    <w:p>
      <w:pPr>
        <w:jc w:val="both"/>
        <w:ind w:left="840" w:firstLine="640"/>
        <w:spacing w:after="0" w:line="256" w:lineRule="auto"/>
        <w:tabs>
          <w:tab w:leader="none" w:pos="16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Preferred Investment Options Upon Exercise</w:t>
      </w:r>
      <w:r>
        <w:rPr>
          <w:rFonts w:ascii="Times New Roman" w:cs="Times New Roman" w:eastAsia="Times New Roman" w:hAnsi="Times New Roman"/>
          <w:sz w:val="18"/>
          <w:szCs w:val="18"/>
          <w:color w:val="auto"/>
        </w:rPr>
        <w:t>. If this Preferred Investment Option shall have been exercised in part, the Company shall, at the request of a Holder and upon surrender of this Preferred Investment Option certificate, at the time of delivery of the Preferred Investment Option Shares, deliver to the Holder a new Preferred Investment Option evidencing the rights of the Holder to purchase the unpurchased Preferred Investment Option Shares called for by this Preferred Investment Option, which new Preferred Investment Option shall in all other respects be identical with this Preferred Investment Option.</w:t>
      </w:r>
    </w:p>
    <w:p>
      <w:pPr>
        <w:spacing w:after="0" w:line="187"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17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Preferred Investment Option Shares pursuant to Section 2(d)(i) by the Preferred Investment Option Share Delivery Date, then the Holder will have the right to rescind such exercise.</w:t>
      </w:r>
    </w:p>
    <w:p>
      <w:pPr>
        <w:spacing w:after="0" w:line="17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1" w:name="page12"/>
    <w:bookmarkEnd w:id="11"/>
    <w:p>
      <w:pPr>
        <w:jc w:val="both"/>
        <w:ind w:left="840" w:firstLine="640"/>
        <w:spacing w:after="0" w:line="253" w:lineRule="auto"/>
        <w:tabs>
          <w:tab w:leader="none" w:pos="173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Preferred Investment Option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Preferred Investment Option Shares in accordance with the provisions of Section 2(d)(i) above pursuant to an exercise on or before the Preferred Investment Option Share Delivery Date, and if after such date the Holder is required by its broker to purchase (in an open market transaction or otherwise) or the Holder’s brokerage firm otherwise purchases, shares of Common Stock to deliver in satisfaction of a sale by the Holder of the Preferred Investment Option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w:t>
      </w:r>
    </w:p>
    <w:p>
      <w:pPr>
        <w:spacing w:after="0" w:line="2" w:lineRule="exact"/>
        <w:rPr>
          <w:rFonts w:ascii="Times New Roman" w:cs="Times New Roman" w:eastAsia="Times New Roman" w:hAnsi="Times New Roman"/>
          <w:sz w:val="18"/>
          <w:szCs w:val="18"/>
          <w:color w:val="auto"/>
        </w:rPr>
      </w:pPr>
    </w:p>
    <w:p>
      <w:pPr>
        <w:jc w:val="both"/>
        <w:ind w:left="840" w:hanging="8"/>
        <w:spacing w:after="0" w:line="251" w:lineRule="auto"/>
        <w:tabs>
          <w:tab w:leader="none" w:pos="11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total purchase price (including reasonable and customary brokerage commissions, if any) for the shares of Common Stock so purchased exceeds (y) the amount obtained by multiplying (1) the number of Preferred Investment Option Shares that the Company was required to deliver to the Holder in connection with the exercise at issue times (2) the price at which the sell order giving rise to such purchase obligation was executed, and (B) at the option of the Holder, either reinstate the portion of the Preferred Investment Option and equivalent number of Preferred Investment Option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Preferred Investment Option as required pursuant to the terms hereof.</w:t>
      </w:r>
    </w:p>
    <w:p>
      <w:pPr>
        <w:spacing w:after="0" w:line="190"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7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Preferred Investment Option.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3" w:lineRule="auto"/>
        <w:tabs>
          <w:tab w:leader="none" w:pos="171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Preferred Investment Option Shares shall be made without charge to the Holder for any issue or transfer tax or other incidental expense in respect of the issuance of such Preferred Investment Option Shares, all of which taxes and expenses shall be paid by the Company, and such Preferred Investment Option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Preferred Investment Option Shares are to be issued in a name other than the name of the Holder, this Preferred Investment Option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Preferred Investment Option Shares.</w:t>
      </w:r>
    </w:p>
    <w:p>
      <w:pPr>
        <w:spacing w:after="0" w:line="19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2" w:name="page13"/>
    <w:bookmarkEnd w:id="12"/>
    <w:p>
      <w:pPr>
        <w:ind w:left="1300" w:firstLine="640"/>
        <w:spacing w:after="0" w:line="282" w:lineRule="auto"/>
        <w:tabs>
          <w:tab w:leader="none" w:pos="222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Preferred Investment Option, pursuant to the terms hereof.</w:t>
      </w:r>
    </w:p>
    <w:p>
      <w:pPr>
        <w:spacing w:after="0" w:line="161" w:lineRule="exact"/>
        <w:rPr>
          <w:rFonts w:ascii="Times New Roman" w:cs="Times New Roman" w:eastAsia="Times New Roman" w:hAnsi="Times New Roman"/>
          <w:sz w:val="18"/>
          <w:szCs w:val="18"/>
          <w:color w:val="auto"/>
        </w:rPr>
      </w:pPr>
    </w:p>
    <w:p>
      <w:pPr>
        <w:jc w:val="both"/>
        <w:ind w:firstLine="644"/>
        <w:spacing w:after="0" w:line="266" w:lineRule="auto"/>
        <w:tabs>
          <w:tab w:leader="none" w:pos="833"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The Company shall not effect any exercise of this Preferred Investment Option, and a Holder shall not have the right to exercise any portion of this Preferred Investment Option,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Preferred Investment Option with respect to which such determination is being made, but shall exclude the number of shares of Common Stock which would be issuable upon (i) exercise of the remaining, nonexercised portion of this Preferred Investment Option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Preferred Investment Option is exercisable (in relation to other securities owned by the Holder together with any Affiliates and Attribution Parties) and of which portion of this Preferred Investment Option is exercisable shall be in the sole discretion of the Holder, and the submission of a Notice of Exercise shall be deemed to be the Holder’s determination of whether this Preferred Investment Option is exercisable (in relation to other securities owned by the Holder together with any Affiliates and Attribution Parties) and of which portion of this Preferred Investment Option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Preferred Investment Option, by the Holder or its Affiliates or Attribution Parties since the date as of which such number of outstanding shares of Common Stock was reported. The “</w:t>
      </w: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shall be [4.99%] [9.99%] of the number of shares of the Common Stock outstanding immediately after giving effect to the issuance of shares of Common Stock issuable upon exercise of this Preferred Investment Option.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Preferred Investment Option held by the Holder and the provisions</w:t>
      </w:r>
    </w:p>
    <w:p>
      <w:pPr>
        <w:spacing w:after="0" w:line="21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of this Section 2(e) shall continue to apply. Any 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Preferred Investment Option.</w:t>
      </w:r>
    </w:p>
    <w:p>
      <w:pPr>
        <w:spacing w:after="0" w:line="2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Preferred Investment Option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Preferred Investment Option),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Preferred Investment Option shall be proportionately adjusted such that the aggregate Exercise Price of this Preferred Investment Option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7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that this Preferred Investment Option is outstanding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Preferred Investment Option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3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Preferred Investment Option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Preferred Investment Option, then, in each such case, the Holder shall be entitled to participate in such Distribution to the same extent that the Holder would have participated therein if the Holder had held the number of shares of Common Stock acquirable upon complete exercise of this Preferred Investment Option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4" w:name="page15"/>
    <w:bookmarkEnd w:id="14"/>
    <w:p>
      <w:pPr>
        <w:jc w:val="both"/>
        <w:ind w:left="4" w:firstLine="644"/>
        <w:spacing w:after="0" w:line="266" w:lineRule="auto"/>
        <w:tabs>
          <w:tab w:leader="none" w:pos="847"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Preferred Investment Option is outstanding, (i) the Company, directly or indirectly, in one or more related transactions effects any merger or consolidation of the Company with or into another Person (other than solely for the purpose of changing the Company’s name and/or the jurisdiction of incorporation of the Company or a holding company for the Company),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Common Stock or more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or more than 50% of the voting power of the common equity of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Preferred Investment Option, the Holder shall have the right to receive, for each Preferred Investment Option Share that would have been issuable upon such exercise immediately prior to the occurrence of such Fundamental Transaction, at the option of the Holder (without regard to any limitation in Section 2(e) on the exercise of this Preferred Investment Option),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receivable as a result of such Fundamental Transaction by a holder of the number of shares of Common Stock for which this Preferred Investment Option is exercisable immediately prior to such Fundamental Transaction (without regard to any limitation in Section 2(e) on the exercise of this Preferred Investment Option).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Preferred Investment Option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Preferred Investment Option from the Holder by paying to the Holder an amount of cash equal to the Black Scholes Value (as defined below) of the remaining unexercised portion of this Preferred Investment Option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Preferred Investment Option,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cs="Times New Roman" w:eastAsia="Times New Roman" w:hAnsi="Times New Roman"/>
          <w:sz w:val="17"/>
          <w:szCs w:val="17"/>
          <w:u w:val="single" w:color="auto"/>
          <w:color w:val="auto"/>
        </w:rPr>
        <w:t>Black Scholes Value</w:t>
      </w:r>
      <w:r>
        <w:rPr>
          <w:rFonts w:ascii="Times New Roman" w:cs="Times New Roman" w:eastAsia="Times New Roman" w:hAnsi="Times New Roman"/>
          <w:sz w:val="17"/>
          <w:szCs w:val="17"/>
          <w:color w:val="auto"/>
        </w:rPr>
        <w:t>” means the value of this Preferred Investment Option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volatility for the remaining exercise period as obtained from the HVT function on Bloomberg (determined utilizing a 365 day annualization factor) as of the Trading Day immediately following the public announcement of the applicable Fundamental Transaction, (C) the underlying price per share used in such calculation shall be the share price on the day of completion of the transaction (D) a remaining option time equal to the time between the date of the public announcement of the applicable Fundamental Transaction and the Termination Date. The payment of the Black Scholes Value will be made by wire transfer of immediately available funds (or such other consideration) within the later of</w:t>
      </w:r>
    </w:p>
    <w:p>
      <w:pPr>
        <w:spacing w:after="0" w:line="200" w:lineRule="exact"/>
        <w:rPr>
          <w:rFonts w:ascii="Times New Roman" w:cs="Times New Roman" w:eastAsia="Times New Roman" w:hAnsi="Times New Roman"/>
          <w:sz w:val="17"/>
          <w:szCs w:val="17"/>
          <w:color w:val="auto"/>
        </w:rPr>
      </w:pPr>
    </w:p>
    <w:p>
      <w:pPr>
        <w:spacing w:after="0" w:line="220" w:lineRule="exact"/>
        <w:rPr>
          <w:rFonts w:ascii="Times New Roman" w:cs="Times New Roman" w:eastAsia="Times New Roman" w:hAnsi="Times New Roman"/>
          <w:sz w:val="17"/>
          <w:szCs w:val="17"/>
          <w:color w:val="auto"/>
        </w:rPr>
      </w:pPr>
    </w:p>
    <w:p>
      <w:pPr>
        <w:jc w:val="both"/>
        <w:ind w:left="4" w:hanging="4"/>
        <w:spacing w:after="0" w:line="251" w:lineRule="auto"/>
        <w:tabs>
          <w:tab w:leader="none" w:pos="22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Preferred Investment Option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Preferred Investment Option a security of the Successor Entity evidenced by a written instrument substantially similar in form and substance to this Preferred Investment Option which is exercisable for a corresponding number of shares of capital stock of such Successor Entity (or its parent entity) equivalent to the shares of Common Stock acquirable and receivable upon exercise of this Preferred Investment Option (without regard to any limitations on the exercise of this Preferred Investment Option)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Preferred Investment Option immediately prior to the consummation of such Fundamental Transaction), and which is reasonably satisfactory in form and substance to the Holder. Upon the occurrence of any such Fundamental Transaction, the Successor Entity shall be added to the term “Company” under this Preferred Investment Option (so that from and after the occurrence or consummation of such Fundamental Transaction, each and every provision of this Preferred Investment Option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Preferred Investment Option and the other Transaction Documents with the same effect as if the Company and such Successor Entity or Successor Entities, jointly and severally, had been named as the Company herein.</w:t>
      </w:r>
    </w:p>
    <w:p>
      <w:pPr>
        <w:spacing w:after="0" w:line="18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690" w:gutter="0" w:footer="0" w:header="0"/>
        </w:sectPr>
      </w:pPr>
    </w:p>
    <w:bookmarkStart w:id="15" w:name="page16"/>
    <w:bookmarkEnd w:id="15"/>
    <w:p>
      <w:pPr>
        <w:jc w:val="both"/>
        <w:ind w:firstLine="644"/>
        <w:spacing w:after="0" w:line="266" w:lineRule="auto"/>
        <w:tabs>
          <w:tab w:leader="none" w:pos="83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800" w:hanging="156"/>
        <w:spacing w:after="0"/>
        <w:tabs>
          <w:tab w:leader="none" w:pos="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40"/>
        <w:spacing w:after="0" w:line="261" w:lineRule="auto"/>
        <w:tabs>
          <w:tab w:leader="none" w:pos="208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Preferred Investment Option Shares and setting forth a brief statement of the facts requiring such adjustment.</w:t>
      </w:r>
    </w:p>
    <w:p>
      <w:pPr>
        <w:spacing w:after="0" w:line="179" w:lineRule="exact"/>
        <w:rPr>
          <w:rFonts w:ascii="Times New Roman" w:cs="Times New Roman" w:eastAsia="Times New Roman" w:hAnsi="Times New Roman"/>
          <w:sz w:val="18"/>
          <w:szCs w:val="18"/>
          <w:color w:val="auto"/>
        </w:rPr>
      </w:pPr>
    </w:p>
    <w:p>
      <w:pPr>
        <w:jc w:val="both"/>
        <w:ind w:left="1300" w:firstLine="640"/>
        <w:spacing w:after="0" w:line="252" w:lineRule="auto"/>
        <w:tabs>
          <w:tab w:leader="none" w:pos="216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Preferred Investment Option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agrees to maintain any information disclosed pursuant to this </w:t>
      </w:r>
      <w:r>
        <w:rPr>
          <w:rFonts w:ascii="Times New Roman" w:cs="Times New Roman" w:eastAsia="Times New Roman" w:hAnsi="Times New Roman"/>
          <w:sz w:val="18"/>
          <w:szCs w:val="18"/>
          <w:u w:val="single" w:color="auto"/>
          <w:color w:val="auto"/>
        </w:rPr>
        <w:t>Section 3(f)(ii)</w:t>
      </w:r>
      <w:r>
        <w:rPr>
          <w:rFonts w:ascii="Times New Roman" w:cs="Times New Roman" w:eastAsia="Times New Roman" w:hAnsi="Times New Roman"/>
          <w:sz w:val="18"/>
          <w:szCs w:val="18"/>
          <w:color w:val="auto"/>
        </w:rPr>
        <w:t xml:space="preserve"> in confidence until such information is publicly available, and shall comply with applicable law with respect to trading in the Company’s securities following receipt any such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Preferred Investment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3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Preferred Investment Option and all rights hereunder (including, without limitation, any registration rights) are transferable, in whole or in part, upon surrender of this Preferred Investment Option at the principal office of the Company or its designated agent, together with a written assignment of this Preferred Investment Option substantially in the form attached hereto duly executed by the Holder or its agent or attorney and funds sufficient to pay any transfer taxes payable upon the making of such transfer. Upon such surrender and, if required, such payment, the Company shall execute and deliver a new Preferred Investment Option or Preferred Investment Options in the name of the assignee or assignees, as applicable, and in the denomination or denominations specified in such instrument of assignment, and shall issue to the assignor a new Preferred Investment Option evidencing the portion of this Preferred Investment Option not so assigned, and this Preferred Investment Option shall promptly be cancelled. Notwithstanding anything herein to the contrary, the Holder shall not be required to physically surrender this Preferred Investment Option to the Company unless the Holder has assigned this Preferred Investment Option in full, in which case, the Holder shall surrender this Preferred Investment Option to the Company within three (3) Trading Days of the date on which the Holder delivers an assignment form to the Company assigning this Preferred Investment Option in full. The Preferred Investment Option, if properly assigned in accordance herewith, may be exercised by a new holder for the purchase of Preferred Investment Option Shares without having a new Preferred Investment Option issued.</w:t>
      </w:r>
    </w:p>
    <w:p>
      <w:pPr>
        <w:spacing w:after="0" w:line="19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6" w:name="page17"/>
    <w:bookmarkEnd w:id="16"/>
    <w:p>
      <w:pPr>
        <w:jc w:val="both"/>
        <w:ind w:firstLine="644"/>
        <w:spacing w:after="0" w:line="254" w:lineRule="auto"/>
        <w:tabs>
          <w:tab w:leader="none" w:pos="8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Preferred Investment Options</w:t>
      </w:r>
      <w:r>
        <w:rPr>
          <w:rFonts w:ascii="Times New Roman" w:cs="Times New Roman" w:eastAsia="Times New Roman" w:hAnsi="Times New Roman"/>
          <w:sz w:val="18"/>
          <w:szCs w:val="18"/>
          <w:color w:val="auto"/>
        </w:rPr>
        <w:t>. This Preferred Investment Option may be divided or combined with other Preferred Investment Options upon presentation hereof at the aforesaid office of the Company, together with a written notice specifying the names and denominations in which new Preferred Investment Options are to be issued, signed by the Holder or its agent or attorney. Subject to compliance with Section 4(a), as to any transfer which may be involved in such division or combination, the Company shall execute and deliver a new Preferred Investment Option or Preferred Investment Options in exchange for the Preferred Investment Option or Preferred Investment Options to be divided or combined in accordance with such notice. All Preferred Investment Options issued on transfers or exchanges shall be dated the Issue Date of this Preferred Investment Option and shall be identical with this Preferred Investment Option except as to the number of Preferred Investment Option Shares issuable pursuant thereto.</w:t>
      </w:r>
    </w:p>
    <w:p>
      <w:pPr>
        <w:spacing w:after="0" w:line="191"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The Company shall register this Preferred Investment Option, upon records to be maintained by the Company for that purpose (the “</w:t>
      </w: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Preferred Investment Option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firstLine="644"/>
        <w:spacing w:after="0" w:line="256" w:lineRule="auto"/>
        <w:tabs>
          <w:tab w:leader="none" w:pos="8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Preferred Investment Option in connection with any transfer of this Preferred Investment Option, the transfer of this Preferred Investment Option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Preferred Investment Option, as the case may be, comply with the provisions of Section 5.7 of the Purchase Agreement.</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Preferred Investment Option and, upon any exercise hereof, will acquire the Preferred Investment Option Shares issuable upon such exercise, for its own account and not with a view to or for distributing or reselling such Preferred Investment Option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8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Preferred Investment Option does not entitle the Holder to any voting rights, dividends or other rights as a stockholder of the Company prior to the exercise hereof as set forth in Section 2(d)(i), except as expressly set forth in Section 3. Without limiting any rights of a Holder to receive Preferred Investment Option Shares on a “cashless exercise” pursuant to Section 2(c) or to receive cash payments pursuant to Section 2(d)(i) and Section 2(d)(iv) herein, in no event shall the Company be required to net cash settle an exercise of this Preferred Investment Option.</w:t>
      </w:r>
    </w:p>
    <w:p>
      <w:pPr>
        <w:spacing w:after="0" w:line="18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7" w:name="page18"/>
    <w:bookmarkEnd w:id="17"/>
    <w:p>
      <w:pPr>
        <w:jc w:val="both"/>
        <w:ind w:left="-460" w:firstLine="644"/>
        <w:spacing w:after="0" w:line="256" w:lineRule="auto"/>
        <w:tabs>
          <w:tab w:leader="none" w:pos="38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Preferred Investment Option</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Preferred Investment Option or any stock certificate relating to the Preferred Investment Option Shares, and in case of loss, theft or destruction, of indemnity or security reasonably satisfactory to it (which, in the case of the Preferred Investment Option, shall not include the posting of any bond), and upon surrender and cancellation of such Preferred Investment Option or stock certificate, if mutilated, the Company will make and deliver a new Preferred Investment Option or stock certificate of like tenor and dated as of such cancellation, in lieu of such Preferred Investment Option or stock certificate.</w:t>
      </w:r>
    </w:p>
    <w:p>
      <w:pPr>
        <w:spacing w:after="0" w:line="187"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7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380" w:hanging="196"/>
        <w:spacing w:after="0"/>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8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Preferred Investment Option is outstanding, it will reserve from its authorized and unissued Common Stock a sufficient number of shares to provide for the issuance of the Preferred Investment Option Shares upon the exercise of any purchase rights under this Preferred Investment Option. The Company further covenants that its issuance of this Preferred Investment Option shall constitute full authority to its officers who are charged with the duty of issuing the necessary Preferred Investment Option Shares upon the exercise of the purchase rights under this Preferred Investment Option. The Company will take all such reasonable action as may be necessary to assure that such Preferred Investment Option Shares may be issued as provided herein without violation of any applicable law or regulation, or of any requirements of the Trading Market upon which the Common Stock may be listed. The Company covenants that all Preferred Investment Option Shares which may be issued upon the exercise of the purchase rights represented by this Preferred Investment Option will, upon exercise of the purchase rights represented by this Preferred Investment Option and payment for such Preferred Investment Option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8" w:name="page19"/>
    <w:bookmarkEnd w:id="18"/>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Preferred Investment Option, but will at all times in good faith assist in the carrying out of all such terms and in the taking of all such actions as may be necessary or appropriate to protect the rights of Holder as set forth in this Preferred Investment Option against impairment. Without limiting the generality of the foregoing, the Company will (i) not increase the par value of any Preferred Investment Option Shares above the amount payable therefor upon such exercise immediately prior to such increase in par value, (ii) take all such action as may be necessary or appropriate in order that the Company may validly and legally issue fully paid and nonassessable Preferred Investment Option Shares upon the exercise of this Preferred Investment Option and (iii) use commercially reasonable efforts to obtain all such authorizations, exemptions or consents from any public regulatory body having jurisdiction thereof, as may be, necessary to enable the Company to perform its obligations under this Preferred Investment Option.</w:t>
      </w:r>
    </w:p>
    <w:p>
      <w:pPr>
        <w:spacing w:after="0" w:line="192"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Preferred Investment Option Shares for which this Preferred Investment Option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60" w:firstLine="644"/>
        <w:spacing w:after="0" w:line="282" w:lineRule="auto"/>
        <w:tabs>
          <w:tab w:leader="none" w:pos="38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Preferred Investment Option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Preferred Investment Option Shares acquired upon the exercise of this Preferred Investment Option, if not registered, and the Holder does not utilize cashless exercise, will have restrictions upon resale imposed by state and federal securities laws.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3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Preferred Investment Option or the Purchase Agreement, if the Company willfully and knowingly fails to comply with any provision of this Preferred Investment Option,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left="-460" w:firstLine="644"/>
        <w:spacing w:after="0" w:line="282" w:lineRule="auto"/>
        <w:tabs>
          <w:tab w:leader="none" w:pos="38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8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Preferred Investment Option to purchase Preferred Investment Option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9" w:name="page20"/>
    <w:bookmarkEnd w:id="19"/>
    <w:p>
      <w:pPr>
        <w:jc w:val="both"/>
        <w:ind w:firstLine="644"/>
        <w:spacing w:after="0" w:line="261" w:lineRule="auto"/>
        <w:tabs>
          <w:tab w:leader="none" w:pos="8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Preferred Investment Option. The Company agrees that monetary damages would not be adequate compensation for any loss incurred by reason of a breach by it of the provisions of this Preferred Investment Option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Preferred Investment Option and the rights and obligations evidenced hereby shall inure to the benefit of and be binding upon the successors and permitted assigns of the Company and the successors and permitted assigns of Holder. The provisions of this Preferred Investment Option are intended to be for the benefit of any Holder from time to time of this Preferred Investment Option and shall be enforceable by the Holder or holder of Preferred Investment Option Shares.</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0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Preferred Investment Option may be modified or amended or the provisions hereof waived with the written consent of the Company and the Holder.</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90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Preferred Investment Option shall be interpreted in such manner as to be effective and valid under applicable law, but if any provision of this Preferred Investment Option shall be prohibited by or invalid under applicable law, such provision shall be ineffective to the extent of such prohibition or invalidity, without invalidating the remainder of such provisions or the remaining provisions of this Preferred Investment Option.</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5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Preferred Investment Option are for the convenience of reference only and shall not, for any purpose, be deemed a part of this Preferred Investment Option.</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84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Electronically scanned and transmitted signatures, including by email attachment, shall be deemed originals for all purposes of this Warrant.</w:t>
      </w:r>
    </w:p>
    <w:p>
      <w:pPr>
        <w:spacing w:after="0" w:line="1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0" w:name="page21"/>
    <w:bookmarkEnd w:id="20"/>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Preferred Investment Option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jc w:val="both"/>
        <w:ind w:firstLine="1304"/>
        <w:spacing w:after="0" w:line="266" w:lineRule="auto"/>
        <w:tabs>
          <w:tab w:leader="none" w:pos="15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Preferred Investment Option Shares of the Company pursuant to the terms of the attached Preferred Investment Option (only if exercised in full), and tenders herewith payment of the exercise price in full, together with all applicable transfer taxes, if any.</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225" w:lineRule="exact"/>
        <w:rPr>
          <w:sz w:val="20"/>
          <w:szCs w:val="20"/>
          <w:color w:val="auto"/>
        </w:rPr>
      </w:pPr>
    </w:p>
    <w:p>
      <w:pPr>
        <w:jc w:val="both"/>
        <w:ind w:left="1960"/>
        <w:spacing w:after="0" w:line="266" w:lineRule="auto"/>
        <w:rPr>
          <w:sz w:val="20"/>
          <w:szCs w:val="20"/>
          <w:color w:val="auto"/>
        </w:rPr>
      </w:pPr>
      <w:r>
        <w:rPr>
          <w:rFonts w:ascii="Times New Roman" w:cs="Times New Roman" w:eastAsia="Times New Roman" w:hAnsi="Times New Roman"/>
          <w:sz w:val="18"/>
          <w:szCs w:val="18"/>
          <w:color w:val="auto"/>
        </w:rPr>
        <w:t>[ ] if permitted the cancellation of such number of Preferred Investment Option Shares as is necessary, in accordance with the formula set forth in subsection 2(c), to exercise this Preferred Investment Option with respect to the maximum number of Preferred Investment Option Shares purchasable pursuant to the cashless exercise procedure set forth in subsection 2(c).</w:t>
      </w:r>
    </w:p>
    <w:p>
      <w:pPr>
        <w:spacing w:after="0" w:line="175" w:lineRule="exact"/>
        <w:rPr>
          <w:sz w:val="20"/>
          <w:szCs w:val="20"/>
          <w:color w:val="auto"/>
        </w:rPr>
      </w:pPr>
    </w:p>
    <w:p>
      <w:pPr>
        <w:ind w:left="1560" w:hanging="256"/>
        <w:spacing w:after="0"/>
        <w:tabs>
          <w:tab w:leader="none" w:pos="1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Preferred Investment Option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Preferred Investment Option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firstLine="189"/>
        <w:spacing w:after="0" w:line="284" w:lineRule="auto"/>
        <w:rPr>
          <w:sz w:val="20"/>
          <w:szCs w:val="20"/>
          <w:color w:val="auto"/>
        </w:rPr>
      </w:pPr>
      <w:r>
        <w:rPr>
          <w:rFonts w:ascii="Times New Roman" w:cs="Times New Roman" w:eastAsia="Times New Roman" w:hAnsi="Times New Roman"/>
          <w:sz w:val="18"/>
          <w:szCs w:val="18"/>
          <w:i w:val="1"/>
          <w:iCs w:val="1"/>
          <w:color w:val="auto"/>
        </w:rPr>
        <w:t>(To assign the foregoing Preferred Investment Option, execute this form and supply required information. Do not use this form to exercise the Preferred Investment Option to purchase shares.)</w:t>
      </w:r>
    </w:p>
    <w:p>
      <w:pPr>
        <w:spacing w:after="0" w:line="1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VALUE RECEIVED, the foregoing Preferred Investment Option and all rights evidenced thereby are hereby assigned to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______________________________________</w:t>
            </w:r>
          </w:p>
        </w:tc>
      </w:tr>
      <w:tr>
        <w:trPr>
          <w:trHeight w:val="216"/>
        </w:trPr>
        <w:tc>
          <w:tcPr>
            <w:tcW w:w="4900" w:type="dxa"/>
            <w:vAlign w:val="bottom"/>
          </w:tcPr>
          <w:p>
            <w:pPr>
              <w:spacing w:after="0"/>
              <w:rPr>
                <w:sz w:val="18"/>
                <w:szCs w:val="18"/>
                <w:color w:val="auto"/>
              </w:rPr>
            </w:pPr>
          </w:p>
        </w:tc>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(Please Print)</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______________________________________</w:t>
            </w:r>
          </w:p>
        </w:tc>
      </w:tr>
      <w:tr>
        <w:trPr>
          <w:trHeight w:val="216"/>
        </w:trPr>
        <w:tc>
          <w:tcPr>
            <w:tcW w:w="4900" w:type="dxa"/>
            <w:vAlign w:val="bottom"/>
          </w:tcPr>
          <w:p>
            <w:pPr>
              <w:spacing w:after="0"/>
              <w:rPr>
                <w:sz w:val="18"/>
                <w:szCs w:val="18"/>
                <w:color w:val="auto"/>
              </w:rPr>
            </w:pPr>
          </w:p>
        </w:tc>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(Please Print)</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Phone Number:</w:t>
            </w:r>
          </w:p>
        </w:tc>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______________________________________</w:t>
            </w:r>
          </w:p>
        </w:tc>
      </w:t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______________________________________</w:t>
            </w:r>
          </w:p>
        </w:tc>
      </w:tr>
      <w:tr>
        <w:trPr>
          <w:trHeight w:val="41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Dated: _______________ __, ______</w:t>
            </w:r>
          </w:p>
        </w:tc>
        <w:tc>
          <w:tcPr>
            <w:tcW w:w="6340" w:type="dxa"/>
            <w:vAlign w:val="bottom"/>
          </w:tcPr>
          <w:p>
            <w:pPr>
              <w:spacing w:after="0"/>
              <w:rPr>
                <w:sz w:val="24"/>
                <w:szCs w:val="24"/>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Holder’s Signature: ______________________________</w:t>
            </w:r>
          </w:p>
        </w:tc>
        <w:tc>
          <w:tcPr>
            <w:tcW w:w="6340" w:type="dxa"/>
            <w:vAlign w:val="bottom"/>
          </w:tcPr>
          <w:p>
            <w:pPr>
              <w:spacing w:after="0"/>
              <w:rPr>
                <w:sz w:val="18"/>
                <w:szCs w:val="18"/>
                <w:color w:val="auto"/>
              </w:rPr>
            </w:pPr>
          </w:p>
        </w:tc>
      </w:t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Holder’s Address:_______________________________</w:t>
            </w:r>
          </w:p>
        </w:tc>
        <w:tc>
          <w:tcPr>
            <w:tcW w:w="6340" w:type="dxa"/>
            <w:vAlign w:val="bottom"/>
          </w:tcPr>
          <w:p>
            <w:pPr>
              <w:spacing w:after="0"/>
              <w:rPr>
                <w:sz w:val="20"/>
                <w:szCs w:val="20"/>
                <w:color w:val="auto"/>
              </w:rPr>
            </w:pPr>
          </w:p>
        </w:tc>
      </w:tr>
      <w:tr>
        <w:trPr>
          <w:trHeight w:val="432"/>
        </w:trPr>
        <w:tc>
          <w:tcPr>
            <w:tcW w:w="490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3" w:name="page24"/>
    <w:bookmarkEnd w:id="23"/>
    <w:p>
      <w:pPr>
        <w:ind w:left="1040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PLACEMENT AGENT PREFERRED INVESTMENT OPTION</w:t>
      </w: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spacing w:after="0"/>
        <w:tabs>
          <w:tab w:leader="none" w:pos="3440" w:val="left"/>
        </w:tabs>
        <w:rPr>
          <w:sz w:val="20"/>
          <w:szCs w:val="20"/>
          <w:color w:val="auto"/>
        </w:rPr>
      </w:pPr>
      <w:r>
        <w:rPr>
          <w:rFonts w:ascii="Times New Roman" w:cs="Times New Roman" w:eastAsia="Times New Roman" w:hAnsi="Times New Roman"/>
          <w:sz w:val="18"/>
          <w:szCs w:val="18"/>
          <w:color w:val="auto"/>
        </w:rPr>
        <w:t>Preferred Investment Option Shares: ______</w:t>
      </w:r>
      <w:r>
        <w:rPr>
          <w:sz w:val="20"/>
          <w:szCs w:val="20"/>
          <w:color w:val="auto"/>
        </w:rPr>
        <w:tab/>
      </w:r>
      <w:r>
        <w:rPr>
          <w:rFonts w:ascii="Times New Roman" w:cs="Times New Roman" w:eastAsia="Times New Roman" w:hAnsi="Times New Roman"/>
          <w:sz w:val="17"/>
          <w:szCs w:val="17"/>
          <w:color w:val="auto"/>
        </w:rPr>
        <w:t>Issue Date: February 11, 2025</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PLACEMENT AGENT PREFERRED INVESTMENT OPTION (the “</w:t>
      </w:r>
      <w:r>
        <w:rPr>
          <w:rFonts w:ascii="Times New Roman" w:cs="Times New Roman" w:eastAsia="Times New Roman" w:hAnsi="Times New Roman"/>
          <w:sz w:val="18"/>
          <w:szCs w:val="18"/>
          <w:u w:val="single" w:color="auto"/>
          <w:color w:val="auto"/>
        </w:rPr>
        <w:t>Preferred Investment Option</w:t>
      </w:r>
      <w:r>
        <w:rPr>
          <w:rFonts w:ascii="Times New Roman" w:cs="Times New Roman" w:eastAsia="Times New Roman" w:hAnsi="Times New Roman"/>
          <w:sz w:val="18"/>
          <w:szCs w:val="18"/>
          <w:color w:val="auto"/>
        </w:rPr>
        <w:t>”) certifies that, for value received, _____________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w:t>
      </w:r>
    </w:p>
    <w:p>
      <w:pPr>
        <w:jc w:val="both"/>
        <w:spacing w:after="0" w:line="250" w:lineRule="auto"/>
        <w:rPr>
          <w:sz w:val="20"/>
          <w:szCs w:val="20"/>
          <w:color w:val="auto"/>
        </w:rPr>
      </w:pPr>
      <w:r>
        <w:rPr>
          <w:rFonts w:ascii="Times New Roman" w:cs="Times New Roman" w:eastAsia="Times New Roman" w:hAnsi="Times New Roman"/>
          <w:sz w:val="18"/>
          <w:szCs w:val="18"/>
          <w:color w:val="auto"/>
        </w:rPr>
        <w:t>set forth, at any time on or after the later of (i) the Authorized Share Increase Date and (ii) the Stockholder Approval Date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the date that is the two (2) year anniversary of the Initial Exercise Date (but no later than February 9, 2030), provided that, if such date is not a Trading Day, the date that is the immediately following Trading Day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 shares (as subject to adjustment</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hereunder, the “</w:t>
      </w:r>
      <w:r>
        <w:rPr>
          <w:rFonts w:ascii="Times New Roman" w:cs="Times New Roman" w:eastAsia="Times New Roman" w:hAnsi="Times New Roman"/>
          <w:sz w:val="18"/>
          <w:szCs w:val="18"/>
          <w:u w:val="single" w:color="auto"/>
          <w:color w:val="auto"/>
        </w:rPr>
        <w:t>Preferred Investment Option Shares</w:t>
      </w:r>
      <w:r>
        <w:rPr>
          <w:rFonts w:ascii="Times New Roman" w:cs="Times New Roman" w:eastAsia="Times New Roman" w:hAnsi="Times New Roman"/>
          <w:sz w:val="18"/>
          <w:szCs w:val="18"/>
          <w:color w:val="auto"/>
        </w:rPr>
        <w:t>”) of Common Stock. The purchase price of one share of Common Stock under this Preferred Investment Option shall be equal to the Exercise Price, as defined in Section 2(b). This Preferred Investment Option is being issued pursuant to that certain Engagement Agreement between the Company and H.C. Wainwright &amp; Co., LLC, dated as of May 29, 2024, as amended January 3, 2025 and on February 9, 2025.</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February 9, 2025, among the Company and the purchasers signatory thereto.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Preferred Investment Option</w:t>
      </w:r>
      <w:r>
        <w:rPr>
          <w:rFonts w:ascii="Times New Roman" w:cs="Times New Roman" w:eastAsia="Times New Roman" w:hAnsi="Times New Roman"/>
          <w:sz w:val="18"/>
          <w:szCs w:val="18"/>
          <w:color w:val="auto"/>
        </w:rPr>
        <w:t>. Exercise of the purchase rights represented by this Preferred Investment Option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Preferred Investment Option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The Company shall have no obligation to inquire with respect to or otherwise confirm the authenticity of the signature(s) contained on any Notice of Exercise nor the authority of the person so executing such Notice of Exercise. Notwithstanding anything herein to the contrary, the Holder shall not be required to physically surrender this Preferred Investment Option to the Company until the Holder has purchased all of the Preferred Investment Option Shares available hereunder and the Preferred Investment Option has been exercised in full, in which case, the Holder shall surrender this Preferred Investment Option to the Company for cancellation as soon as reasonably practicable of the date on which the final Notice of Exercise is delivered to the Company. Partial exercises of this Preferred Investment Option resulting in purchases of a portion of the total number of Preferred Investment Option Shares available hereunder shall have the effect of lowering the outstanding number of Preferred Investment Option Shares purchasable hereunder in an amount equal to the applicable number of Preferred Investment Option Shares purchased. The Holder and the Company shall maintain records showing the number of Preferred Investment Option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any assignee, by acceptance of this Preferred Investment Option, acknowledge and agree that, by reason of the provisions of this paragraph, following the purchase of a portion of the Preferred Investment Option Shares hereunder, the number of Preferred Investment Option Shares available for purchase hereunder at any given time may be less than the amount stated on the face hereof.</w:t>
      </w:r>
    </w:p>
    <w:p>
      <w:pPr>
        <w:spacing w:after="0" w:line="183" w:lineRule="exact"/>
        <w:rPr>
          <w:rFonts w:ascii="Times New Roman" w:cs="Times New Roman" w:eastAsia="Times New Roman" w:hAnsi="Times New Roman"/>
          <w:sz w:val="18"/>
          <w:szCs w:val="18"/>
          <w:color w:val="auto"/>
        </w:rPr>
      </w:pPr>
    </w:p>
    <w:p>
      <w:pPr>
        <w:ind w:firstLine="644"/>
        <w:spacing w:after="0" w:line="286" w:lineRule="auto"/>
        <w:tabs>
          <w:tab w:leader="none" w:pos="85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Common Stock under this Preferred Investment Option shall be </w:t>
      </w:r>
      <w:r>
        <w:rPr>
          <w:rFonts w:ascii="Times New Roman" w:cs="Times New Roman" w:eastAsia="Times New Roman" w:hAnsi="Times New Roman"/>
          <w:sz w:val="18"/>
          <w:szCs w:val="18"/>
          <w:b w:val="1"/>
          <w:bCs w:val="1"/>
          <w:color w:val="auto"/>
        </w:rPr>
        <w:t>$2.6625</w:t>
      </w:r>
      <w:r>
        <w:rPr>
          <w:rFonts w:ascii="Times New Roman" w:cs="Times New Roman" w:eastAsia="Times New Roman" w:hAnsi="Times New Roman"/>
          <w:sz w:val="18"/>
          <w:szCs w:val="18"/>
          <w:color w:val="auto"/>
        </w:rPr>
        <w:t>,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Preferred Investment Option Shares by the Holder, then this Preferred Investment Option may also be exercised, in whole or in part, at such time by means of a “cashless exercise” in which the Holder shall be entitled to receive a number of Preferred Investment Option Shares equal to the quotient obtained by dividing [(A-B) (X)] by (A), where:</w:t>
      </w:r>
    </w:p>
    <w:p>
      <w:pPr>
        <w:spacing w:after="0" w:line="18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5" w:name="page26"/>
    <w:bookmarkEnd w:id="25"/>
    <w:p>
      <w:pPr>
        <w:jc w:val="right"/>
        <w:ind w:left="1300" w:hanging="656"/>
        <w:spacing w:after="0" w:line="269" w:lineRule="auto"/>
        <w:tabs>
          <w:tab w:leader="none" w:pos="94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w:t>
      </w:r>
    </w:p>
    <w:p>
      <w:pPr>
        <w:spacing w:after="0" w:line="2" w:lineRule="exact"/>
        <w:rPr>
          <w:rFonts w:ascii="Times New Roman" w:cs="Times New Roman" w:eastAsia="Times New Roman" w:hAnsi="Times New Roman"/>
          <w:sz w:val="17"/>
          <w:szCs w:val="17"/>
          <w:color w:val="auto"/>
        </w:rPr>
      </w:pPr>
    </w:p>
    <w:p>
      <w:pPr>
        <w:jc w:val="both"/>
        <w:ind w:left="1300" w:hanging="8"/>
        <w:spacing w:after="0" w:line="252" w:lineRule="auto"/>
        <w:tabs>
          <w:tab w:leader="none" w:pos="154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9" w:lineRule="exact"/>
        <w:rPr>
          <w:rFonts w:ascii="Times New Roman" w:cs="Times New Roman" w:eastAsia="Times New Roman" w:hAnsi="Times New Roman"/>
          <w:sz w:val="18"/>
          <w:szCs w:val="18"/>
          <w:color w:val="auto"/>
        </w:rPr>
      </w:pPr>
    </w:p>
    <w:p>
      <w:pPr>
        <w:ind w:left="920" w:hanging="276"/>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Preferred Investment Option, as adjusted hereunder; and</w:t>
      </w:r>
    </w:p>
    <w:p>
      <w:pPr>
        <w:spacing w:after="0" w:line="225" w:lineRule="exact"/>
        <w:rPr>
          <w:sz w:val="20"/>
          <w:szCs w:val="20"/>
          <w:color w:val="auto"/>
        </w:rPr>
      </w:pPr>
    </w:p>
    <w:p>
      <w:pPr>
        <w:ind w:left="1300" w:hanging="656"/>
        <w:spacing w:after="0" w:line="266" w:lineRule="auto"/>
        <w:tabs>
          <w:tab w:leader="none" w:pos="94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Preferred Investment Option Shares that would be issuable upon exercise of this Preferred Investment Option in accordance with the terms of this Preferred Investment Option if such exercise were by means of a cash exercise rather than a cashless exercise.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6" w:name="page27"/>
    <w:bookmarkEnd w:id="26"/>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w:t>
      </w:r>
    </w:p>
    <w:p>
      <w:pPr>
        <w:spacing w:after="0" w:line="3" w:lineRule="exact"/>
        <w:rPr>
          <w:sz w:val="20"/>
          <w:szCs w:val="20"/>
          <w:color w:val="auto"/>
        </w:rPr>
      </w:pPr>
    </w:p>
    <w:p>
      <w:pPr>
        <w:jc w:val="both"/>
        <w:ind w:left="4" w:hanging="4"/>
        <w:spacing w:after="0" w:line="255" w:lineRule="auto"/>
        <w:tabs>
          <w:tab w:leader="none" w:pos="26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6"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If Preferred Investment Option Shares are issued in such a cashless exercise, the parties acknowledge and agree that in accordance with Section 3(a)(9) of the Securities Act, the Preferred Investment Option Shares shall take on the characteristics of the Preferred Investment Options being exercised, and the holding period of the Preferred Investment Option Shares being issued may be tacked on to the holding period of this Preferred Investment Option. The Company agrees not to take any position contrary to this Section 2(c).</w:t>
      </w:r>
    </w:p>
    <w:p>
      <w:pPr>
        <w:spacing w:after="0" w:line="180" w:lineRule="exact"/>
        <w:rPr>
          <w:sz w:val="20"/>
          <w:szCs w:val="20"/>
          <w:color w:val="auto"/>
        </w:rPr>
      </w:pPr>
    </w:p>
    <w:p>
      <w:pPr>
        <w:ind w:left="844" w:hanging="196"/>
        <w:spacing w:after="0"/>
        <w:tabs>
          <w:tab w:leader="none" w:pos="8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4" w:firstLine="640"/>
        <w:spacing w:after="0" w:line="251" w:lineRule="auto"/>
        <w:tabs>
          <w:tab w:leader="none" w:pos="209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Preferred Investment Option Shares Upon Exercise</w:t>
      </w:r>
      <w:r>
        <w:rPr>
          <w:rFonts w:ascii="Times New Roman" w:cs="Times New Roman" w:eastAsia="Times New Roman" w:hAnsi="Times New Roman"/>
          <w:sz w:val="18"/>
          <w:szCs w:val="18"/>
          <w:color w:val="auto"/>
        </w:rPr>
        <w:t>. The Company shall cause the Preferred Investment Option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Preferred Investment Option Shares to or resale of the Preferred Investment Option Shares by the Holder or (B) the Preferred Investment Option Shares are eligible for resale by the Holder without volume or manner-of-sale limitations pursuant to Rule 144 (assuming cashless exercise of the Preferred Investment Options), and otherwise by physical delivery of a certificate, registered in the Company’s share register in the name of the Holder or its designee, for the number of Preferred Investment Option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Preferred Investment Option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Preferred Investment Option Shares with respect to which this Preferred Investment Option has been exercised, irrespective of the date of delivery of the Preferred Investment Option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Preferred Investment Option Shares subject to a Notice of Exercise by the Preferred Investment Option Share Delivery Date, the Company shall pay to the Holder, in cash, as liquidated damages and not as a penalty, for each $1,000 of Preferred Investment Option Shares subject to such exercise (based on the VWAP of the Common Stock on the date of the applicable Notice of Exercise), $10 per Trading Day (increasing to $20 per Trading Day on the third Trading Day after the Preferred Investment Option Share Delivery Date) for each Trading Day after such Preferred Investment Option Share Delivery Date until such Preferred Investment Option Shares are delivered or Holder rescinds such exercise. The Company agrees to maintain a transfer agent that is a participant in the FAST program so long as this Preferred Investment Option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27" w:name="page28"/>
    <w:bookmarkEnd w:id="27"/>
    <w:p>
      <w:pPr>
        <w:jc w:val="both"/>
        <w:ind w:left="840" w:firstLine="640"/>
        <w:spacing w:after="0" w:line="256" w:lineRule="auto"/>
        <w:tabs>
          <w:tab w:leader="none" w:pos="167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Preferred Investment Options Upon Exercise</w:t>
      </w:r>
      <w:r>
        <w:rPr>
          <w:rFonts w:ascii="Times New Roman" w:cs="Times New Roman" w:eastAsia="Times New Roman" w:hAnsi="Times New Roman"/>
          <w:sz w:val="18"/>
          <w:szCs w:val="18"/>
          <w:color w:val="auto"/>
        </w:rPr>
        <w:t>. If this Preferred Investment Option shall have been exercised in part, the Company shall, at the request of a Holder and upon surrender of this Preferred Investment Option certificate, at the time of delivery of the Preferred Investment Option Shares, deliver to the Holder a new Preferred Investment Option evidencing the rights of the Holder to purchase the unpurchased Preferred Investment Option Shares called for by this Preferred Investment Option, which new Preferred Investment Option shall in all other respects be identical with this Preferred Investment Option.</w:t>
      </w:r>
    </w:p>
    <w:p>
      <w:pPr>
        <w:spacing w:after="0" w:line="187" w:lineRule="exact"/>
        <w:rPr>
          <w:rFonts w:ascii="Times New Roman" w:cs="Times New Roman" w:eastAsia="Times New Roman" w:hAnsi="Times New Roman"/>
          <w:sz w:val="18"/>
          <w:szCs w:val="18"/>
          <w:color w:val="auto"/>
        </w:rPr>
      </w:pPr>
    </w:p>
    <w:p>
      <w:pPr>
        <w:jc w:val="both"/>
        <w:ind w:left="840" w:firstLine="640"/>
        <w:spacing w:after="0" w:line="266" w:lineRule="auto"/>
        <w:tabs>
          <w:tab w:leader="none" w:pos="175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Preferred Investment Option Shares pursuant to Section 2(d)(i) by the Preferred Investment Option Share Delivery Date, then the Holder will have the right to rescind such exercise.</w:t>
      </w:r>
    </w:p>
    <w:p>
      <w:pPr>
        <w:spacing w:after="0" w:line="175" w:lineRule="exact"/>
        <w:rPr>
          <w:rFonts w:ascii="Times New Roman" w:cs="Times New Roman" w:eastAsia="Times New Roman" w:hAnsi="Times New Roman"/>
          <w:sz w:val="18"/>
          <w:szCs w:val="18"/>
          <w:color w:val="auto"/>
        </w:rPr>
      </w:pPr>
    </w:p>
    <w:p>
      <w:pPr>
        <w:jc w:val="both"/>
        <w:ind w:left="840" w:firstLine="640"/>
        <w:spacing w:after="0" w:line="253" w:lineRule="auto"/>
        <w:tabs>
          <w:tab w:leader="none" w:pos="173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Preferred Investment Option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Preferred Investment Option Shares in accordance with the provisions of Section 2(d)(i) above pursuant to an exercise on or before the Preferred Investment Option Share Delivery Date, and if after such date the Holder is required by its broker to purchase (in an open market transaction or otherwise) or the Holder’s brokerage firm otherwise purchases, shares of Common Stock to deliver in satisfaction of a sale by the Holder of the Preferred Investment Option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w:t>
      </w:r>
    </w:p>
    <w:p>
      <w:pPr>
        <w:spacing w:after="0" w:line="2" w:lineRule="exact"/>
        <w:rPr>
          <w:rFonts w:ascii="Times New Roman" w:cs="Times New Roman" w:eastAsia="Times New Roman" w:hAnsi="Times New Roman"/>
          <w:sz w:val="18"/>
          <w:szCs w:val="18"/>
          <w:color w:val="auto"/>
        </w:rPr>
      </w:pPr>
    </w:p>
    <w:p>
      <w:pPr>
        <w:jc w:val="both"/>
        <w:ind w:left="840" w:hanging="8"/>
        <w:spacing w:after="0" w:line="251" w:lineRule="auto"/>
        <w:tabs>
          <w:tab w:leader="none" w:pos="112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total purchase price (including reasonable and customary brokerage commissions, if any) for the shares of Common Stock so purchased exceeds (y) the amount obtained by multiplying (1) the number of Preferred Investment Option Shares that the Company was required to deliver to the Holder in connection with the exercise at issue times (2) the price at which the sell order giving rise to such purchase obligation was executed, and (B) at the option of the Holder, either reinstate the portion of the Preferred Investment Option and equivalent number of Preferred Investment Option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shares of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Preferred Investment Option as required pursuant to the terms hereof.</w:t>
      </w:r>
    </w:p>
    <w:p>
      <w:pPr>
        <w:spacing w:after="0" w:line="19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8" w:name="page29"/>
    <w:bookmarkEnd w:id="28"/>
    <w:p>
      <w:pPr>
        <w:jc w:val="both"/>
        <w:ind w:left="8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Preferred Investment Option.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0" w:lineRule="exact"/>
        <w:rPr>
          <w:sz w:val="20"/>
          <w:szCs w:val="20"/>
          <w:color w:val="auto"/>
        </w:rPr>
      </w:pPr>
    </w:p>
    <w:p>
      <w:pPr>
        <w:jc w:val="both"/>
        <w:ind w:left="840" w:firstLine="640"/>
        <w:spacing w:after="0" w:line="253" w:lineRule="auto"/>
        <w:tabs>
          <w:tab w:leader="none" w:pos="17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Preferred Investment Option Shares shall be made without charge to the Holder for any issue or transfer tax or other incidental expense in respect of the issuance of such Preferred Investment Option Shares, all of which taxes and expenses shall be paid by the Company, and such Preferred Investment Option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Preferred Investment Option Shares are to be issued in a name other than the name of the Holder, this Preferred Investment Option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Preferred Investment Option Shares.</w:t>
      </w:r>
    </w:p>
    <w:p>
      <w:pPr>
        <w:spacing w:after="0" w:line="194" w:lineRule="exact"/>
        <w:rPr>
          <w:rFonts w:ascii="Times New Roman" w:cs="Times New Roman" w:eastAsia="Times New Roman" w:hAnsi="Times New Roman"/>
          <w:sz w:val="18"/>
          <w:szCs w:val="18"/>
          <w:color w:val="auto"/>
        </w:rPr>
      </w:pPr>
    </w:p>
    <w:p>
      <w:pPr>
        <w:ind w:left="840" w:firstLine="640"/>
        <w:spacing w:after="0" w:line="282" w:lineRule="auto"/>
        <w:tabs>
          <w:tab w:leader="none" w:pos="176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Preferred Investment Option, pursuant to the terms hereof.</w:t>
      </w:r>
    </w:p>
    <w:p>
      <w:pPr>
        <w:spacing w:after="0" w:line="16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9" w:name="page30"/>
    <w:bookmarkEnd w:id="29"/>
    <w:p>
      <w:pPr>
        <w:jc w:val="both"/>
        <w:ind w:firstLine="644"/>
        <w:spacing w:after="0" w:line="266" w:lineRule="auto"/>
        <w:tabs>
          <w:tab w:leader="none" w:pos="833"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The Company shall not effect any exercise of this Preferred Investment Option, and a Holder shall not have the right to exercise any portion of this Preferred Investment Option,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Preferred Investment Option with respect to which such determination is being made, but shall exclude the number of shares of Common Stock which would be issuable upon (i) exercise of the remaining, nonexercised portion of this Preferred Investment Option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Preferred Investment Option is exercisable (in relation to other securities owned by the Holder together with any Affiliates and Attribution Parties) and of which portion of this Preferred Investment Option is exercisable shall be in the sole discretion of the Holder, and the submission of a Notice of Exercise shall be deemed to be the Holder’s determination of whether this Preferred Investment Option is exercisable (in relation to other securities owned by the Holder together with any Affiliates and Attribution Parties) and of which portion of this Preferred Investment Option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Preferred Investment Option, by the Holder or its Affiliates or Attribution Parties since the date as of which such number of outstanding shares of Common Stock was reported. The “</w:t>
      </w: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shall be [4.99%] [9.99%] of the number of shares of the Common Stock outstanding immediately after giving effect to the issuance of shares of Common Stock issuable upon exercise of this Preferred Investment Option.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Preferred Investment Option held by the Holder and the provisions</w:t>
      </w:r>
    </w:p>
    <w:p>
      <w:pPr>
        <w:spacing w:after="0" w:line="21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of this Section 2(e) shall continue to apply. Any increase in 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Preferred Investment Option.</w:t>
      </w:r>
    </w:p>
    <w:p>
      <w:pPr>
        <w:spacing w:after="0" w:line="2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Preferred Investment Option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Preferred Investment Option),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Preferred Investment Option shall be proportionately adjusted such that the aggregate Exercise Price of this Preferred Investment Option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7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that this Preferred Investment Option is outstanding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Preferred Investment Option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firstLine="644"/>
        <w:spacing w:after="0" w:line="253" w:lineRule="auto"/>
        <w:tabs>
          <w:tab w:leader="none" w:pos="83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Preferred Investment Option is outstanding, if the Company shall declare or make any dividend or other distribution of its assets (or rights to acquire its assets) to holders of shares of Common Stock, by way of return of capital or otherwise, other than cash (including, without limitation, any distribution of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Preferred Investment Option, then, in each such case, the Holder shall be entitled to participate in such Distribution to the same extent that the Holder would have participated therein if the Holder had held the number of shares of Common Stock acquirable upon complete exercise of this Preferred Investment Option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8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1" w:name="page32"/>
    <w:bookmarkEnd w:id="31"/>
    <w:p>
      <w:pPr>
        <w:jc w:val="both"/>
        <w:ind w:left="4" w:firstLine="644"/>
        <w:spacing w:after="0" w:line="266" w:lineRule="auto"/>
        <w:tabs>
          <w:tab w:leader="none" w:pos="847"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Preferred Investment Option is outstanding, (i) the Company, directly or indirectly, in one or more related transactions effects any merger or consolidation of the Company with or into another Person (other than solely for the purpose of changing the Company’s name and/or the jurisdiction of incorporation of the Company or a holding company for the Company),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Common Stock or more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or more than 50% of the voting power of the common equity of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Preferred Investment Option, the Holder shall have the right to receive, for each Preferred Investment Option Share that would have been issuable upon such exercise immediately prior to the occurrence of such Fundamental Transaction, at the option of the Holder (without regard to any limitation in Section 2(e) on the exercise of this Preferred Investment Option),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receivable as a result of such Fundamental Transaction by a holder of the number of shares of Common Stock for which this Preferred Investment Option is exercisable immediately prior to such Fundamental Transaction (without regard to any limitation in Section 2(e) on the exercise of this Preferred Investment Option).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Preferred Investment Option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Preferred Investment Option from the Holder by paying to the Holder an amount of cash equal to the Black Scholes Value (as defined below) of the remaining unexercised portion of this Preferred Investment Option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Preferred Investment Option,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 “</w:t>
      </w:r>
      <w:r>
        <w:rPr>
          <w:rFonts w:ascii="Times New Roman" w:cs="Times New Roman" w:eastAsia="Times New Roman" w:hAnsi="Times New Roman"/>
          <w:sz w:val="17"/>
          <w:szCs w:val="17"/>
          <w:u w:val="single" w:color="auto"/>
          <w:color w:val="auto"/>
        </w:rPr>
        <w:t>Black Scholes Value</w:t>
      </w:r>
      <w:r>
        <w:rPr>
          <w:rFonts w:ascii="Times New Roman" w:cs="Times New Roman" w:eastAsia="Times New Roman" w:hAnsi="Times New Roman"/>
          <w:sz w:val="17"/>
          <w:szCs w:val="17"/>
          <w:color w:val="auto"/>
        </w:rPr>
        <w:t>” means the value of this Preferred Investment Option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volatility for the remaining exercise period as obtained from the HVT function on Bloomberg (determined utilizing a 365 day annualization factor) as of the Trading Day immediately following the public announcement of the applicable Fundamental Transaction, (C) the underlying price per share used in such calculation shall be the share price on the day of completion of the transaction (D) a remaining option time equal to the time between the date of the public announcement of the applicable Fundamental Transaction and the Termination Date. The payment of the Black Scholes Value will be made by wire transfer of immediately available funds (or such other consideration) within the later of</w:t>
      </w:r>
    </w:p>
    <w:p>
      <w:pPr>
        <w:spacing w:after="0" w:line="200" w:lineRule="exact"/>
        <w:rPr>
          <w:rFonts w:ascii="Times New Roman" w:cs="Times New Roman" w:eastAsia="Times New Roman" w:hAnsi="Times New Roman"/>
          <w:sz w:val="17"/>
          <w:szCs w:val="17"/>
          <w:color w:val="auto"/>
        </w:rPr>
      </w:pPr>
    </w:p>
    <w:p>
      <w:pPr>
        <w:spacing w:after="0" w:line="220" w:lineRule="exact"/>
        <w:rPr>
          <w:rFonts w:ascii="Times New Roman" w:cs="Times New Roman" w:eastAsia="Times New Roman" w:hAnsi="Times New Roman"/>
          <w:sz w:val="17"/>
          <w:szCs w:val="17"/>
          <w:color w:val="auto"/>
        </w:rPr>
      </w:pPr>
    </w:p>
    <w:p>
      <w:pPr>
        <w:jc w:val="both"/>
        <w:ind w:left="4" w:hanging="4"/>
        <w:spacing w:after="0" w:line="251" w:lineRule="auto"/>
        <w:tabs>
          <w:tab w:leader="none" w:pos="22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Preferred Investment Option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Preferred Investment Option a security of the Successor Entity evidenced by a written instrument substantially similar in form and substance to this Preferred Investment Option which is exercisable for a corresponding number of shares of capital stock of such Successor Entity (or its parent entity) equivalent to the shares of Common Stock acquirable and receivable upon exercise of this Preferred Investment Option (without regard to any limitations on the exercise of this Preferred Investment Option)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Preferred Investment Option immediately prior to the consummation of such Fundamental Transaction), and which is reasonably satisfactory in form and substance to the Holder. Upon the occurrence of any such Fundamental Transaction, the Successor Entity shall be added to the term “Company” under this Preferred Investment Option (so that from and after the occurrence or consummation of such Fundamental Transaction, each and every provision of this Preferred Investment Option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Preferred Investment Option and the other Transaction Documents with the same effect as if the Company and such Successor Entity or Successor Entities, jointly and severally, had been named as the Company herein.</w:t>
      </w:r>
    </w:p>
    <w:p>
      <w:pPr>
        <w:spacing w:after="0" w:line="18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690" w:gutter="0" w:footer="0" w:header="0"/>
        </w:sectPr>
      </w:pPr>
    </w:p>
    <w:bookmarkStart w:id="32" w:name="page33"/>
    <w:bookmarkEnd w:id="32"/>
    <w:p>
      <w:pPr>
        <w:jc w:val="both"/>
        <w:ind w:left="-460" w:firstLine="644"/>
        <w:spacing w:after="0" w:line="266" w:lineRule="auto"/>
        <w:tabs>
          <w:tab w:leader="none" w:pos="37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340" w:hanging="156"/>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2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Preferred Investment Option Shares and setting forth a brief statement of the facts requiring such adjustment.</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2" w:lineRule="auto"/>
        <w:tabs>
          <w:tab w:leader="none" w:pos="170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Preferred Investment Option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The Holder agrees to maintain any information disclosed pursuant to this </w:t>
      </w:r>
      <w:r>
        <w:rPr>
          <w:rFonts w:ascii="Times New Roman" w:cs="Times New Roman" w:eastAsia="Times New Roman" w:hAnsi="Times New Roman"/>
          <w:sz w:val="18"/>
          <w:szCs w:val="18"/>
          <w:u w:val="single" w:color="auto"/>
          <w:color w:val="auto"/>
        </w:rPr>
        <w:t>Section 3(f)(ii)</w:t>
      </w:r>
      <w:r>
        <w:rPr>
          <w:rFonts w:ascii="Times New Roman" w:cs="Times New Roman" w:eastAsia="Times New Roman" w:hAnsi="Times New Roman"/>
          <w:sz w:val="18"/>
          <w:szCs w:val="18"/>
          <w:color w:val="auto"/>
        </w:rPr>
        <w:t xml:space="preserve"> in confidence until such information is publicly available, and shall comply with applicable law with respect to trading in the Company’s securities following receipt any such information.</w:t>
      </w:r>
    </w:p>
    <w:p>
      <w:pPr>
        <w:spacing w:after="0" w:line="1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Preferred Investment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83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Preferred Investment Option and all rights hereunder (including, without limitation, any registration rights) are transferable, in whole or in part, upon surrender of this Preferred Investment Option at the principal office of the Company or its designated agent, together with a written assignment of this Preferred Investment Option substantially in the form attached hereto duly executed by the Holder or its agent or attorney and funds sufficient to pay any transfer taxes payable upon the making of such transfer. Upon such surrender and, if required, such payment, the Company shall execute and deliver a new Preferred Investment Option or Preferred Investment Options in the name of the assignee or assignees, as applicable, and in the denomination or denominations specified in such instrument of assignment, and shall issue to the assignor a new Preferred Investment Option evidencing the portion of this Preferred Investment Option not so assigned, and this Preferred Investment Option shall promptly be cancelled. Notwithstanding anything herein to the contrary, the Holder shall not be required to physically surrender this Preferred Investment Option to the Company unless the Holder has assigned this Preferred Investment Option in full, in which case, the Holder shall surrender this Preferred Investment Option to the Company within three (3) Trading Days of the date on which the Holder delivers an assignment form to the Company assigning this Preferred Investment Option in full. The Preferred Investment Option, if properly assigned in accordance herewith, may be exercised by a new holder for the purchase of Preferred Investment Option Shares without having a new Preferred Investment Option issued.</w:t>
      </w:r>
    </w:p>
    <w:p>
      <w:pPr>
        <w:spacing w:after="0" w:line="197" w:lineRule="exact"/>
        <w:rPr>
          <w:rFonts w:ascii="Times New Roman" w:cs="Times New Roman" w:eastAsia="Times New Roman" w:hAnsi="Times New Roman"/>
          <w:sz w:val="18"/>
          <w:szCs w:val="18"/>
          <w:color w:val="auto"/>
        </w:rPr>
      </w:pPr>
    </w:p>
    <w:p>
      <w:pPr>
        <w:jc w:val="both"/>
        <w:ind w:firstLine="644"/>
        <w:spacing w:after="0" w:line="254" w:lineRule="auto"/>
        <w:tabs>
          <w:tab w:leader="none" w:pos="85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Preferred Investment Options</w:t>
      </w:r>
      <w:r>
        <w:rPr>
          <w:rFonts w:ascii="Times New Roman" w:cs="Times New Roman" w:eastAsia="Times New Roman" w:hAnsi="Times New Roman"/>
          <w:sz w:val="18"/>
          <w:szCs w:val="18"/>
          <w:color w:val="auto"/>
        </w:rPr>
        <w:t>. This Preferred Investment Option may be divided or combined with other Preferred Investment Options upon presentation hereof at the aforesaid office of the Company, together with a written notice specifying the names and denominations in which new Preferred Investment Options are to be issued, signed by the Holder or its agent or attorney. Subject to compliance with Section 4(a), as to any transfer which may be involved in such division or combination, the Company shall execute and deliver a new Preferred Investment Option or Preferred Investment Options in exchange for the Preferred Investment Option or Preferred Investment Options to be divided or combined in accordance with such notice. All Preferred Investment Options issued on transfers or exchanges shall be dated the Issue Date of this Preferred Investment Option and shall be identical with this Preferred Investment Option except as to the number of Preferred Investment Option Shares issuable pursuant thereto.</w:t>
      </w:r>
    </w:p>
    <w:p>
      <w:pPr>
        <w:spacing w:after="0" w:line="191" w:lineRule="exact"/>
        <w:rPr>
          <w:rFonts w:ascii="Times New Roman" w:cs="Times New Roman" w:eastAsia="Times New Roman" w:hAnsi="Times New Roman"/>
          <w:sz w:val="18"/>
          <w:szCs w:val="18"/>
          <w:color w:val="auto"/>
        </w:rPr>
      </w:pPr>
    </w:p>
    <w:p>
      <w:pPr>
        <w:jc w:val="both"/>
        <w:ind w:firstLine="644"/>
        <w:spacing w:after="0" w:line="261" w:lineRule="auto"/>
        <w:tabs>
          <w:tab w:leader="none" w:pos="83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The Company shall register this Preferred Investment Option, upon records to be maintained by the Company for that purpose (the “</w:t>
      </w:r>
      <w:r>
        <w:rPr>
          <w:rFonts w:ascii="Times New Roman" w:cs="Times New Roman" w:eastAsia="Times New Roman" w:hAnsi="Times New Roman"/>
          <w:sz w:val="18"/>
          <w:szCs w:val="18"/>
          <w:u w:val="single" w:color="auto"/>
          <w:color w:val="auto"/>
        </w:rPr>
        <w:t>Preferred Investment Option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Preferred Investment Option as the absolute owner hereof for the purpose of any exercise hereof or any distribution to the Holder, and for all other purposes, absent actual notice to the contrary.</w:t>
      </w:r>
    </w:p>
    <w:p>
      <w:pPr>
        <w:spacing w:after="0" w:line="179" w:lineRule="exact"/>
        <w:rPr>
          <w:rFonts w:ascii="Times New Roman" w:cs="Times New Roman" w:eastAsia="Times New Roman" w:hAnsi="Times New Roman"/>
          <w:sz w:val="18"/>
          <w:szCs w:val="18"/>
          <w:color w:val="auto"/>
        </w:rPr>
      </w:pPr>
    </w:p>
    <w:p>
      <w:pPr>
        <w:jc w:val="both"/>
        <w:ind w:firstLine="644"/>
        <w:spacing w:after="0" w:line="256" w:lineRule="auto"/>
        <w:tabs>
          <w:tab w:leader="none" w:pos="87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Preferred Investment Option in connection with any transfer of this Preferred Investment Option, the transfer of this Preferred Investment Option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Preferred Investment Option, as the case may be, comply with the provisions of Section 5.7 of the Purchase Agreement.</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Preferred Investment Option and, upon any exercise hereof, will acquire the Preferred Investment Option Shares issuable upon such exercise, for its own account and not with a view to or for distributing or reselling such Preferred Investment Option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83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Preferred Investment Option does not entitle the Holder to any voting rights, dividends or other rights as a stockholder of the Company prior to the exercise hereof as set forth in Section 2(d)(i), except as expressly set forth in Section 3. Without limiting any rights of a Holder to receive Preferred Investment Option Shares on a “cashless exercise” pursuant to Section 2(c) or to receive cash payments pursuant to Section 2(d)(i) and Section 2(d)(iv) herein, in no event shall the Company be required to net cash settle an exercise of this Preferred Investment Option.</w:t>
      </w:r>
    </w:p>
    <w:p>
      <w:pPr>
        <w:spacing w:after="0" w:line="183" w:lineRule="exact"/>
        <w:rPr>
          <w:rFonts w:ascii="Times New Roman" w:cs="Times New Roman" w:eastAsia="Times New Roman" w:hAnsi="Times New Roman"/>
          <w:sz w:val="18"/>
          <w:szCs w:val="18"/>
          <w:color w:val="auto"/>
        </w:rPr>
      </w:pPr>
    </w:p>
    <w:p>
      <w:pPr>
        <w:jc w:val="both"/>
        <w:ind w:firstLine="644"/>
        <w:spacing w:after="0" w:line="256" w:lineRule="auto"/>
        <w:tabs>
          <w:tab w:leader="none" w:pos="8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Preferred Investment Option</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Preferred Investment Option or any stock certificate relating to the Preferred Investment Option Shares, and in case of loss, theft or destruction, of indemnity or security reasonably satisfactory to it (which, in the case of the Preferred Investment Option, shall not include the posting of any bond), and upon surrender and cancellation of such Preferred Investment Option or stock certificate, if mutilated, the Company will make and deliver a new Preferred Investment Option or stock certificate of like tenor and dated as of such cancellation, in lieu of such Preferred Investment Option or stock certificate.</w:t>
      </w:r>
    </w:p>
    <w:p>
      <w:pPr>
        <w:spacing w:after="0" w:line="187" w:lineRule="exact"/>
        <w:rPr>
          <w:rFonts w:ascii="Times New Roman" w:cs="Times New Roman" w:eastAsia="Times New Roman" w:hAnsi="Times New Roman"/>
          <w:sz w:val="18"/>
          <w:szCs w:val="18"/>
          <w:color w:val="auto"/>
        </w:rPr>
      </w:pPr>
    </w:p>
    <w:p>
      <w:pPr>
        <w:ind w:right="20" w:firstLine="644"/>
        <w:spacing w:after="0" w:line="282" w:lineRule="auto"/>
        <w:tabs>
          <w:tab w:leader="none" w:pos="83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1" w:lineRule="exact"/>
        <w:rPr>
          <w:rFonts w:ascii="Times New Roman" w:cs="Times New Roman" w:eastAsia="Times New Roman" w:hAnsi="Times New Roman"/>
          <w:sz w:val="18"/>
          <w:szCs w:val="18"/>
          <w:color w:val="auto"/>
        </w:rPr>
      </w:pPr>
    </w:p>
    <w:p>
      <w:pPr>
        <w:ind w:left="840" w:hanging="196"/>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Preferred Investment Option is outstanding, it will reserve from its authorized and unissued Common Stock a sufficient number of shares to provide for the issuance of the Preferred Investment Option Shares upon the exercise of any purchase rights under this Preferred Investment Option. The Company further covenants that its issuance of this Preferred Investment Option shall constitute full authority to its officers who are charged with the duty of issuing the necessary Preferred Investment Option Shares upon the exercise of the purchase rights under this Preferred Investment Option. The Company will take all such reasonable action as may be necessary to assure that such Preferred Investment Option Shares may be issued as provided herein without violation of any applicable law or regulation, or of any requirements of the Trading Market upon which the Common Stock may be listed. The Company covenants that all Preferred Investment Option Shares which may be issued upon the exercise of the purchase rights represented by this Preferred Investment Option will, upon exercise of the purchase rights represented by this Preferred Investment Option and payment for such Preferred Investment Option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5" w:name="page36"/>
    <w:bookmarkEnd w:id="35"/>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Preferred Investment Option, but will at all times in good faith assist in the carrying out of all such terms and in the taking of all such actions as may be necessary or appropriate to protect the rights of Holder as set forth in this Preferred Investment Option against impairment. Without limiting the generality of the foregoing, the Company will (i) not increase the par value of any Preferred Investment Option Shares above the amount payable therefor upon such exercise immediately prior to such increase in par value, (ii) take all such action as may be necessary or appropriate in order that the Company may validly and legally issue fully paid and nonassessable Preferred Investment Option Shares upon the exercise of this Preferred Investment Option and (iii) use commercially reasonable efforts to obtain all such authorizations, exemptions or consents from any public regulatory body having jurisdiction thereof, as may be, necessary to enable the Company to perform its obligations under this Preferred Investment Option.</w:t>
      </w:r>
    </w:p>
    <w:p>
      <w:pPr>
        <w:spacing w:after="0" w:line="192"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Preferred Investment Option Shares for which this Preferred Investment Option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60" w:firstLine="644"/>
        <w:spacing w:after="0" w:line="282" w:lineRule="auto"/>
        <w:tabs>
          <w:tab w:leader="none" w:pos="38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Preferred Investment Option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Preferred Investment Option Shares acquired upon the exercise of this Preferred Investment Option, if not registered, and the Holder does not utilize cashless exercise, will have restrictions upon resale imposed by state and federal securities laws.</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39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Preferred Investment Option or the Purchase Agreement, if the Company willfully and knowingly fails to comply with any provision of this Preferred Investment Option,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left="-460" w:firstLine="644"/>
        <w:spacing w:after="0" w:line="282" w:lineRule="auto"/>
        <w:tabs>
          <w:tab w:leader="none" w:pos="38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to the address of the Holder in the Warrant Register.</w:t>
      </w:r>
    </w:p>
    <w:p>
      <w:pPr>
        <w:spacing w:after="0" w:line="1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36" w:name="page37"/>
    <w:bookmarkEnd w:id="36"/>
    <w:p>
      <w:pPr>
        <w:jc w:val="both"/>
        <w:ind w:firstLine="644"/>
        <w:spacing w:after="0" w:line="261" w:lineRule="auto"/>
        <w:tabs>
          <w:tab w:leader="none" w:pos="8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Preferred Investment Option to purchase Preferred Investment Option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0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Preferred Investment Option. The Company agrees that monetary damages would not be adequate compensation for any loss incurred by reason of a breach by it of the provisions of this Preferred Investment Option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firstLine="644"/>
        <w:spacing w:after="0" w:line="261" w:lineRule="auto"/>
        <w:tabs>
          <w:tab w:leader="none" w:pos="88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Preferred Investment Option and the rights and obligations evidenced hereby shall inure to the benefit of and be binding upon the successors and permitted assigns of the Company and the successors and permitted assigns of Holder. The provisions of this Preferred Investment Option are intended to be for the benefit of any Holder from time to time of this Preferred Investment Option and shall be enforceable by the Holder or holder of Preferred Investment Option Shares.</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0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Preferred Investment Option may be modified or amended or the provisions hereof waived with the written consent of the Company and the Holder.</w:t>
      </w:r>
    </w:p>
    <w:p>
      <w:pPr>
        <w:spacing w:after="0" w:line="161" w:lineRule="exact"/>
        <w:rPr>
          <w:rFonts w:ascii="Times New Roman" w:cs="Times New Roman" w:eastAsia="Times New Roman" w:hAnsi="Times New Roman"/>
          <w:sz w:val="18"/>
          <w:szCs w:val="18"/>
          <w:color w:val="auto"/>
        </w:rPr>
      </w:pPr>
    </w:p>
    <w:p>
      <w:pPr>
        <w:jc w:val="both"/>
        <w:ind w:firstLine="644"/>
        <w:spacing w:after="0" w:line="261" w:lineRule="auto"/>
        <w:tabs>
          <w:tab w:leader="none" w:pos="90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Preferred Investment Option shall be interpreted in such manner as to be effective and valid under applicable law, but if any provision of this Preferred Investment Option shall be prohibited by or invalid under applicable law, such provision shall be ineffective to the extent of such prohibition or invalidity, without invalidating the remainder of such provisions or the remaining provisions of this Preferred Investment Option.</w:t>
      </w:r>
    </w:p>
    <w:p>
      <w:pPr>
        <w:spacing w:after="0" w:line="179" w:lineRule="exact"/>
        <w:rPr>
          <w:rFonts w:ascii="Times New Roman" w:cs="Times New Roman" w:eastAsia="Times New Roman" w:hAnsi="Times New Roman"/>
          <w:sz w:val="18"/>
          <w:szCs w:val="18"/>
          <w:color w:val="auto"/>
        </w:rPr>
      </w:pPr>
    </w:p>
    <w:p>
      <w:pPr>
        <w:ind w:firstLine="644"/>
        <w:spacing w:after="0" w:line="282" w:lineRule="auto"/>
        <w:tabs>
          <w:tab w:leader="none" w:pos="85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Preferred Investment Option are for the convenience of reference only and shall not, for any purpose, be deemed a part of this Preferred Investment Option.</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8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Electronically scanned and transmitted signatures, including by email attachment, shall be deemed originals for all purposes of this Warrant.</w:t>
      </w:r>
    </w:p>
    <w:p>
      <w:pPr>
        <w:spacing w:after="0" w:line="1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37" w:name="page38"/>
    <w:bookmarkEnd w:id="37"/>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Preferred Investment Option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MICROBOT MEDICAL INC.</w:t>
      </w:r>
    </w:p>
    <w:p>
      <w:pPr>
        <w:spacing w:after="0" w:line="229" w:lineRule="exact"/>
        <w:rPr>
          <w:sz w:val="20"/>
          <w:szCs w:val="20"/>
          <w:color w:val="auto"/>
        </w:rPr>
      </w:pPr>
    </w:p>
    <w:p>
      <w:pPr>
        <w:jc w:val="both"/>
        <w:ind w:firstLine="1304"/>
        <w:spacing w:after="0" w:line="266" w:lineRule="auto"/>
        <w:tabs>
          <w:tab w:leader="none" w:pos="15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Preferred Investment Option Shares of the Company pursuant to the terms of the attached Preferred Investment Option (only if exercised in full), and tenders herewith payment of the exercise price in full, together with all applicable transfer taxes, if any.</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4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1960" w:hanging="8"/>
        <w:spacing w:after="0" w:line="266" w:lineRule="auto"/>
        <w:tabs>
          <w:tab w:leader="none" w:pos="2180" w:val="left"/>
        </w:tabs>
        <w:numPr>
          <w:ilvl w:val="1"/>
          <w:numId w:val="4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Preferred Investment Option Shares as is necessary, in accordance with the formula set forth in subsection 2(c), to exercise this Preferred Investment Option with respect to the maximum number of Preferred Investment Option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560" w:hanging="256"/>
        <w:spacing w:after="0"/>
        <w:tabs>
          <w:tab w:leader="none" w:pos="15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Preferred Investment Option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Preferred Investment Option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firstLine="189"/>
        <w:spacing w:after="0" w:line="284" w:lineRule="auto"/>
        <w:rPr>
          <w:sz w:val="20"/>
          <w:szCs w:val="20"/>
          <w:color w:val="auto"/>
        </w:rPr>
      </w:pPr>
      <w:r>
        <w:rPr>
          <w:rFonts w:ascii="Times New Roman" w:cs="Times New Roman" w:eastAsia="Times New Roman" w:hAnsi="Times New Roman"/>
          <w:sz w:val="18"/>
          <w:szCs w:val="18"/>
          <w:i w:val="1"/>
          <w:iCs w:val="1"/>
          <w:color w:val="auto"/>
        </w:rPr>
        <w:t>(To assign the foregoing Preferred Investment Option, execute this form and supply required information. Do not use this form to exercise the Preferred Investment Option to purchase shares.)</w:t>
      </w:r>
    </w:p>
    <w:p>
      <w:pPr>
        <w:spacing w:after="0" w:line="1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FOR VALUE RECEIVED, the foregoing Preferred Investment Option and all rights evidenced thereby are hereby assigned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5715</wp:posOffset>
            </wp:positionV>
            <wp:extent cx="34886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left="5740"/>
        <w:spacing w:after="0"/>
        <w:rPr>
          <w:sz w:val="20"/>
          <w:szCs w:val="20"/>
          <w:color w:val="auto"/>
        </w:rPr>
      </w:pPr>
      <w:r>
        <w:rPr>
          <w:rFonts w:ascii="Times New Roman" w:cs="Times New Roman" w:eastAsia="Times New Roman" w:hAnsi="Times New Roman"/>
          <w:sz w:val="18"/>
          <w:szCs w:val="18"/>
          <w:color w:val="auto"/>
        </w:rPr>
        <w:t>(Please Print)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5715</wp:posOffset>
            </wp:positionV>
            <wp:extent cx="34886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 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 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One Financial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-119380</wp:posOffset>
            </wp:positionV>
            <wp:extent cx="728980" cy="9175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91757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Boston, MA 02111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617-542-6000</w:t>
      </w:r>
    </w:p>
    <w:p>
      <w:pPr>
        <w:spacing w:after="0" w:line="9" w:lineRule="exact"/>
        <w:rPr>
          <w:sz w:val="20"/>
          <w:szCs w:val="20"/>
          <w:color w:val="auto"/>
        </w:rPr>
      </w:pPr>
    </w:p>
    <w:p>
      <w:pPr>
        <w:ind w:left="9940"/>
        <w:spacing w:after="0"/>
        <w:rPr>
          <w:sz w:val="20"/>
          <w:szCs w:val="20"/>
          <w:color w:val="auto"/>
        </w:rPr>
      </w:pPr>
      <w:r>
        <w:rPr>
          <w:rFonts w:ascii="Times New Roman" w:cs="Times New Roman" w:eastAsia="Times New Roman" w:hAnsi="Times New Roman"/>
          <w:sz w:val="18"/>
          <w:szCs w:val="18"/>
          <w:color w:val="auto"/>
        </w:rPr>
        <w:t>617-542-2241 fax</w:t>
      </w:r>
    </w:p>
    <w:p>
      <w:pPr>
        <w:spacing w:after="0" w:line="9" w:lineRule="exact"/>
        <w:rPr>
          <w:sz w:val="20"/>
          <w:szCs w:val="20"/>
          <w:color w:val="auto"/>
        </w:rPr>
      </w:pPr>
    </w:p>
    <w:p>
      <w:pPr>
        <w:ind w:left="10060"/>
        <w:spacing w:after="0"/>
        <w:rPr>
          <w:sz w:val="20"/>
          <w:szCs w:val="20"/>
          <w:color w:val="auto"/>
        </w:rPr>
      </w:pPr>
      <w:r>
        <w:rPr>
          <w:rFonts w:ascii="Times New Roman" w:cs="Times New Roman" w:eastAsia="Times New Roman" w:hAnsi="Times New Roman"/>
          <w:sz w:val="17"/>
          <w:szCs w:val="17"/>
          <w:color w:val="auto"/>
        </w:rPr>
        <w:t>www.mintz.com</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288 Grove Street, Suite 388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Braintree, MA 02184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acted as counsel to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of a Prospectus Supplement, dated February 9, 2025, to a Prospectus, dated December 4, 2023 (the “</w:t>
      </w:r>
      <w:r>
        <w:rPr>
          <w:rFonts w:ascii="Times New Roman" w:cs="Times New Roman" w:eastAsia="Times New Roman" w:hAnsi="Times New Roman"/>
          <w:sz w:val="18"/>
          <w:szCs w:val="18"/>
          <w:u w:val="single" w:color="auto"/>
          <w:color w:val="auto"/>
        </w:rPr>
        <w:t>Prospectus and Prospectus Supplement</w:t>
      </w:r>
      <w:r>
        <w:rPr>
          <w:rFonts w:ascii="Times New Roman" w:cs="Times New Roman" w:eastAsia="Times New Roman" w:hAnsi="Times New Roman"/>
          <w:sz w:val="18"/>
          <w:szCs w:val="18"/>
          <w:color w:val="auto"/>
        </w:rPr>
        <w:t>”), filed pursuant to a Registration Statement on Form S-3, Registration No. 333-275634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and filed by the Company with the Commission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Prospectus Supplement relates to the sale of 6,103,289 shares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of the Company’s common stock, $0.01 par value per share, pursuant to a Securities Purchase Agreement, dated February 9, 2025, between the Company and the purchasers named therein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The Purchase Agreement will be filed as an exhibit to a Current Report on Form 8-K and incorporated by reference into the Registration Statement. This opinion is being rendered in connection with the filing of the Prospectus Supplement with the Commission. All capitalized terms used herein and not otherwise defined shall have the respective meanings given to them in the Registration Statement.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this opinion, we have (i) examined and relied upon: (A) the Registration Statement, the Prospectus and the Prospectus Supplement, (B) the Company’s Restated Certificate of Incorporation and Amended and Restated Bylaws, as currently in effect, and (C) the originals or copies certified to our satisfaction of such records, documents, certificates, memoranda and other instruments as in our judgment are necessary or appropriate to enable us to render the opinion expressed below; and (ii) assumed that the Securities to be sold by the Company will be sold at a price and on terms established by the Board of Directors of the Company or a duly constituted pricing committee thereof in accordance with Section 153 of the Delaware General Corporation Law. As to certain factual matters, we have relied upon a certificate of an officer of the Company and have not independently verified such matters. In rendering this opinion, we have assumed the genuineness and authenticity of all signatures on signed documents;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due authorization, execution and delivery are a prerequisite to the effectiveness thereof (except we have not made such assumption with respect to the Company).</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opinion is limited to the General Corporation Law of the State of Delaware and we express no opinion with respect to the laws of any other jurisdiction. No opinion is expressed herein with respect to the qualification of the Securities under the securities or blue sky laws of any state or any foreign jurisdiction.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Securities, when sold and issued in accordance with the Registration Statement, the Prospectus and the Prospectus Supplement, will be validly issued, fully paid and nonassessable.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a Current Report on Form 8-K in accordance with the requirements of Item 601(b)(5) of Regulation S-K under the Securities Act and to the use of this Firm’s name therein and in the Prospectus Supplement under the caption “Legal Matters.” In giving such consent, we do not hereby admit that we are in the category of persons whose consent is required under Section 7 of the Securities Act or the rules and regulations of the Commission.</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February 9, 2025, between Microbot Medical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(i) an effective registration statement under the Securities Act (as defined below) as to the Shares and the Pre-Funded Warrants and (ii) an exemption from the registration requirements of Section 5 of the Securities Act contained in Section 4(a)(2) thereof and/or Regulation D thereunder as to the Preferred Investment Options, the Company desires to issue and sell to each Purchaser, and each Purchaser, severally and not jointly, desires to purchase from the Company, securities of the Company as more fully described in this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means the amendment to the Company’s articles of incorporation that increases the number of authorized shares of Common Stock from 60,000,000 to an amount of shares of Common Stock sufficient for the exercise in full of the Preferred Investment Options.</w:t>
      </w:r>
    </w:p>
    <w:p>
      <w:pPr>
        <w:spacing w:after="0" w:line="162"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Share Increase Date</w:t>
      </w:r>
      <w:r>
        <w:rPr>
          <w:rFonts w:ascii="Times New Roman" w:cs="Times New Roman" w:eastAsia="Times New Roman" w:hAnsi="Times New Roman"/>
          <w:sz w:val="18"/>
          <w:szCs w:val="18"/>
          <w:color w:val="auto"/>
        </w:rPr>
        <w:t>” means, subject to Authorized Share Approval, the date on which the Amendment is filed and accepted with the State of Delaware.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Share Approval</w:t>
      </w:r>
      <w:r>
        <w:rPr>
          <w:rFonts w:ascii="Times New Roman" w:cs="Times New Roman" w:eastAsia="Times New Roman" w:hAnsi="Times New Roman"/>
          <w:sz w:val="18"/>
          <w:szCs w:val="18"/>
          <w:color w:val="auto"/>
        </w:rPr>
        <w:t>” means approval of the Amendment by the shareholders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22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Trading Day following the date hereof</w:t>
      </w:r>
    </w:p>
    <w:p>
      <w:pPr>
        <w:spacing w:after="0" w:line="1"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(or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hereof if this Agreement is signed on a day that is not a Trading Day or after 4:00 p.m. (New York City time) and before midnight (New York City time) on a Trading Day).</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Mintz, Levin, Cohn, Ferris, Glovsky and Popeo, P.C., with offices located at One Financial Center, Boston, MA 02111.</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EGS</w:t>
      </w:r>
      <w:r>
        <w:rPr>
          <w:rFonts w:ascii="Times New Roman" w:cs="Times New Roman" w:eastAsia="Times New Roman" w:hAnsi="Times New Roman"/>
          <w:sz w:val="18"/>
          <w:szCs w:val="18"/>
          <w:color w:val="auto"/>
        </w:rPr>
        <w:t>” means Ellenoff Grossman &amp; Schole LLP, with offices located at 1345 Avenue of the Americas, New York, New York 10105-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0302.</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43" w:name="page44"/>
    <w:bookmarkEnd w:id="43"/>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hereunder, warrants to the Placement Agent in connection with the transactions pursuant to this Agreement and any securities upon exercise of warrants to the Placement Agent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4.11(a)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3.1(aa).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shall have the meaning ascribed to such term in Section 4.1(c).</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44" w:name="page45"/>
    <w:bookmarkEnd w:id="44"/>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$2.13 (less $0.0001 for each Pre-Funded Warrant), subject to adjustment for reverse and forward stock splits, stock dividends, stock combinations and other similar transactions of the Common Stock that occur after the date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shall have the meaning ascribed to such term in Section 3.1(hh).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H.C. Wainwright &amp; Co., LLC.</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Investment Options</w:t>
      </w:r>
      <w:r>
        <w:rPr>
          <w:rFonts w:ascii="Times New Roman" w:cs="Times New Roman" w:eastAsia="Times New Roman" w:hAnsi="Times New Roman"/>
          <w:sz w:val="18"/>
          <w:szCs w:val="18"/>
          <w:color w:val="auto"/>
        </w:rPr>
        <w:t xml:space="preserve">” means the Series I Preferred Investment Options delivered to the Purchasers at the Closing in accordance with Section 2.2(a) hereof, which Preferred Investment Options shall be exercisable on and after the later of (i) the Authorized Share Increase Date and (ii) the Stockholder Approval Date and have a term of exercise equal to two (2) years after the initial exercise date, in the form of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attached hereto.</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Investment Option Shares</w:t>
      </w:r>
      <w:r>
        <w:rPr>
          <w:rFonts w:ascii="Times New Roman" w:cs="Times New Roman" w:eastAsia="Times New Roman" w:hAnsi="Times New Roman"/>
          <w:sz w:val="18"/>
          <w:szCs w:val="18"/>
          <w:color w:val="auto"/>
        </w:rPr>
        <w:t>” means the shares of Common Stock issuable upon exercise of the Preferred Investment Options.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xml:space="preserve">” means, collectively, the Pre-Funded Common Stock purchase warrants delivered to the Purchasers at the Closing in accordance with Section 2.2(a) hereof, which Pre-Funded Warrants shall be exercisable immediately and shall expire when exercised in full,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 Shares</w:t>
      </w:r>
      <w:r>
        <w:rPr>
          <w:rFonts w:ascii="Times New Roman" w:cs="Times New Roman" w:eastAsia="Times New Roman" w:hAnsi="Times New Roman"/>
          <w:sz w:val="18"/>
          <w:szCs w:val="18"/>
          <w:color w:val="auto"/>
        </w:rPr>
        <w:t>” means the shares of Common Stock issuable upon exercise of the Pre-Funded Warrants.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final prospectus filed for the Registration Statement.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that is filed with the Commission and delivered by the Company to each Purchaser at the Closing.</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45" w:name="page46"/>
    <w:bookmarkEnd w:id="4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with Commission file No. 333-275634 which registers the sale of the Shares and Pre-Funded Warrants to the Purchasers.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the Warrants and the Warrant Shares.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means such approval as may be required by the applicable rules and regulations of the Nasdaq Stock Market (or any successor entity) from the stockholders of the Company with respect to the issuance of all the Preferred Investment Options and the Preferred Investment Option Shares upon the exercise thereof.</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Approval Date</w:t>
      </w:r>
      <w:r>
        <w:rPr>
          <w:rFonts w:ascii="Times New Roman" w:cs="Times New Roman" w:eastAsia="Times New Roman" w:hAnsi="Times New Roman"/>
          <w:sz w:val="18"/>
          <w:szCs w:val="18"/>
          <w:color w:val="auto"/>
        </w:rPr>
        <w:t>” means the date on which Stockholder Approval is received and deemed effective under Delaware law.</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and Warrants purchased hereunder as specified below such Purchaser’s name on the signature page of this Agreement and next to the heading “Subscription Amount,” in United States dollars and in immediately available funds (minus, if applicable, a Purchaser’s aggregate exercise price of the Pre-Funded Warrants, which amounts shall be paid as and when such Pre-Funded Warrants are exercised for cash).</w:t>
      </w:r>
    </w:p>
    <w:p>
      <w:pPr>
        <w:spacing w:after="0" w:line="18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46" w:name="page47"/>
    <w:bookmarkEnd w:id="4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Warrants, all exhibits and schedules thereto and hereto and any other documents or agreements executed in connection with the transactions contemplated 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Computershare Trust Company, with offices located at Meidinger Tower, 462 South 4th Street, Louisville, KY 40202, and any successor transfer agent of the Company.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shall have the meaning ascribed to such term in Section 4.11(b).</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collectively, the Preferred Investment Options and the Pre-Funded Warrants.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issuable upon exercise of the Warrants.</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the Company agrees to sell, and the Purchasers, severally and not jointly, agree to purchase, up to an aggregate of $_____ of Shares and Warrants. Notwithstanding anything herein to the contrary, to the extent that</w:t>
      </w:r>
    </w:p>
    <w:p>
      <w:pPr>
        <w:jc w:val="both"/>
        <w:spacing w:after="0" w:line="250" w:lineRule="auto"/>
        <w:rPr>
          <w:sz w:val="20"/>
          <w:szCs w:val="20"/>
          <w:color w:val="auto"/>
        </w:rPr>
      </w:pPr>
      <w:r>
        <w:rPr>
          <w:rFonts w:ascii="Times New Roman" w:cs="Times New Roman" w:eastAsia="Times New Roman" w:hAnsi="Times New Roman"/>
          <w:sz w:val="18"/>
          <w:szCs w:val="18"/>
          <w:color w:val="auto"/>
        </w:rPr>
        <w:t>a Purchaser determines, in its sole discretion, that such Purchaser’s Subscription Amount (together with such Purchaser’s Affiliates and any Person acting as a group together with such Purchaser or any of such Purchaser’s Affiliates) would cause such Purchaser’s beneficial ownership of the shares of Common Stock to exceed the Beneficial Ownership Limitation, or as such Purchaser may otherwise choose, such Purchaser may elect to purchase Pre-Funded Warrants in lieu of the Shares as determined pursuant to Section 2.2(a).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(or, at the election of the Purchaser at Closing, 9.99%) of the number of shares of the Common Stock outstanding immediately after giving effect to the issuance of the Securities on the Closing Date. In each case, the election to receive Pre-Funded Warrants is solely at the option of the Purchaser. Each Purchaser’s Subscription Amount as set forth on the signature page hereto executed by such Purchaser shall be made available for “Delivery Versus Payment” settlement with the Company or its designee. The Company shall deliver to each Purchaser its respective Shares, Pre-Funded Warrants and Preferred Investment Option as determined pursuant to Section 2.2(a),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 Notwithstanding anything herein to the contrary, if at any time on or after the time of execution of this Agreement by the Company and an applicable Purchaser, through, and including the time immediately prior to the Closing (the “</w:t>
      </w:r>
      <w:r>
        <w:rPr>
          <w:rFonts w:ascii="Times New Roman" w:cs="Times New Roman" w:eastAsia="Times New Roman" w:hAnsi="Times New Roman"/>
          <w:sz w:val="18"/>
          <w:szCs w:val="18"/>
          <w:u w:val="single" w:color="auto"/>
          <w:color w:val="auto"/>
        </w:rPr>
        <w:t>Pre-Settlement Period</w:t>
      </w:r>
      <w:r>
        <w:rPr>
          <w:rFonts w:ascii="Times New Roman" w:cs="Times New Roman" w:eastAsia="Times New Roman" w:hAnsi="Times New Roman"/>
          <w:sz w:val="18"/>
          <w:szCs w:val="18"/>
          <w:color w:val="auto"/>
        </w:rPr>
        <w:t>”), such Purchaser sells to any Person all, or any portion, of the Shares to be issued hereunder to such Purchaser at the Closing (collectively, the “</w:t>
      </w:r>
      <w:r>
        <w:rPr>
          <w:rFonts w:ascii="Times New Roman" w:cs="Times New Roman" w:eastAsia="Times New Roman" w:hAnsi="Times New Roman"/>
          <w:sz w:val="18"/>
          <w:szCs w:val="18"/>
          <w:u w:val="single" w:color="auto"/>
          <w:color w:val="auto"/>
        </w:rPr>
        <w:t>Pre-Settlement Shares</w:t>
      </w:r>
      <w:r>
        <w:rPr>
          <w:rFonts w:ascii="Times New Roman" w:cs="Times New Roman" w:eastAsia="Times New Roman" w:hAnsi="Times New Roman"/>
          <w:sz w:val="18"/>
          <w:szCs w:val="18"/>
          <w:color w:val="auto"/>
        </w:rPr>
        <w:t>”), such Purchaser shall, automatically hereunder (without any additional required actions by such Purchaser or the Company), be deemed to be unconditionally bound to purchase, such Pre-Settlement Shares at the Closing, and the Company shall be deemed unconditionally bound to sell such Pre-Settlement Shares to such Person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shares of Common Stock to any Person and that any such decision to sell any shares of Common Stock by such Purchaser shall solely be made at the time such Purchaser elects to effect any such sale, if any. Unless otherwise directed by the Placement Agent, settlement of the Shares shall occur via “Delivery Versus Payment” (“</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Notwithstanding the foregoing, with respect to any Notice(s) of Exercise (as defined in the Pre-Funded Warrants) delivered on or prior to 12:00 p.m. (New York City time) on the Closing Date, which may be delivered at any time after the time of execution of this Agreement, the Company agrees to deliver the Pre-Funded Warrant Shares subject to such notice(s) by 4:00 p.m. (New York City time) on the Closing Date and the Closing Date shall be the Warrant Share Delivery Date (as defined in the Pre-Funded Warrants) for purposes thereunder.</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deliver or cause to be delivered to each Purchaser the following:</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166"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Company Counsel, directed to the Placement Agent and the Purchasers, in a form reasonably acceptable to the Placement Agent and Purchasers;</w:t>
      </w:r>
    </w:p>
    <w:p>
      <w:pPr>
        <w:spacing w:after="0" w:line="161"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 the Company shall have provided each Purchaser with the Company’s wire instructions;</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73"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Preferred Investment Option registered in the name of such Purchaser to purchase up to a number of shares of Common Stock equal to 200% of the sum of such Purchaser’s Shares and Pre-Funded Warrant Shares, with an exercise price equal to $2.13, subject to adjustment therein;</w:t>
      </w:r>
    </w:p>
    <w:p>
      <w:pPr>
        <w:spacing w:after="0" w:line="175" w:lineRule="exact"/>
        <w:rPr>
          <w:rFonts w:ascii="Times New Roman" w:cs="Times New Roman" w:eastAsia="Times New Roman" w:hAnsi="Times New Roman"/>
          <w:sz w:val="18"/>
          <w:szCs w:val="18"/>
          <w:color w:val="auto"/>
        </w:rPr>
      </w:pPr>
    </w:p>
    <w:p>
      <w:pPr>
        <w:jc w:val="both"/>
        <w:ind w:left="1300" w:right="20" w:firstLine="652"/>
        <w:spacing w:after="0" w:line="266" w:lineRule="auto"/>
        <w:tabs>
          <w:tab w:leader="none" w:pos="226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 a copy of the irrevocable instructions to the Transfer Agent instructing the Transfer Agent to deliver on an expedited basis via The Depository Trust Company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Shares equal to such Purchaser’s Subscription Amount divided by the Per Share Purchase Price, registered in the name of such Purchaser;</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232"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Pre-Funded Warrant registered in the name of such Purchaser to purchase up to a number of shares of Common Stock equal to the difference between (A) such Purchaser’s Subscription Amount divided by the Per Pre-Funded Warrant Purchase Price and (B) the number of Shares otherwise issuable to such Purchaser that would cause such Purchaser’s Beneficial Ownership to be more than the Beneficial Ownership Limitation with an exercise price equal to $0.0001 per share of Common Stock, subject to adjustment therein; and</w:t>
      </w:r>
    </w:p>
    <w:p>
      <w:pPr>
        <w:spacing w:after="0" w:line="183"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Prospectus Supplement (which may be delivered in accordance with Rule 172 under the Securities Act).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229"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which shall be made available for “Delivery Versus Payment” settlement with the Company or its designee.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163"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spacing w:after="0" w:line="179"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26"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178"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179" w:lineRule="exact"/>
        <w:rPr>
          <w:rFonts w:ascii="Times New Roman" w:cs="Times New Roman" w:eastAsia="Times New Roman" w:hAnsi="Times New Roman"/>
          <w:sz w:val="18"/>
          <w:szCs w:val="18"/>
          <w:color w:val="auto"/>
        </w:rPr>
      </w:pPr>
    </w:p>
    <w:p>
      <w:pPr>
        <w:ind w:left="1300" w:firstLine="652"/>
        <w:spacing w:after="0" w:line="282" w:lineRule="auto"/>
        <w:tabs>
          <w:tab w:leader="none" w:pos="2213"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205"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SEC Reports, the Company hereby makes the following representations and warranties to each Purchaser:</w:t>
      </w:r>
    </w:p>
    <w:p>
      <w:pPr>
        <w:spacing w:after="0" w:line="162" w:lineRule="exact"/>
        <w:rPr>
          <w:sz w:val="20"/>
          <w:szCs w:val="20"/>
          <w:color w:val="auto"/>
        </w:rPr>
      </w:pPr>
    </w:p>
    <w:p>
      <w:pPr>
        <w:jc w:val="both"/>
        <w:ind w:left="660" w:firstLine="644"/>
        <w:spacing w:after="0" w:line="258" w:lineRule="auto"/>
        <w:tabs>
          <w:tab w:leader="none" w:pos="155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83" w:lineRule="exact"/>
        <w:rPr>
          <w:rFonts w:ascii="Times New Roman" w:cs="Times New Roman" w:eastAsia="Times New Roman" w:hAnsi="Times New Roman"/>
          <w:sz w:val="18"/>
          <w:szCs w:val="18"/>
          <w:color w:val="auto"/>
        </w:rPr>
      </w:pPr>
    </w:p>
    <w:p>
      <w:pPr>
        <w:jc w:val="both"/>
        <w:ind w:firstLine="8"/>
        <w:spacing w:after="0" w:line="253" w:lineRule="auto"/>
        <w:tabs>
          <w:tab w:leader="none" w:pos="2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30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188" w:lineRule="exact"/>
        <w:rPr>
          <w:rFonts w:ascii="Times New Roman" w:cs="Times New Roman" w:eastAsia="Times New Roman" w:hAnsi="Times New Roman"/>
          <w:sz w:val="18"/>
          <w:szCs w:val="18"/>
          <w:color w:val="auto"/>
        </w:rPr>
      </w:pPr>
    </w:p>
    <w:p>
      <w:pPr>
        <w:jc w:val="both"/>
        <w:ind w:firstLine="8"/>
        <w:spacing w:after="0" w:line="253" w:lineRule="auto"/>
        <w:tabs>
          <w:tab w:leader="none" w:pos="28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jc w:val="both"/>
        <w:ind w:firstLine="8"/>
        <w:spacing w:after="0" w:line="253" w:lineRule="auto"/>
        <w:tabs>
          <w:tab w:leader="none" w:pos="2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89" w:lineRule="exact"/>
        <w:rPr>
          <w:rFonts w:ascii="Times New Roman" w:cs="Times New Roman" w:eastAsia="Times New Roman" w:hAnsi="Times New Roman"/>
          <w:sz w:val="18"/>
          <w:szCs w:val="18"/>
          <w:color w:val="auto"/>
        </w:rPr>
      </w:pPr>
    </w:p>
    <w:p>
      <w:pPr>
        <w:jc w:val="both"/>
        <w:ind w:firstLine="8"/>
        <w:spacing w:after="0" w:line="256" w:lineRule="auto"/>
        <w:tabs>
          <w:tab w:leader="none" w:pos="24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and Warrant Shares for trading thereon in the time and manner required thereby, (iv) the filing of Form D with the Commission and such filings as are required to be made under applicable state securities laws, (v) Authorized Share Approval, and (vi) Stockholder Approval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both"/>
        <w:ind w:firstLine="8"/>
        <w:spacing w:after="0" w:line="252" w:lineRule="auto"/>
        <w:tabs>
          <w:tab w:leader="none" w:pos="23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 Registration</w:t>
      </w:r>
      <w:r>
        <w:rPr>
          <w:rFonts w:ascii="Times New Roman" w:cs="Times New Roman" w:eastAsia="Times New Roman" w:hAnsi="Times New Roman"/>
          <w:sz w:val="18"/>
          <w:szCs w:val="18"/>
          <w:color w:val="auto"/>
        </w:rPr>
        <w:t>. The Securities are duly authorized, or in the case of the Preferred Investment Option Shares, will be on the Authorized Share Increase Date, and, when issued and paid for in accordance with the applicable Transaction Documents, will be duly and validly issued, fully paid and nonassessable, free and clear of all Liens imposed by the Company. The Warrant Shares, when issued in accordance with the terms of the Warrants, will be validly issued, fully paid and nonassessable, free and clear of all Liens imposed by the Company. The Company has reserved from its duly authorized capital stock the maximum number of shares of Common Stock issuable pursuant to this Agreement and, on and after the Authorized Share Increase Date, the Warrants. The Company has prepared and filed the Registration Statement in conformity with the requirements of the Securities Act, which became effective on December 4, 2023,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and during the twelve (12) months prior to this offering, as set forth in General Instruction I.B.6 of Form S-3.</w:t>
      </w:r>
    </w:p>
    <w:p>
      <w:pPr>
        <w:spacing w:after="0" w:line="189" w:lineRule="exact"/>
        <w:rPr>
          <w:rFonts w:ascii="Times New Roman" w:cs="Times New Roman" w:eastAsia="Times New Roman" w:hAnsi="Times New Roman"/>
          <w:sz w:val="18"/>
          <w:szCs w:val="18"/>
          <w:color w:val="auto"/>
        </w:rPr>
      </w:pPr>
    </w:p>
    <w:p>
      <w:pPr>
        <w:jc w:val="both"/>
        <w:ind w:firstLine="8"/>
        <w:spacing w:after="0" w:line="251" w:lineRule="auto"/>
        <w:tabs>
          <w:tab w:leader="none" w:pos="2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Except for exercise of outstanding warrants and preferred investment options in the ordinary course, the capitalization of the Company as of the date set forth therein is as set forth in the SEC Reports. The Company has not issued any capital stock since its most recently filed periodic report under the Exchange Act, other than (i) as disclosed in a subsequent Current Report on Form 8-K, (ii) pursuant to the exercise of employee stock options under the Company’s stock option plans, (iii) the issuance of shares of Common Stock to employees pursuant to the Company’s employee stock purchase plans, (iv) pursuant to the conversion and/or exercise of Common Stock Equivalents outstanding as of the date of the most recently filed periodic report under the Exchange Act and (v) pursuant to the exercise of outstanding warrants or preferred investment options. No Person has any right of first refusal, preemptive right, right of participation, or any similar right to participate in the transactions contemplated by the Transaction Documents. Except as a result of the purchase and sale of the Securities and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Except as set forth in the SEC Reports,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in the SEC Reports,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Except for Authorized Share Approval and Stockholder Approval,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jc w:val="both"/>
        <w:ind w:firstLine="8"/>
        <w:spacing w:after="0" w:line="252" w:lineRule="auto"/>
        <w:tabs>
          <w:tab w:leader="none" w:pos="26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both"/>
        <w:ind w:firstLine="8"/>
        <w:spacing w:after="0" w:line="253" w:lineRule="auto"/>
        <w:tabs>
          <w:tab w:leader="none" w:pos="2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Except as set forth in the SEC Reports, since the date of the latest audited financial statements included within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87" w:lineRule="exact"/>
        <w:rPr>
          <w:rFonts w:ascii="Times New Roman" w:cs="Times New Roman" w:eastAsia="Times New Roman" w:hAnsi="Times New Roman"/>
          <w:sz w:val="18"/>
          <w:szCs w:val="18"/>
          <w:color w:val="auto"/>
        </w:rPr>
      </w:pPr>
    </w:p>
    <w:p>
      <w:pPr>
        <w:jc w:val="both"/>
        <w:ind w:firstLine="8"/>
        <w:spacing w:after="0" w:line="253" w:lineRule="auto"/>
        <w:tabs>
          <w:tab w:leader="none" w:pos="2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None of the Actions set forth in the SEC Reports (i) adversely affects or challenges the legality, validity or enforceability of any of the Transaction Documents or the Securities or (ii) except as set forth in the SEC Reports, would have or reasonably be expected to result in a Material Adverse Effect. Neither the Company nor any Subsidiary, nor any current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94" w:lineRule="exact"/>
        <w:rPr>
          <w:rFonts w:ascii="Times New Roman" w:cs="Times New Roman" w:eastAsia="Times New Roman" w:hAnsi="Times New Roman"/>
          <w:sz w:val="18"/>
          <w:szCs w:val="18"/>
          <w:color w:val="auto"/>
        </w:rPr>
      </w:pPr>
    </w:p>
    <w:p>
      <w:pPr>
        <w:jc w:val="both"/>
        <w:ind w:firstLine="8"/>
        <w:spacing w:after="0" w:line="253" w:lineRule="auto"/>
        <w:tabs>
          <w:tab w:leader="none" w:pos="2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jc w:val="both"/>
        <w:ind w:firstLine="8"/>
        <w:spacing w:after="0" w:line="254" w:lineRule="auto"/>
        <w:tabs>
          <w:tab w:leader="none" w:pos="2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jc w:val="both"/>
        <w:ind w:firstLine="8"/>
        <w:spacing w:after="0" w:line="254" w:lineRule="auto"/>
        <w:tabs>
          <w:tab w:leader="none" w:pos="31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would be reasonably expected to have, individually or in the aggregate, a Material Adverse Effect.</w:t>
      </w:r>
    </w:p>
    <w:p>
      <w:pPr>
        <w:spacing w:after="0" w:line="188" w:lineRule="exact"/>
        <w:rPr>
          <w:rFonts w:ascii="Times New Roman" w:cs="Times New Roman" w:eastAsia="Times New Roman" w:hAnsi="Times New Roman"/>
          <w:sz w:val="18"/>
          <w:szCs w:val="18"/>
          <w:color w:val="auto"/>
        </w:rPr>
      </w:pPr>
    </w:p>
    <w:p>
      <w:pPr>
        <w:jc w:val="both"/>
        <w:ind w:firstLine="8"/>
        <w:spacing w:after="0" w:line="261" w:lineRule="auto"/>
        <w:tabs>
          <w:tab w:leader="none" w:pos="2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79" w:lineRule="exact"/>
        <w:rPr>
          <w:rFonts w:ascii="Times New Roman" w:cs="Times New Roman" w:eastAsia="Times New Roman" w:hAnsi="Times New Roman"/>
          <w:sz w:val="18"/>
          <w:szCs w:val="18"/>
          <w:color w:val="auto"/>
        </w:rPr>
      </w:pPr>
    </w:p>
    <w:p>
      <w:pPr>
        <w:jc w:val="both"/>
        <w:ind w:firstLine="8"/>
        <w:spacing w:after="0" w:line="255" w:lineRule="auto"/>
        <w:tabs>
          <w:tab w:leader="none" w:pos="26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jc w:val="both"/>
        <w:ind w:firstLine="8"/>
        <w:spacing w:after="0" w:line="253" w:lineRule="auto"/>
        <w:tabs>
          <w:tab w:leader="none" w:pos="26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To the Company’s knowledge,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be reasonably expected to have a Material Adverse Effect or as disclosed in the SEC Reports.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or as disclosed in the SEC Reports.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firstLine="8"/>
        <w:spacing w:after="0" w:line="258" w:lineRule="auto"/>
        <w:tabs>
          <w:tab w:leader="none" w:pos="26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been advised that it will not be able to renew its existing insurance coverage as and when such coverage expires or to obtain similar coverage from similar insurers as may be necessary to continue its business without a significant increase in cost.</w:t>
      </w:r>
    </w:p>
    <w:p>
      <w:pPr>
        <w:spacing w:after="0" w:line="183" w:lineRule="exact"/>
        <w:rPr>
          <w:rFonts w:ascii="Times New Roman" w:cs="Times New Roman" w:eastAsia="Times New Roman" w:hAnsi="Times New Roman"/>
          <w:sz w:val="18"/>
          <w:szCs w:val="18"/>
          <w:color w:val="auto"/>
        </w:rPr>
      </w:pPr>
    </w:p>
    <w:p>
      <w:pPr>
        <w:jc w:val="both"/>
        <w:ind w:firstLine="8"/>
        <w:spacing w:after="0" w:line="254" w:lineRule="auto"/>
        <w:tabs>
          <w:tab w:leader="none" w:pos="2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and in which the officer, director or employee has a direct or indirect material interest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jc w:val="both"/>
        <w:ind w:firstLine="8"/>
        <w:spacing w:after="0" w:line="252" w:lineRule="auto"/>
        <w:tabs>
          <w:tab w:leader="none" w:pos="23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compliance in all material respects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Except as set forth in the SEC Reports,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set forth in the SEC Reports,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3" w:lineRule="exact"/>
        <w:rPr>
          <w:rFonts w:ascii="Times New Roman" w:cs="Times New Roman" w:eastAsia="Times New Roman" w:hAnsi="Times New Roman"/>
          <w:sz w:val="18"/>
          <w:szCs w:val="18"/>
          <w:color w:val="auto"/>
        </w:rPr>
      </w:pPr>
    </w:p>
    <w:p>
      <w:pPr>
        <w:jc w:val="both"/>
        <w:ind w:firstLine="8"/>
        <w:spacing w:after="0" w:line="258" w:lineRule="auto"/>
        <w:tabs>
          <w:tab w:leader="none" w:pos="21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for fees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rFonts w:ascii="Times New Roman" w:cs="Times New Roman" w:eastAsia="Times New Roman" w:hAnsi="Times New Roman"/>
          <w:sz w:val="18"/>
          <w:szCs w:val="18"/>
          <w:color w:val="auto"/>
        </w:rPr>
      </w:pPr>
    </w:p>
    <w:p>
      <w:pPr>
        <w:jc w:val="both"/>
        <w:ind w:firstLine="8"/>
        <w:spacing w:after="0" w:line="266" w:lineRule="auto"/>
        <w:tabs>
          <w:tab w:leader="none" w:pos="2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8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Other than as set forth in the SEC Reports, no Person has any right to cause the Company or any Subsidiary to effect the registration under the Securities Act of any securities of the Company or any Subsidiary.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jc w:val="both"/>
        <w:ind w:firstLine="8"/>
        <w:spacing w:after="0" w:line="254" w:lineRule="auto"/>
        <w:tabs>
          <w:tab w:leader="none" w:pos="2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or 12(g) of the Exchange Act, and the Company has taken no action designed to terminate, or which to its knowledge is likely to have the effect of terminating, the registration of the Common Stock under the Exchange Act nor has the Company received any notification that the Commission is contemplating terminating such registration. Except as set forth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Except as set forth in the SEC Reports,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8" w:lineRule="exact"/>
        <w:rPr>
          <w:rFonts w:ascii="Times New Roman" w:cs="Times New Roman" w:eastAsia="Times New Roman" w:hAnsi="Times New Roman"/>
          <w:sz w:val="18"/>
          <w:szCs w:val="18"/>
          <w:color w:val="auto"/>
        </w:rPr>
      </w:pPr>
    </w:p>
    <w:p>
      <w:pPr>
        <w:jc w:val="both"/>
        <w:ind w:firstLine="8"/>
        <w:spacing w:after="0" w:line="258" w:lineRule="auto"/>
        <w:tabs>
          <w:tab w:leader="none" w:pos="2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83" w:lineRule="exact"/>
        <w:rPr>
          <w:rFonts w:ascii="Times New Roman" w:cs="Times New Roman" w:eastAsia="Times New Roman" w:hAnsi="Times New Roman"/>
          <w:sz w:val="18"/>
          <w:szCs w:val="18"/>
          <w:color w:val="auto"/>
        </w:rPr>
      </w:pPr>
    </w:p>
    <w:p>
      <w:pPr>
        <w:jc w:val="both"/>
        <w:ind w:firstLine="8"/>
        <w:spacing w:after="0" w:line="254" w:lineRule="auto"/>
        <w:tabs>
          <w:tab w:leader="none" w:pos="26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in all material respects as of the date made and does not contain any untrue statement of a material fact or omit to state any material fact necessary in order to make the statements made therein, in the light of the circumstances under which they were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88" w:lineRule="exact"/>
        <w:rPr>
          <w:rFonts w:ascii="Times New Roman" w:cs="Times New Roman" w:eastAsia="Times New Roman" w:hAnsi="Times New Roman"/>
          <w:sz w:val="18"/>
          <w:szCs w:val="18"/>
          <w:color w:val="auto"/>
        </w:rPr>
      </w:pPr>
    </w:p>
    <w:p>
      <w:pPr>
        <w:jc w:val="both"/>
        <w:ind w:firstLine="8"/>
        <w:spacing w:after="0" w:line="258" w:lineRule="auto"/>
        <w:tabs>
          <w:tab w:leader="none" w:pos="2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the Preferred Investment Options or Preferred Investment Option Shares under the Securities Act, or (ii) any applicable shareholder approval provisions of any Trading Market on which any of the securities of the Company are listed or designated.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jc w:val="both"/>
        <w:ind w:firstLine="8"/>
        <w:spacing w:after="0" w:line="252" w:lineRule="auto"/>
        <w:tabs>
          <w:tab w:leader="none" w:pos="3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Except as disclosed in the SEC Reports,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set forth therein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5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88" w:lineRule="exact"/>
        <w:rPr>
          <w:rFonts w:ascii="Times New Roman" w:cs="Times New Roman" w:eastAsia="Times New Roman" w:hAnsi="Times New Roman"/>
          <w:sz w:val="18"/>
          <w:szCs w:val="18"/>
          <w:color w:val="auto"/>
        </w:rPr>
      </w:pPr>
    </w:p>
    <w:p>
      <w:pPr>
        <w:jc w:val="both"/>
        <w:ind w:firstLine="8"/>
        <w:spacing w:after="0" w:line="255" w:lineRule="auto"/>
        <w:tabs>
          <w:tab w:leader="none" w:pos="34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8" w:lineRule="exact"/>
        <w:rPr>
          <w:rFonts w:ascii="Times New Roman" w:cs="Times New Roman" w:eastAsia="Times New Roman" w:hAnsi="Times New Roman"/>
          <w:sz w:val="18"/>
          <w:szCs w:val="18"/>
          <w:color w:val="auto"/>
        </w:rPr>
      </w:pPr>
    </w:p>
    <w:p>
      <w:pPr>
        <w:jc w:val="both"/>
        <w:ind w:firstLine="8"/>
        <w:spacing w:after="0" w:line="256" w:lineRule="auto"/>
        <w:tabs>
          <w:tab w:leader="none" w:pos="33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0" w:name="page61"/>
    <w:bookmarkEnd w:id="60"/>
    <w:p>
      <w:pPr>
        <w:jc w:val="both"/>
        <w:ind w:firstLine="8"/>
        <w:spacing w:after="0" w:line="266" w:lineRule="auto"/>
        <w:tabs>
          <w:tab w:leader="none" w:pos="34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accounting firm is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2024.</w:t>
      </w:r>
    </w:p>
    <w:p>
      <w:pPr>
        <w:spacing w:after="0" w:line="175" w:lineRule="exact"/>
        <w:rPr>
          <w:rFonts w:ascii="Times New Roman" w:cs="Times New Roman" w:eastAsia="Times New Roman" w:hAnsi="Times New Roman"/>
          <w:sz w:val="18"/>
          <w:szCs w:val="18"/>
          <w:color w:val="auto"/>
        </w:rPr>
      </w:pPr>
    </w:p>
    <w:p>
      <w:pPr>
        <w:jc w:val="both"/>
        <w:ind w:firstLine="8"/>
        <w:spacing w:after="0" w:line="255" w:lineRule="auto"/>
        <w:tabs>
          <w:tab w:leader="none" w:pos="3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88" w:lineRule="exact"/>
        <w:rPr>
          <w:rFonts w:ascii="Times New Roman" w:cs="Times New Roman" w:eastAsia="Times New Roman" w:hAnsi="Times New Roman"/>
          <w:sz w:val="18"/>
          <w:szCs w:val="18"/>
          <w:color w:val="auto"/>
        </w:rPr>
      </w:pPr>
    </w:p>
    <w:p>
      <w:pPr>
        <w:jc w:val="both"/>
        <w:ind w:firstLine="8"/>
        <w:spacing w:after="0" w:line="253" w:lineRule="auto"/>
        <w:tabs>
          <w:tab w:leader="none" w:pos="28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3.2(f)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87" w:lineRule="exact"/>
        <w:rPr>
          <w:rFonts w:ascii="Times New Roman" w:cs="Times New Roman" w:eastAsia="Times New Roman" w:hAnsi="Times New Roman"/>
          <w:sz w:val="18"/>
          <w:szCs w:val="18"/>
          <w:color w:val="auto"/>
        </w:rPr>
      </w:pPr>
    </w:p>
    <w:p>
      <w:pPr>
        <w:jc w:val="both"/>
        <w:ind w:firstLine="8"/>
        <w:spacing w:after="0" w:line="258" w:lineRule="auto"/>
        <w:tabs>
          <w:tab w:leader="none" w:pos="35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jc w:val="both"/>
        <w:ind w:firstLine="8"/>
        <w:spacing w:after="0" w:line="252" w:lineRule="auto"/>
        <w:tabs>
          <w:tab w:leader="none" w:pos="34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As to each product subject to the jurisdiction of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under the Federal Food, Drug and Cosmetic Act, as amended, and the regulations thereunder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that is manufactured, packaged, labeled, tested, distributed, sold, and/or marketed by the Company or any of its Subsidiaries (each such product, a “</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189" w:lineRule="exact"/>
        <w:rPr>
          <w:rFonts w:ascii="Times New Roman" w:cs="Times New Roman" w:eastAsia="Times New Roman" w:hAnsi="Times New Roman"/>
          <w:sz w:val="18"/>
          <w:szCs w:val="18"/>
          <w:color w:val="auto"/>
        </w:rPr>
      </w:pPr>
    </w:p>
    <w:p>
      <w:pPr>
        <w:jc w:val="both"/>
        <w:ind w:firstLine="8"/>
        <w:spacing w:after="0" w:line="256" w:lineRule="auto"/>
        <w:tabs>
          <w:tab w:leader="none" w:pos="26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jc w:val="both"/>
        <w:ind w:firstLine="8"/>
        <w:spacing w:after="0" w:line="253" w:lineRule="auto"/>
        <w:tabs>
          <w:tab w:leader="none" w:pos="27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191" w:lineRule="exact"/>
        <w:rPr>
          <w:rFonts w:ascii="Times New Roman" w:cs="Times New Roman" w:eastAsia="Times New Roman" w:hAnsi="Times New Roman"/>
          <w:sz w:val="18"/>
          <w:szCs w:val="18"/>
          <w:color w:val="auto"/>
        </w:rPr>
      </w:pPr>
    </w:p>
    <w:p>
      <w:pPr>
        <w:jc w:val="both"/>
        <w:ind w:firstLine="8"/>
        <w:spacing w:after="0" w:line="252" w:lineRule="auto"/>
        <w:tabs>
          <w:tab w:leader="none" w:pos="34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(i) The Company and the Subsidiaries are, and at all times during the last three (3) years were, in compliance with all applicable state, federal and foreign data privacy and security laws and regulations, including, without limitation, the European Union General Data Protection Regulation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(EU 2016/679) (collectively, “</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jc w:val="both"/>
        <w:ind w:firstLine="8"/>
        <w:spacing w:after="0" w:line="266" w:lineRule="auto"/>
        <w:tabs>
          <w:tab w:leader="none" w:pos="26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45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1" w:lineRule="exact"/>
        <w:rPr>
          <w:rFonts w:ascii="Times New Roman" w:cs="Times New Roman" w:eastAsia="Times New Roman" w:hAnsi="Times New Roman"/>
          <w:sz w:val="18"/>
          <w:szCs w:val="18"/>
          <w:color w:val="auto"/>
        </w:rPr>
      </w:pPr>
    </w:p>
    <w:p>
      <w:pPr>
        <w:jc w:val="both"/>
        <w:ind w:firstLine="8"/>
        <w:spacing w:after="0" w:line="256" w:lineRule="auto"/>
        <w:tabs>
          <w:tab w:leader="none" w:pos="34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firstLine="8"/>
        <w:spacing w:after="0" w:line="258" w:lineRule="auto"/>
        <w:tabs>
          <w:tab w:leader="none" w:pos="35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rFonts w:ascii="Times New Roman" w:cs="Times New Roman" w:eastAsia="Times New Roman" w:hAnsi="Times New Roman"/>
          <w:sz w:val="18"/>
          <w:szCs w:val="18"/>
          <w:color w:val="auto"/>
        </w:rPr>
      </w:pPr>
    </w:p>
    <w:p>
      <w:pPr>
        <w:jc w:val="both"/>
        <w:ind w:firstLine="8"/>
        <w:spacing w:after="0" w:line="266" w:lineRule="auto"/>
        <w:tabs>
          <w:tab w:leader="none" w:pos="37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Assuming the accuracy of the Purchasers’ representations and warranties set forth in Section 3.2, no registration under the Securities Act is required for the offer and sale of the Preferred Investment Options or the Preferred Investment Option Shares by the Company to the Purchasers as contemplated hereby.</w:t>
      </w:r>
    </w:p>
    <w:p>
      <w:pPr>
        <w:spacing w:after="0" w:line="175" w:lineRule="exact"/>
        <w:rPr>
          <w:rFonts w:ascii="Times New Roman" w:cs="Times New Roman" w:eastAsia="Times New Roman" w:hAnsi="Times New Roman"/>
          <w:sz w:val="18"/>
          <w:szCs w:val="18"/>
          <w:color w:val="auto"/>
        </w:rPr>
      </w:pPr>
    </w:p>
    <w:p>
      <w:pPr>
        <w:jc w:val="both"/>
        <w:ind w:firstLine="8"/>
        <w:spacing w:after="0" w:line="261" w:lineRule="auto"/>
        <w:tabs>
          <w:tab w:leader="none" w:pos="34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Person acting on behalf of the Company has offered or sold any of the Preferred Investment Options or Preferred Investment Option Shares by any form of general solicitation or general advertising. The Company has offered the Preferred Investment Options and Preferred Investment Option Shares for sale only to the Purchasers and certain other “accredited investors” within the meaning of Rule 501 under the Securities Act.</w:t>
      </w:r>
    </w:p>
    <w:p>
      <w:pPr>
        <w:spacing w:after="0" w:line="179" w:lineRule="exact"/>
        <w:rPr>
          <w:rFonts w:ascii="Times New Roman" w:cs="Times New Roman" w:eastAsia="Times New Roman" w:hAnsi="Times New Roman"/>
          <w:sz w:val="18"/>
          <w:szCs w:val="18"/>
          <w:color w:val="auto"/>
        </w:rPr>
      </w:pPr>
    </w:p>
    <w:p>
      <w:pPr>
        <w:jc w:val="both"/>
        <w:ind w:firstLine="8"/>
        <w:spacing w:after="0" w:line="254" w:lineRule="auto"/>
        <w:tabs>
          <w:tab w:leader="none" w:pos="28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the Preferred Investment Options and Preferred Investment Option Shares to be offered and sold hereunder in reliance on Rule 506 under the Securities Act, none of the Company, and to the Company’s knowledge any of its predecessors, affiliated issuer, director, executive officer, other officer of the Company participating in the offering hereunder, beneficial owner of 20% or more of the Company’s outstanding voting equity securities, calculated on the basis of voting power, nor promoter (as that term is defined in Rule 405 under the Securities Act) connected with the Company in any capacity at the time of sale (each, an “</w:t>
      </w:r>
      <w:r>
        <w:rPr>
          <w:rFonts w:ascii="Times New Roman" w:cs="Times New Roman" w:eastAsia="Times New Roman" w:hAnsi="Times New Roman"/>
          <w:sz w:val="18"/>
          <w:szCs w:val="18"/>
          <w:u w:val="single" w:color="auto"/>
          <w:color w:val="auto"/>
        </w:rPr>
        <w:t>Issuer Covered Person</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ind w:right="20" w:firstLine="8"/>
        <w:spacing w:after="0" w:line="282" w:lineRule="auto"/>
        <w:tabs>
          <w:tab w:leader="none" w:pos="30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Other than the Placement Agent, the Company is not aware of any person (other than any Issuer Covered Person) that has been or will be paid (directly or indirectly) remuneration for solicitation of purchasers in connection with the sale of any Securities.</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7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Disqualification Events</w:t>
      </w:r>
      <w:r>
        <w:rPr>
          <w:rFonts w:ascii="Times New Roman" w:cs="Times New Roman" w:eastAsia="Times New Roman" w:hAnsi="Times New Roman"/>
          <w:sz w:val="18"/>
          <w:szCs w:val="18"/>
          <w:color w:val="auto"/>
        </w:rPr>
        <w:t>. The Company will notify the Purchasers and the Placement Agent in writing, prior to the Closing Date of (i) any Disqualification Event relating to any Issuer Covered Person and (ii) any event that would, with the passage of time, reasonably be expected to become a Disqualification Event relating to any Issuer Covered Person, in each case of which it is aware.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62" w:lineRule="exact"/>
        <w:rPr>
          <w:sz w:val="20"/>
          <w:szCs w:val="20"/>
          <w:color w:val="auto"/>
        </w:rPr>
      </w:pPr>
    </w:p>
    <w:p>
      <w:pPr>
        <w:jc w:val="both"/>
        <w:ind w:left="380" w:firstLine="924"/>
        <w:spacing w:after="0" w:line="253" w:lineRule="auto"/>
        <w:tabs>
          <w:tab w:leader="none" w:pos="154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jc w:val="both"/>
        <w:ind w:firstLine="924"/>
        <w:spacing w:after="0" w:line="253" w:lineRule="auto"/>
        <w:tabs>
          <w:tab w:leader="none" w:pos="118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 Such Purchaser understands that the Preferred Investment Options and the Preferred Investment Option Shares are “restricted securities” and have not been registered under the Securities Act or any applicable state securities law and is acquiring such Securities as principal for his, her 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such Securities pursuant to a registration statement or otherwise in compliance with applicable federal and state securities laws).</w:t>
      </w:r>
    </w:p>
    <w:p>
      <w:pPr>
        <w:spacing w:after="0" w:line="191" w:lineRule="exact"/>
        <w:rPr>
          <w:rFonts w:ascii="Times New Roman" w:cs="Times New Roman" w:eastAsia="Times New Roman" w:hAnsi="Times New Roman"/>
          <w:sz w:val="18"/>
          <w:szCs w:val="18"/>
          <w:color w:val="auto"/>
        </w:rPr>
      </w:pPr>
    </w:p>
    <w:p>
      <w:pPr>
        <w:jc w:val="both"/>
        <w:ind w:firstLine="654"/>
        <w:spacing w:after="0" w:line="266" w:lineRule="auto"/>
        <w:tabs>
          <w:tab w:leader="none" w:pos="89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and on each date on which it exercises any Warrants, it will be either (i) an “accredited investor” as defined in Rule 501(a)(1), (a)(2), (a)(3), (a)(7), (a)(8), (a)(9), (a)(12), or (a)(13) under the Securities Act or (ii) a “qualified institutional buyer” as defined in Rule 144A(a) under the Securities Act.</w:t>
      </w:r>
    </w:p>
    <w:p>
      <w:pPr>
        <w:spacing w:after="0" w:line="175" w:lineRule="exact"/>
        <w:rPr>
          <w:rFonts w:ascii="Times New Roman" w:cs="Times New Roman" w:eastAsia="Times New Roman" w:hAnsi="Times New Roman"/>
          <w:sz w:val="18"/>
          <w:szCs w:val="18"/>
          <w:color w:val="auto"/>
        </w:rPr>
      </w:pPr>
    </w:p>
    <w:p>
      <w:pPr>
        <w:jc w:val="both"/>
        <w:ind w:firstLine="924"/>
        <w:spacing w:after="0" w:line="261" w:lineRule="auto"/>
        <w:tabs>
          <w:tab w:leader="none" w:pos="1173"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79" w:lineRule="exact"/>
        <w:rPr>
          <w:rFonts w:ascii="Times New Roman" w:cs="Times New Roman" w:eastAsia="Times New Roman" w:hAnsi="Times New Roman"/>
          <w:sz w:val="18"/>
          <w:szCs w:val="18"/>
          <w:color w:val="auto"/>
        </w:rPr>
      </w:pPr>
    </w:p>
    <w:p>
      <w:pPr>
        <w:jc w:val="both"/>
        <w:ind w:firstLine="924"/>
        <w:spacing w:after="0" w:line="253" w:lineRule="auto"/>
        <w:tabs>
          <w:tab w:leader="none" w:pos="1162"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9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0"/>
          </w:cols>
          <w:pgMar w:left="700" w:top="688" w:right="339" w:bottom="1440" w:gutter="0" w:footer="0" w:header="0"/>
        </w:sectPr>
      </w:pPr>
    </w:p>
    <w:bookmarkStart w:id="66" w:name="page67"/>
    <w:bookmarkEnd w:id="66"/>
    <w:p>
      <w:pPr>
        <w:jc w:val="both"/>
        <w:ind w:left="380" w:firstLine="924"/>
        <w:spacing w:after="0" w:line="253" w:lineRule="auto"/>
        <w:tabs>
          <w:tab w:leader="none" w:pos="152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7" w:lineRule="exact"/>
        <w:rPr>
          <w:rFonts w:ascii="Times New Roman" w:cs="Times New Roman" w:eastAsia="Times New Roman" w:hAnsi="Times New Roman"/>
          <w:sz w:val="18"/>
          <w:szCs w:val="18"/>
          <w:color w:val="auto"/>
        </w:rPr>
      </w:pPr>
    </w:p>
    <w:p>
      <w:pPr>
        <w:jc w:val="both"/>
        <w:ind w:left="380" w:firstLine="924"/>
        <w:spacing w:after="0" w:line="266" w:lineRule="auto"/>
        <w:tabs>
          <w:tab w:leader="none" w:pos="15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Such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60" w:hanging="2"/>
        <w:spacing w:after="0" w:line="256" w:lineRule="auto"/>
        <w:tabs>
          <w:tab w:leader="none" w:pos="41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Investment Options and Preferred Investment Option Shares may only be disposed of in compliance with state and federal securities laws. In connection with any transfer of Preferred Investment Options or Preferred Investment Option Shares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Preferred Investment Options under the Securities Act.</w:t>
      </w:r>
    </w:p>
    <w:p>
      <w:pPr>
        <w:spacing w:after="0" w:line="187" w:lineRule="exact"/>
        <w:rPr>
          <w:rFonts w:ascii="Times New Roman" w:cs="Times New Roman" w:eastAsia="Times New Roman" w:hAnsi="Times New Roman"/>
          <w:sz w:val="18"/>
          <w:szCs w:val="18"/>
          <w:color w:val="auto"/>
        </w:rPr>
      </w:pPr>
    </w:p>
    <w:p>
      <w:pPr>
        <w:ind w:left="160" w:hanging="2"/>
        <w:spacing w:after="0" w:line="282" w:lineRule="auto"/>
        <w:tabs>
          <w:tab w:leader="none" w:pos="41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agree to the imprinting, so long as is required by this Section 4.1, of a legend on any of the Preferred Investment Options or Preferred Investment Option Shares in the following form:</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NEITHER THIS SECURITY NOR THE SECURITIES INTO WHICH THIS SECURITY IS EXERCISABLE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acknowledges and agrees that a Purchaser may from time to time pledge pursuant to a bona fide margin agreement with a registered broker-dealer or grant a security interest in some or all of the Preferred Investment Options or Preferred Investment Option Shares to a financial institution that is an “accredited investor” as defined in Rule 501(a) under the Securities Act and, if required under the terms of such arrangement, such Purchaser may transfer pledged or secured Preferred Investment Options or Preferred Investment Option Shares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Preferred Investment Options and Preferred Investment Option Shares may reasonably request in connection with a pledge or transfer of the Preferred Investment Options or Preferred Investment Option Shares.</w:t>
      </w:r>
    </w:p>
    <w:p>
      <w:pPr>
        <w:spacing w:after="0" w:line="18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4" w:right="339" w:bottom="1440" w:gutter="0" w:footer="0" w:header="0"/>
        </w:sectPr>
      </w:pPr>
    </w:p>
    <w:bookmarkStart w:id="68" w:name="page69"/>
    <w:bookmarkEnd w:id="68"/>
    <w:p>
      <w:pPr>
        <w:jc w:val="both"/>
        <w:ind w:firstLine="8"/>
        <w:spacing w:after="0" w:line="252" w:lineRule="auto"/>
        <w:tabs>
          <w:tab w:leader="none" w:pos="24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evidencing the Preferred Investment Option Shares shall not contain any legend (including the legend set forth in Section 4.1(b) hereof): (i) while a registration statement covering the resale of such security is effective under the Securities Act, or (ii) following any sale of such Preferred Investment Option Shares pursuant to Rule 144 (assuming cashless exercise of the Preferred Investment Options), or (iii) if such Preferred Investment Option Shares are eligible for sale under Rule 144 (assuming cashless exercise of the Preferred Investment Options), or (iv)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if required by the Transfer Agent to effect the removal of the legend hereunder, or if requested by a Purchaser, respectively. If all or any portion of a Preferred Investment Option is exercised at a time when there is an effective registration statement to cover the resale of the Preferred Investment Option Shares, or if such Preferred Investment Option Shares may be sold under Rule 144 (assuming cashless exercise of the Preferred Investment Options) or if such legend is not otherwise required under applicable requirements of the Securities Act (including judicial interpretations and pronouncements issued by the staff of the Commission) then such Preferred Investment Option Shares shall be issued free of all legends. The Company agrees that following such time as such legend is no longer required under this Section 4.1(c), the Company will, no later than the earlier of (i) one (1) Trading Day and (ii) the number of Trading Days comprising the Standard Settlement Period (as defined below) following the delivery by a Purchaser to the Company or the Transfer Agent of a certificate representing Preferred Investment Option Shares, as applicable, issued with a restrictive legend (such date, the “</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Section 4. Preferred Investment Option Shares subject to legend removal hereunder shall be transmitted by the Transfer Agent to the Purchaser by crediting the account of the Purchaser’s prime broker with the Depository Trust Company System as directed by such Purchaser.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a certificate representing Preferred Investment Option Shares issued with a restrictive legend.</w:t>
      </w:r>
    </w:p>
    <w:p>
      <w:pPr>
        <w:spacing w:after="0" w:line="189" w:lineRule="exact"/>
        <w:rPr>
          <w:rFonts w:ascii="Times New Roman" w:cs="Times New Roman" w:eastAsia="Times New Roman" w:hAnsi="Times New Roman"/>
          <w:sz w:val="18"/>
          <w:szCs w:val="18"/>
          <w:color w:val="auto"/>
        </w:rPr>
      </w:pPr>
    </w:p>
    <w:p>
      <w:pPr>
        <w:jc w:val="both"/>
        <w:ind w:firstLine="8"/>
        <w:spacing w:after="0" w:line="257" w:lineRule="auto"/>
        <w:tabs>
          <w:tab w:leader="none" w:pos="26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such Purchaser’s other available remedies, the Company shall pay to a Purchaser, in cash, (i) as partial liquidated damages and not as a penalty, for each $1,000 of Preferred Investment Option Shares (based on the VWAP of the Common Stock on the date such Securities are submitted to the Transfer Agent) delivered for removal of the restrictive legend and subject to Section 4.1(c), $10 per Trading Day (increasing to $20 per Trading Day five</w:t>
      </w:r>
    </w:p>
    <w:p>
      <w:pPr>
        <w:spacing w:after="0" w:line="1"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Trading Days after the Legend Removal Date) for each Trading Day after the Legend Removal Date until such certificate is delivered without a legend and (ii) if the Company fails to (a) issue and deliver (or cause to be delivered) to a Purchaser by the Legend Removal Date a certificate representing the Securities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(the “</w:t>
      </w:r>
      <w:r>
        <w:rPr>
          <w:rFonts w:ascii="Times New Roman" w:cs="Times New Roman" w:eastAsia="Times New Roman" w:hAnsi="Times New Roman"/>
          <w:sz w:val="18"/>
          <w:szCs w:val="18"/>
          <w:b w:val="1"/>
          <w:bCs w:val="1"/>
          <w:u w:val="single" w:color="auto"/>
          <w:color w:val="auto"/>
        </w:rPr>
        <w:t>Buy-In Price</w:t>
      </w:r>
      <w:r>
        <w:rPr>
          <w:rFonts w:ascii="Times New Roman" w:cs="Times New Roman" w:eastAsia="Times New Roman" w:hAnsi="Times New Roman"/>
          <w:sz w:val="18"/>
          <w:szCs w:val="18"/>
          <w:color w:val="auto"/>
        </w:rPr>
        <w:t>”) over the product of (A) such number of Preferred Investment Option Shares that the Company was required to deliver to such Purchaser by the Legend Removal Date multiplied by (B) the lowest closing sale price of the Common Stock on any Trading Day during the period commencing on the date of the delivery by such Purchaser to the Company of the applicable Preferred Investment Option Shares (as the case may be) and ending on the date of such delivery and payment under this Section 4.1(d).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jc w:val="both"/>
        <w:ind w:firstLine="8"/>
        <w:spacing w:after="0" w:line="253" w:lineRule="auto"/>
        <w:tabs>
          <w:tab w:leader="none" w:pos="24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the Pre-Funded Warrants and the Pre-Funded Warrant Shares shall be issued free of legends. If all or any portion of a Pre-Funded Warrant is exercised at a time when there is an effective registration statement to cover the issuance or resale of the Pre-Funded Warrant Shares or if the Pre-Funded Warrant is exercised via cashless exercise, the Pre-Funded Warrant Shares issued pursuant to any such exercise shall be issued free of all legends. If at any time following the date hereof the Registration Statement (or any subsequent registration statement registering the sale or resale of the Pre-Funded Warrant Shares) is not effective or is not otherwise available for the sale or resale of the Pre-Funded Warrant Shares, the Company shall immediately notify the holders of the Pre-Funded Warrants in writing that such registration statement is not then effective and thereafter shall promptly notify such holders when the registration statement is effective again and available for the sale or resale of the Pre-Funded Warrant Shares (it being understood and agreed that the foregoing shall not limit the ability of the Company to issue, or any Purchaser to sell, any of the Pre-Funded Warrant Shares in compliance with applicable federal and state securities laws). The Company shall use best efforts to keep a registration statement (including the Registration Statement) registering the issuance or resale of the Pre-Funded Warrant Shares effective during the term of the Pre-Funded Warrants.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66" w:lineRule="auto"/>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earlier of the time that (i) no Purchaser owns Securities or (ii) the Warrants have expired,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75" w:lineRule="exact"/>
        <w:rPr>
          <w:rFonts w:ascii="Times New Roman" w:cs="Times New Roman" w:eastAsia="Times New Roman" w:hAnsi="Times New Roman"/>
          <w:sz w:val="18"/>
          <w:szCs w:val="18"/>
          <w:color w:val="auto"/>
        </w:rPr>
      </w:pPr>
    </w:p>
    <w:p>
      <w:pPr>
        <w:jc w:val="both"/>
        <w:ind w:firstLine="8"/>
        <w:spacing w:after="0" w:line="253" w:lineRule="auto"/>
        <w:tabs>
          <w:tab w:leader="none" w:pos="26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period commencing from the six (6) month anniversary of the date hereof and ending at such time that all of the Preferred Investment Option Shares (assuming cashless exercise)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Times New Roman" w:cs="Times New Roman" w:eastAsia="Times New Roman" w:hAnsi="Times New Roman"/>
          <w:sz w:val="18"/>
          <w:szCs w:val="18"/>
          <w:u w:val="single" w:color="auto"/>
          <w:color w:val="auto"/>
        </w:rPr>
        <w:t>Public Information Failure</w:t>
      </w:r>
      <w:r>
        <w:rPr>
          <w:rFonts w:ascii="Times New Roman" w:cs="Times New Roman" w:eastAsia="Times New Roman" w:hAnsi="Times New Roman"/>
          <w:sz w:val="18"/>
          <w:szCs w:val="18"/>
          <w:color w:val="auto"/>
        </w:rPr>
        <w:t>”) then, in addition to such Purchaser’s other available remedies, the Company shall pay to a Purchaser, in cash, as partial liquidated damages and not as a penalty, by reason of any such delay in or reduction of its ability to sell the Preferred Investment Option Shares, an amount in cash equal to two percent (2.0%) of the aggregate Exercise Price of such Purchaser’s Preferred</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Investment Options on the day of a Public Information Failure and on every thirtieth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(pro rated for periods totaling less than thirty days) thereafter until the earlier of (a) the date such Public Information Failure is cured and (b) such time that such public information is no longer required for the Purchasers to transfer the Preferred Investment Option Shares pursuant to Rule 144. The payments to which a Purchaser shall be entitled pursuant to this Section 4.2(b) are referred to herein as “</w:t>
      </w:r>
      <w:r>
        <w:rPr>
          <w:rFonts w:ascii="Times New Roman" w:cs="Times New Roman" w:eastAsia="Times New Roman" w:hAnsi="Times New Roman"/>
          <w:sz w:val="18"/>
          <w:szCs w:val="18"/>
          <w:u w:val="single" w:color="auto"/>
          <w:color w:val="auto"/>
        </w:rPr>
        <w:t>Public Information Failure Payments</w:t>
      </w:r>
      <w:r>
        <w:rPr>
          <w:rFonts w:ascii="Times New Roman" w:cs="Times New Roman" w:eastAsia="Times New Roman" w:hAnsi="Times New Roman"/>
          <w:sz w:val="18"/>
          <w:szCs w:val="18"/>
          <w:color w:val="auto"/>
        </w:rPr>
        <w:t>.” Public Information Failure Payments shall be paid on the earlier of (i)</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last day of the calendar month during which such Public Information Failure Payments are incurred and (ii)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Preferred Investment Options or Preferred Investment Option Shares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 or a duty to the Company, any of its Subsidiaries or any of their respective officers, directors, employees, Affiliates or agents, including, without limitation, the Placement Agent,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19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Securities hereunder for working capital and general corporate purposes and shall not use such proceeds: (a) for the satisfaction of any portion of the Company’s debt (other than payment of trade payables in the ordinary course of the Company’s business and prior practices); or (b) for the redemption of any Common Stock or Common Stock Equivalents.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or (c) in connection with any registration statement of the Company providing for the resale by the Purchasers of the Preferred Investment Option Shares issued and issuable upon exercise of the Preferred Investment Options, the Company will indemnify each Purchaser Party, to the fullest extent permitted by applicable law, from and against any and all losses, claims, damages, liabilities, costs (including, without limitation, reasonable attorneys’ fees) and expenses, as incurred, arising out of or relating to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 (ii) any violation or alleged violation by the Company of the Securities Act, the Exchange Act or any state securities law, or any rule or regulation thereunder in connection therewith.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provided that the Indemnified Party executes an undertaking to reimburse amounts paid if indemnification is unavailable hereunder. The indemnity agreements contained herein shall be in addition to any cause of action or similar right of any Purchaser Party against the Company or others and any liabilities the Company may be subject to pursuant to law.</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at or prior to the Authorized Share Increase Date, Warrant Shares pursuant to any exercise of the Warrants.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best efforts to maintain the listing or quotation of the Common Stock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 In addition, the Company shall hold an annual or special meeting of stockholders on or prior to the date that is ninety (90) days following the Closing Date for the purpose of obtaining Authorized Share Approval and Stockholder Approval, with the recommendation of the Board of Directors that such proposals are approved, and the Company shall solicit proxies from its stockholders in connection therewith in the same manner as all other management proposals in such proxy statement and all management-appointed proxyholders shall vote their proxies in favor of such proposals. If the Company does not obtain Authorized Share Approval and/or Stockholder Approval at the first meeting, the Company shall call a meeting every ninety (90) days thereafter to seek Authorized Share Approval and/or Stockholder Approval until the earlier of the date on which both Authorized Share Approval and Stockholder Approval are obtained or the Preferred Investment Options are no longer outstanding. The Company shall use best efforts to set the record date for Stockholder Approval prior to the Closing Date.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58" w:lineRule="auto"/>
        <w:tabs>
          <w:tab w:leader="none" w:pos="25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sixty (60) days after the Closing Date, neither the Company nor any Subsidiary shall (i) issue, enter into any agreement to issue or announce the issuance or proposed issuance of any shares of Common Stock or Common Stock Equivalents or (ii) file any registration statement or any amendment or supplement thereto, in each case other than (v) filing a registration statement to register the shares of Common Stock underlying the Preferred Investment Options, (x) the Prospectus Supplement, (y) filing a registration statement on Form S-8 in connection with any employee benefit plan or (z) any supplement or amendment (or Post-Effective Amendment) to any registration statement filed with the SEC prior to the date hereof.</w:t>
      </w:r>
    </w:p>
    <w:p>
      <w:pPr>
        <w:spacing w:after="0" w:line="183" w:lineRule="exact"/>
        <w:rPr>
          <w:rFonts w:ascii="Times New Roman" w:cs="Times New Roman" w:eastAsia="Times New Roman" w:hAnsi="Times New Roman"/>
          <w:sz w:val="18"/>
          <w:szCs w:val="18"/>
          <w:color w:val="auto"/>
        </w:rPr>
      </w:pPr>
    </w:p>
    <w:p>
      <w:pPr>
        <w:jc w:val="both"/>
        <w:ind w:firstLine="8"/>
        <w:spacing w:after="0" w:line="253" w:lineRule="auto"/>
        <w:tabs>
          <w:tab w:leader="none" w:pos="26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one (1) year following the Closing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xml:space="preserve">”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the expiration of the restrictive period set forth in Section 4.11(a) above, the entry into and/or issuance of shares of Common Stock in an “at the market” offering with the Placement Agent as sales agent shall not be deemed a Variable Rate Transaction. Any Purchaser shall be entitled to obtain injunctive relief against the Company to preclude any such issuance, which remedy shall be in addition to any right to collect damages.</w:t>
      </w:r>
    </w:p>
    <w:p>
      <w:pPr>
        <w:spacing w:after="0" w:line="189" w:lineRule="exact"/>
        <w:rPr>
          <w:rFonts w:ascii="Times New Roman" w:cs="Times New Roman" w:eastAsia="Times New Roman" w:hAnsi="Times New Roman"/>
          <w:sz w:val="18"/>
          <w:szCs w:val="18"/>
          <w:color w:val="auto"/>
        </w:rPr>
      </w:pPr>
    </w:p>
    <w:p>
      <w:pPr>
        <w:ind w:right="20" w:firstLine="8"/>
        <w:spacing w:after="0" w:line="282" w:lineRule="auto"/>
        <w:tabs>
          <w:tab w:leader="none" w:pos="25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4.11 shall not apply in respect of an Exempt Issuance, except that no Variable Rate Transaction shall be an Exempt Issuance.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Form D; Blue Sky Filings</w:t>
      </w:r>
      <w:r>
        <w:rPr>
          <w:rFonts w:ascii="Times New Roman" w:cs="Times New Roman" w:eastAsia="Times New Roman" w:hAnsi="Times New Roman"/>
          <w:sz w:val="18"/>
          <w:szCs w:val="18"/>
          <w:color w:val="auto"/>
        </w:rPr>
        <w:t>. The Company agrees to timely file a Form D with respect to the Preferred Investment Options and Preferred Investment Option Shares as required under Regulation D and to provide a copy thereof, promptly upon request of any Purchaser. The Company shall take such action as the Company shall reasonably determine is necessary in order to obtain an exemption for, or to qualify the Preferred Investment Options and Preferred Investment Option Shares for, sale to the Purchasers at the Closing under applicable securities or “Blue Sky” laws of the states of the United States, and shall provide evidence of such actions promptly upon request of any Purchaser.</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As soon as practicable (and in any event within 30 calendar days of the date of this Agreement), the Company shall file a registration statement on Form S-3 (or other appropriate form if the Company is not then Form S-3 eligible) providing for the resale by the Purchasers of the Preferred Investment Option Shares issued and issuable upon exercise of the Preferred Investment Options. The Company shall use commercially reasonable efforts to cause such registration statement to become effective within 60 calendar days following the date of this Agreement (or within 90 calendar days following the date of this Agreement in case of “full review” of such registration statement by the Commission) and to keep such registration statement effective at all times until no Purchaser owns any Preferred Investment Options or Preferred Investment Option Shares issuable upon exercise thereof.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Waiver of Restrictions on Subsequent Equity Sales</w:t>
      </w:r>
      <w:r>
        <w:rPr>
          <w:rFonts w:ascii="Times New Roman" w:cs="Times New Roman" w:eastAsia="Times New Roman" w:hAnsi="Times New Roman"/>
          <w:sz w:val="18"/>
          <w:szCs w:val="18"/>
          <w:color w:val="auto"/>
        </w:rPr>
        <w:t>. Solely for the purpose of the issuance and sale of the Securities and the consummation of the transactions contemplated hereby, each Purchaser signatory to those certain Securities Purchase Agreements, dated as of January 6, 2025 and January 7, 2025, by and between the Company and each purchaser signatory thereto (the “</w:t>
      </w:r>
      <w:r>
        <w:rPr>
          <w:rFonts w:ascii="Times New Roman" w:cs="Times New Roman" w:eastAsia="Times New Roman" w:hAnsi="Times New Roman"/>
          <w:sz w:val="18"/>
          <w:szCs w:val="18"/>
          <w:u w:val="single" w:color="auto"/>
          <w:color w:val="auto"/>
        </w:rPr>
        <w:t>January SPAs</w:t>
      </w:r>
      <w:r>
        <w:rPr>
          <w:rFonts w:ascii="Times New Roman" w:cs="Times New Roman" w:eastAsia="Times New Roman" w:hAnsi="Times New Roman"/>
          <w:sz w:val="18"/>
          <w:szCs w:val="18"/>
          <w:color w:val="auto"/>
        </w:rPr>
        <w:t>”), solely and not jointly, hereby waives the restrictions of the Company from issuing (or agreeing to issue) Common Stock and Common Stock Equivalents, as set forth in Section 4.11(a) of each of the January SPAs.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w:t>
      </w:r>
    </w:p>
    <w:p>
      <w:pPr>
        <w:jc w:val="both"/>
        <w:spacing w:after="0" w:line="209" w:lineRule="auto"/>
        <w:rPr>
          <w:sz w:val="20"/>
          <w:szCs w:val="20"/>
          <w:color w:val="auto"/>
        </w:rPr>
      </w:pPr>
      <w:r>
        <w:rPr>
          <w:rFonts w:ascii="Times New Roman" w:cs="Times New Roman" w:eastAsia="Times New Roman" w:hAnsi="Times New Roman"/>
          <w:sz w:val="18"/>
          <w:szCs w:val="18"/>
          <w:color w:val="auto"/>
        </w:rPr>
        <w:t>consummated 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hereto on a day that is not a Trading Day or later than 5:30 p.m. (New York City time) on any Trading Day, (c)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7" w:name="page78"/>
    <w:bookmarkEnd w:id="77"/>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and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multiple Purchasers), the consent of such disproportionately impacted Purchaser (or at least 50.1% in interest of such multiple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 party beneficiary of the representations, warranties, and covenants of the Company in this Agreement and the representations, warranties, and covenants of the Purchasers in this Agreement.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8" w:name="page79"/>
    <w:bookmarkEnd w:id="78"/>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or by any other electronic means, such signature shall create a valid and binding obligation of the party executing (or on whose behalf such signature is executed) with the same force and effect as if such “.pdf” or electronic signature page were an original thereof.</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9" w:name="page80"/>
    <w:bookmarkEnd w:id="79"/>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EGS. EGS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0" w:name="page81"/>
    <w:bookmarkEnd w:id="80"/>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 ANY ACTION, SUIT, OR PROCEEDING IN ANY JURISDICTION BROUGHT BY ANY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1" w:name="page82"/>
    <w:bookmarkEnd w:id="81"/>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MICROBOT MEDICAL INC.</w:t>
            </w:r>
          </w:p>
        </w:tc>
        <w:tc>
          <w:tcPr>
            <w:tcW w:w="360" w:type="dxa"/>
            <w:vAlign w:val="bottom"/>
          </w:tcPr>
          <w:p>
            <w:pPr>
              <w:spacing w:after="0"/>
              <w:rPr>
                <w:sz w:val="17"/>
                <w:szCs w:val="17"/>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 for Notice:</w:t>
            </w:r>
          </w:p>
        </w:tc>
      </w:tr>
      <w:tr>
        <w:trPr>
          <w:trHeight w:val="20"/>
        </w:trPr>
        <w:tc>
          <w:tcPr>
            <w:tcW w:w="5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7"/>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60" w:type="dxa"/>
            <w:vAlign w:val="bottom"/>
          </w:tcPr>
          <w:p>
            <w:pPr>
              <w:spacing w:after="0"/>
              <w:rPr>
                <w:sz w:val="20"/>
                <w:szCs w:val="20"/>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288 Grove Street, Suite 388</w:t>
            </w:r>
          </w:p>
        </w:tc>
      </w:tr>
      <w:tr>
        <w:trPr>
          <w:trHeight w:val="178"/>
        </w:trPr>
        <w:tc>
          <w:tcPr>
            <w:tcW w:w="5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00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Braintree, MA 02184</w:t>
            </w: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6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Attention: Harel Gadot</w:t>
            </w:r>
          </w:p>
        </w:tc>
      </w:tr>
      <w:tr>
        <w:trPr>
          <w:trHeight w:val="234"/>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w:t>
            </w:r>
          </w:p>
        </w:tc>
      </w:tr>
      <w:tr>
        <w:trPr>
          <w:trHeight w:val="432"/>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1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Ruskin Moscou Faltischek PC</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2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1425 RXR Plaza</w:t>
            </w: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53"/>
        </w:trPr>
        <w:tc>
          <w:tcPr>
            <w:tcW w:w="5620" w:type="dxa"/>
            <w:vAlign w:val="bottom"/>
            <w:gridSpan w:val="2"/>
          </w:tcPr>
          <w:p>
            <w:pPr>
              <w:spacing w:after="0" w:line="252" w:lineRule="exact"/>
              <w:rPr>
                <w:sz w:val="20"/>
                <w:szCs w:val="20"/>
                <w:color w:val="auto"/>
              </w:rPr>
            </w:pPr>
            <w:r>
              <w:rPr>
                <w:rFonts w:ascii="Times New Roman" w:cs="Times New Roman" w:eastAsia="Times New Roman" w:hAnsi="Times New Roman"/>
                <w:sz w:val="18"/>
                <w:szCs w:val="18"/>
                <w:color w:val="auto"/>
              </w:rPr>
              <w:t>East Tower,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c>
          <w:tcPr>
            <w:tcW w:w="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Uniondale, New York 11556</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Attention: Stephen E. Fox, Esq.</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w:t>
            </w: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59"/>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41"/>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Mintz, Levin, Cohn, Ferris, Glovsky and Popeo, P.C.</w:t>
            </w: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919 Third Avenue</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New York 10022</w:t>
            </w:r>
          </w:p>
        </w:tc>
        <w:tc>
          <w:tcPr>
            <w:tcW w:w="2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Attention: Jeffrey Cohan, Esq.</w:t>
            </w: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Email:</w:t>
            </w: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8"/>
          <w:szCs w:val="18"/>
          <w:color w:val="auto"/>
        </w:rPr>
        <w:t>[PURCHASER SIGNATURE PAGES TO MBOT SECURITIES PURCHASE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 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_________________</w:t>
      </w: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Pre-Funded Warrants: _______________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Series I Preferred Investment Options: 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_______________________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Announces $13 Million Registered Direct Offering Priced At-The-Market under Nasdaq Rules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BRAINTREE, Mass., February 10, 2025 (GLOBE NEWSWIRE) — Microbot Medical Inc. (Nasdaq: MBOT) today announced that it has entered into definitive agreements for the purchase and sale of 6,103,289 shares of the Company’s common stock at a purchase price of $2.13 per share of common stock in a registered direct offering priced at-the-market under Nasdaq rules. In addition, in a concurrent private placement, the Company will issue unregistered short-term series I preferred investment options. The short-term series I preferred investment options to purchase up to 12,206,578 shares of common stock have an exercise price of $2.13 per share and will be exercisable for a period of two years beginning on the later of (i) the effective date of the increase of the Company’s authorized shares of common stock following stockholder approval and (ii) the effective date of stockholder approval of the issuance of the shares upon exercise of the warrants. The closing of the registered direct offering and the concurrent private placement is expected to occur on or about February 11, 2025, subject to the satisfaction of customary closing conditions.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is acting as the exclusive placement agent for the offerings.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gross proceeds to the Company from the offerings are expected to be approximately $13 million, before deducting the placement agent’s fees and other offering expenses payable by the Company. The Company intends to use the net proceeds from the offerings for the continued development,</w:t>
      </w:r>
    </w:p>
    <w:p>
      <w:pPr>
        <w:jc w:val="both"/>
        <w:spacing w:after="0" w:line="209" w:lineRule="auto"/>
        <w:rPr>
          <w:sz w:val="20"/>
          <w:szCs w:val="20"/>
          <w:color w:val="auto"/>
        </w:rPr>
      </w:pPr>
      <w:r>
        <w:rPr>
          <w:rFonts w:ascii="Times New Roman" w:cs="Times New Roman" w:eastAsia="Times New Roman" w:hAnsi="Times New Roman"/>
          <w:sz w:val="18"/>
          <w:szCs w:val="18"/>
          <w:color w:val="auto"/>
        </w:rPr>
        <w:t>commercialization and regulatory activities for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expansion and development of additional applications derived from the Company’s existing IP portfolio, and for working capital and other general corporate purposes.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shares of common stock described above (but not the short-term series I preferred investment options issued in the concurrent private placement or the shares of common stock underlying such short-term series I preferred investment options) are being offered by the Company pursuant to a “shelf” registration statement on Form S-3 (File No. 333-275634) previously filed with the Securities and Exchange Commission (the “SEC”) and declared effective by the SEC on December 4, 2023. The offering of the shares of common stock is made only by means of a prospectus, including a prospectus supplement, forming a part of the effective registration statement. A final prospectus supplement and accompanying prospectus relating to the registered direct offering will be filed with the SEC. Electronic copies of the final prospectus supplement and accompanying prospectus may be obtained, when available, on the SEC’s website at http://www.sec.gov or by contacting H.C. Wainwright &amp; Co., LLC at 430 Park Avenue, 3rd Floor, New York, NY 10022, by phone at (212) 856-5711 or e-mail at placements@hcwco.com.</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short-term series I preferred investment options described above are being issued in a concurrent private placement under Section 4(a)(2) of the Securities Act of 1933, as amended (the “Securities Act”), and Regulation D promulgated thereunder and, along with the shares of common stock underlying the short-term series I preferred investment options, have not been registered under the Securities Act, or applicable state securities laws. Accordingly, the short-term series I preferred investment options and underlying shares of common stock may not be offered or sold in the United States except pursuant to an effective registration statement or an applicable exemption from the registration requirements of the Securities Act and such applicable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4" w:name="page85"/>
    <w:bookmarkEnd w:id="84"/>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clinical stage medical technology company with a vision to improve the quality of care for millions of patients and providers globally. The Company has developed the world’s first single-use, fully disposable endovascular robotic system, which aims to eliminate traditional barriers to accessing advanced robotic systems.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about Microbot Medical is available at http://www.microbotmedical.com.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the completion of the offerings, the satisfaction of customary closing conditions related to the offerings, the intended use of proceeds from the offerings, the receipt of stockholder approval in connection therewith, the Company’s need for and ability to obtain additional working capital to continue its transition to a commercially focused company, market conditions, risks inherent in the development and/or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uncertainty in the results of regulatory pathways and regulatory approvals,</w:t>
      </w:r>
    </w:p>
    <w:p>
      <w:pPr>
        <w:spacing w:after="0" w:line="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including whether the FDA will grant 510(k) clearance to commercially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United States, disruptions resulting from new and ongoing hostilities between Israel and the Palestinians and other neighboring countries,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IR@microbotmedical.com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1)"/>
      <w:numFmt w:val="lowerLetter"/>
      <w:start w:val="1"/>
    </w:lvl>
  </w:abstractNum>
  <w:abstractNum w:abstractNumId="2">
    <w:nsid w:val="5E884ADC"/>
    <w:multiLevelType w:val="hybridMultilevel"/>
    <w:lvl w:ilvl="0">
      <w:lvlJc w:val="left"/>
      <w:lvlText w:val="(%1)"/>
      <w:numFmt w:val="upperLetter"/>
      <w:start w:val="1"/>
    </w:lvl>
    <w:lvl w:ilvl="1">
      <w:lvlJc w:val="left"/>
      <w:lvlText w:val="(%2)"/>
      <w:numFmt w:val="lowerLetter"/>
      <w:start w:val="26"/>
    </w:lvl>
  </w:abstractNum>
  <w:abstractNum w:abstractNumId="3">
    <w:nsid w:val="51EAD36B"/>
    <w:multiLevelType w:val="hybridMultilevel"/>
    <w:lvl w:ilvl="0">
      <w:lvlJc w:val="left"/>
      <w:lvlText w:val="(%1)"/>
      <w:numFmt w:val="upperLetter"/>
      <w:start w:val="24"/>
    </w:lvl>
  </w:abstractNum>
  <w:abstractNum w:abstractNumId="4">
    <w:nsid w:val="2D517796"/>
    <w:multiLevelType w:val="hybridMultilevel"/>
    <w:lvl w:ilvl="0">
      <w:lvlJc w:val="left"/>
      <w:lvlText w:val="%1)"/>
      <w:numFmt w:val="lowerLetter"/>
      <w:start w:val="4"/>
    </w:lvl>
    <w:lvl w:ilvl="1">
      <w:lvlJc w:val="left"/>
      <w:lvlText w:val="%2."/>
      <w:numFmt w:val="lowerRoman"/>
      <w:start w:val="1"/>
    </w:lvl>
  </w:abstractNum>
  <w:abstractNum w:abstractNumId="5">
    <w:nsid w:val="580BD78F"/>
    <w:multiLevelType w:val="hybridMultilevel"/>
    <w:lvl w:ilvl="0">
      <w:lvlJc w:val="left"/>
      <w:lvlText w:val="%1."/>
      <w:numFmt w:val="lowerRoman"/>
      <w:start w:val="2"/>
    </w:lvl>
  </w:abstractNum>
  <w:abstractNum w:abstractNumId="6">
    <w:nsid w:val="153EA438"/>
    <w:multiLevelType w:val="hybridMultilevel"/>
    <w:lvl w:ilvl="0">
      <w:lvlJc w:val="left"/>
      <w:lvlText w:val="%1"/>
      <w:numFmt w:val="lowerRoman"/>
      <w:start w:val="1"/>
    </w:lvl>
    <w:lvl w:ilvl="1">
      <w:lvlJc w:val="left"/>
      <w:lvlText w:val="%2."/>
      <w:numFmt w:val="lowerRoman"/>
      <w:start w:val="4"/>
    </w:lvl>
  </w:abstractNum>
  <w:abstractNum w:abstractNumId="7">
    <w:nsid w:val="3855585C"/>
    <w:multiLevelType w:val="hybridMultilevel"/>
    <w:lvl w:ilvl="0">
      <w:lvlJc w:val="left"/>
      <w:lvlText w:val="(%1)"/>
      <w:numFmt w:val="lowerRoman"/>
      <w:start w:val="10"/>
    </w:lvl>
    <w:lvl w:ilvl="1">
      <w:lvlJc w:val="left"/>
      <w:lvlText w:val="%2."/>
      <w:numFmt w:val="lowerRoman"/>
      <w:start w:val="5"/>
    </w:lvl>
  </w:abstractNum>
  <w:abstractNum w:abstractNumId="8">
    <w:nsid w:val="70A64E2A"/>
    <w:multiLevelType w:val="hybridMultilevel"/>
    <w:lvl w:ilvl="0">
      <w:lvlJc w:val="left"/>
      <w:lvlText w:val="%1"/>
      <w:numFmt w:val="lowerLetter"/>
      <w:start w:val="1"/>
    </w:lvl>
    <w:lvl w:ilvl="1">
      <w:lvlJc w:val="left"/>
      <w:lvlText w:val="%2."/>
      <w:numFmt w:val="lowerRoman"/>
      <w:start w:val="7"/>
    </w:lvl>
  </w:abstractNum>
  <w:abstractNum w:abstractNumId="9">
    <w:nsid w:val="6A2342EC"/>
    <w:multiLevelType w:val="hybridMultilevel"/>
    <w:lvl w:ilvl="0">
      <w:lvlJc w:val="left"/>
      <w:lvlText w:val="%1)"/>
      <w:numFmt w:val="lowerLetter"/>
      <w:start w:val="5"/>
    </w:lvl>
    <w:lvl w:ilvl="1">
      <w:lvlJc w:val="left"/>
      <w:lvlText w:val="%2"/>
      <w:numFmt w:val="lowerRoman"/>
      <w:start w:val="1"/>
    </w:lvl>
  </w:abstractNum>
  <w:abstractNum w:abstractNumId="10">
    <w:nsid w:val="2A487CB0"/>
    <w:multiLevelType w:val="hybridMultilevel"/>
    <w:lvl w:ilvl="0">
      <w:lvlJc w:val="left"/>
      <w:lvlText w:val="%1)"/>
      <w:numFmt w:val="lowerLetter"/>
      <w:start w:val="1"/>
    </w:lvl>
  </w:abstractNum>
  <w:abstractNum w:abstractNumId="11">
    <w:nsid w:val="1D4ED43B"/>
    <w:multiLevelType w:val="hybridMultilevel"/>
    <w:lvl w:ilvl="0">
      <w:lvlJc w:val="left"/>
      <w:lvlText w:val="%1"/>
      <w:numFmt w:val="lowerRoman"/>
      <w:start w:val="1"/>
    </w:lvl>
    <w:lvl w:ilvl="1">
      <w:lvlJc w:val="left"/>
      <w:lvlText w:val="%2)"/>
      <w:numFmt w:val="lowerLetter"/>
      <w:start w:val="4"/>
    </w:lvl>
  </w:abstractNum>
  <w:abstractNum w:abstractNumId="12">
    <w:nsid w:val="725A06FB"/>
    <w:multiLevelType w:val="hybridMultilevel"/>
    <w:lvl w:ilvl="0">
      <w:lvlJc w:val="left"/>
      <w:lvlText w:val="(%1)"/>
      <w:numFmt w:val="lowerRoman"/>
      <w:start w:val="1"/>
    </w:lvl>
    <w:lvl w:ilvl="1">
      <w:lvlJc w:val="left"/>
      <w:lvlText w:val="%2"/>
      <w:numFmt w:val="lowerLetter"/>
      <w:start w:val="1"/>
    </w:lvl>
  </w:abstractNum>
  <w:abstractNum w:abstractNumId="13">
    <w:nsid w:val="2CD89A32"/>
    <w:multiLevelType w:val="hybridMultilevel"/>
    <w:lvl w:ilvl="0">
      <w:lvlJc w:val="left"/>
      <w:lvlText w:val="%1)"/>
      <w:numFmt w:val="lowerLetter"/>
      <w:start w:val="5"/>
    </w:lvl>
    <w:lvl w:ilvl="1">
      <w:lvlJc w:val="left"/>
      <w:lvlText w:val="%2."/>
      <w:numFmt w:val="lowerRoman"/>
      <w:start w:val="1"/>
    </w:lvl>
  </w:abstractNum>
  <w:abstractNum w:abstractNumId="14">
    <w:nsid w:val="57E4CCAF"/>
    <w:multiLevelType w:val="hybridMultilevel"/>
    <w:lvl w:ilvl="0">
      <w:lvlJc w:val="left"/>
      <w:lvlText w:val="%1)"/>
      <w:numFmt w:val="lowerLetter"/>
      <w:start w:val="1"/>
    </w:lvl>
  </w:abstractNum>
  <w:abstractNum w:abstractNumId="15">
    <w:nsid w:val="7A6D8D3C"/>
    <w:multiLevelType w:val="hybridMultilevel"/>
    <w:lvl w:ilvl="0">
      <w:lvlJc w:val="left"/>
      <w:lvlText w:val="%1)"/>
      <w:numFmt w:val="lowerLetter"/>
      <w:start w:val="2"/>
    </w:lvl>
  </w:abstractNum>
  <w:abstractNum w:abstractNumId="16">
    <w:nsid w:val="4B588F54"/>
    <w:multiLevelType w:val="hybridMultilevel"/>
    <w:lvl w:ilvl="0">
      <w:lvlJc w:val="left"/>
      <w:lvlText w:val="%1)"/>
      <w:numFmt w:val="lowerLetter"/>
      <w:start w:val="1"/>
    </w:lvl>
  </w:abstractNum>
  <w:abstractNum w:abstractNumId="17">
    <w:nsid w:val="542289EC"/>
    <w:multiLevelType w:val="hybridMultilevel"/>
    <w:lvl w:ilvl="0">
      <w:lvlJc w:val="left"/>
      <w:lvlText w:val="%1)"/>
      <w:numFmt w:val="lowerLetter"/>
      <w:start w:val="2"/>
    </w:lvl>
  </w:abstractNum>
  <w:abstractNum w:abstractNumId="18">
    <w:nsid w:val="6DE91B18"/>
    <w:multiLevelType w:val="hybridMultilevel"/>
    <w:lvl w:ilvl="0">
      <w:lvlJc w:val="left"/>
      <w:lvlText w:val="%1)"/>
      <w:numFmt w:val="lowerLetter"/>
      <w:start w:val="5"/>
    </w:lvl>
  </w:abstractNum>
  <w:abstractNum w:abstractNumId="19">
    <w:nsid w:val="38437FDB"/>
    <w:multiLevelType w:val="hybridMultilevel"/>
    <w:lvl w:ilvl="0">
      <w:lvlJc w:val="left"/>
      <w:lvlText w:val="%1)"/>
      <w:numFmt w:val="lowerLetter"/>
      <w:start w:val="10"/>
    </w:lvl>
  </w:abstractNum>
  <w:abstractNum w:abstractNumId="20">
    <w:nsid w:val="7644A45C"/>
    <w:multiLevelType w:val="hybridMultilevel"/>
    <w:lvl w:ilvl="0">
      <w:lvlJc w:val="left"/>
      <w:lvlText w:val="(%1)"/>
      <w:numFmt w:val="decimal"/>
      <w:start w:val="1"/>
    </w:lvl>
  </w:abstractNum>
  <w:abstractNum w:abstractNumId="21">
    <w:nsid w:val="32FFF902"/>
    <w:multiLevelType w:val="hybridMultilevel"/>
    <w:lvl w:ilvl="0">
      <w:lvlJc w:val="left"/>
      <w:lvlText w:val="(%1)"/>
      <w:numFmt w:val="decimal"/>
      <w:start w:val="3"/>
    </w:lvl>
  </w:abstractNum>
  <w:abstractNum w:abstractNumId="22">
    <w:nsid w:val="684A481A"/>
    <w:multiLevelType w:val="hybridMultilevel"/>
    <w:lvl w:ilvl="0">
      <w:lvlJc w:val="left"/>
      <w:lvlText w:val="(%1)"/>
      <w:numFmt w:val="decimal"/>
      <w:start w:val="4"/>
    </w:lvl>
  </w:abstractNum>
  <w:abstractNum w:abstractNumId="23">
    <w:nsid w:val="579478FE"/>
    <w:multiLevelType w:val="hybridMultilevel"/>
    <w:lvl w:ilvl="0">
      <w:lvlJc w:val="left"/>
      <w:lvlText w:val="%1)"/>
      <w:numFmt w:val="lowerLetter"/>
      <w:start w:val="1"/>
    </w:lvl>
  </w:abstractNum>
  <w:abstractNum w:abstractNumId="24">
    <w:nsid w:val="749ABB43"/>
    <w:multiLevelType w:val="hybridMultilevel"/>
    <w:lvl w:ilvl="0">
      <w:lvlJc w:val="left"/>
      <w:lvlText w:val="(%1)"/>
      <w:numFmt w:val="upperLetter"/>
      <w:start w:val="1"/>
    </w:lvl>
    <w:lvl w:ilvl="1">
      <w:lvlJc w:val="left"/>
      <w:lvlText w:val="(%2)"/>
      <w:numFmt w:val="lowerLetter"/>
      <w:start w:val="26"/>
    </w:lvl>
  </w:abstractNum>
  <w:abstractNum w:abstractNumId="25">
    <w:nsid w:val="3DC240FB"/>
    <w:multiLevelType w:val="hybridMultilevel"/>
    <w:lvl w:ilvl="0">
      <w:lvlJc w:val="left"/>
      <w:lvlText w:val="(%1)"/>
      <w:numFmt w:val="upperLetter"/>
      <w:start w:val="24"/>
    </w:lvl>
  </w:abstractNum>
  <w:abstractNum w:abstractNumId="26">
    <w:nsid w:val="1BA026FA"/>
    <w:multiLevelType w:val="hybridMultilevel"/>
    <w:lvl w:ilvl="0">
      <w:lvlJc w:val="left"/>
      <w:lvlText w:val="(%1)"/>
      <w:numFmt w:val="lowerLetter"/>
      <w:start w:val="4"/>
    </w:lvl>
  </w:abstractNum>
  <w:abstractNum w:abstractNumId="27">
    <w:nsid w:val="79A1DEAA"/>
    <w:multiLevelType w:val="hybridMultilevel"/>
    <w:lvl w:ilvl="0">
      <w:lvlJc w:val="left"/>
      <w:lvlText w:val="%1)"/>
      <w:numFmt w:val="lowerLetter"/>
      <w:start w:val="4"/>
    </w:lvl>
    <w:lvl w:ilvl="1">
      <w:lvlJc w:val="left"/>
      <w:lvlText w:val="%2."/>
      <w:numFmt w:val="lowerRoman"/>
      <w:start w:val="1"/>
    </w:lvl>
  </w:abstractNum>
  <w:abstractNum w:abstractNumId="28">
    <w:nsid w:val="75C6C33A"/>
    <w:multiLevelType w:val="hybridMultilevel"/>
    <w:lvl w:ilvl="0">
      <w:lvlJc w:val="left"/>
      <w:lvlText w:val="%1"/>
      <w:numFmt w:val="lowerRoman"/>
      <w:start w:val="1"/>
    </w:lvl>
    <w:lvl w:ilvl="1">
      <w:lvlJc w:val="left"/>
      <w:lvlText w:val="%2."/>
      <w:numFmt w:val="lowerRoman"/>
      <w:start w:val="2"/>
    </w:lvl>
  </w:abstractNum>
  <w:abstractNum w:abstractNumId="29">
    <w:nsid w:val="12E685FB"/>
    <w:multiLevelType w:val="hybridMultilevel"/>
    <w:lvl w:ilvl="0">
      <w:lvlJc w:val="left"/>
      <w:lvlText w:val="(%1)"/>
      <w:numFmt w:val="lowerRoman"/>
      <w:start w:val="10"/>
    </w:lvl>
    <w:lvl w:ilvl="1">
      <w:lvlJc w:val="left"/>
      <w:lvlText w:val="%2"/>
      <w:numFmt w:val="lowerRoman"/>
      <w:start w:val="1"/>
    </w:lvl>
  </w:abstractNum>
  <w:abstractNum w:abstractNumId="30">
    <w:nsid w:val="70C6A529"/>
    <w:multiLevelType w:val="hybridMultilevel"/>
    <w:lvl w:ilvl="0">
      <w:lvlJc w:val="left"/>
      <w:lvlText w:val="%1."/>
      <w:numFmt w:val="lowerRoman"/>
      <w:start w:val="6"/>
    </w:lvl>
  </w:abstractNum>
  <w:abstractNum w:abstractNumId="31">
    <w:nsid w:val="520EEDD1"/>
    <w:multiLevelType w:val="hybridMultilevel"/>
    <w:lvl w:ilvl="0">
      <w:lvlJc w:val="left"/>
      <w:lvlText w:val="%1)"/>
      <w:numFmt w:val="lowerLetter"/>
      <w:start w:val="5"/>
    </w:lvl>
  </w:abstractNum>
  <w:abstractNum w:abstractNumId="32">
    <w:nsid w:val="374A3FE6"/>
    <w:multiLevelType w:val="hybridMultilevel"/>
    <w:lvl w:ilvl="0">
      <w:lvlJc w:val="left"/>
      <w:lvlText w:val="%1)"/>
      <w:numFmt w:val="lowerLetter"/>
      <w:start w:val="1"/>
    </w:lvl>
  </w:abstractNum>
  <w:abstractNum w:abstractNumId="33">
    <w:nsid w:val="4F4EF005"/>
    <w:multiLevelType w:val="hybridMultilevel"/>
    <w:lvl w:ilvl="0">
      <w:lvlJc w:val="left"/>
      <w:lvlText w:val="%1"/>
      <w:numFmt w:val="lowerRoman"/>
      <w:start w:val="1"/>
    </w:lvl>
    <w:lvl w:ilvl="1">
      <w:lvlJc w:val="left"/>
      <w:lvlText w:val="%2)"/>
      <w:numFmt w:val="lowerLetter"/>
      <w:start w:val="4"/>
    </w:lvl>
  </w:abstractNum>
  <w:abstractNum w:abstractNumId="34">
    <w:nsid w:val="23F9C13C"/>
    <w:multiLevelType w:val="hybridMultilevel"/>
    <w:lvl w:ilvl="0">
      <w:lvlJc w:val="left"/>
      <w:lvlText w:val="(%1)"/>
      <w:numFmt w:val="lowerRoman"/>
      <w:start w:val="1"/>
    </w:lvl>
    <w:lvl w:ilvl="1">
      <w:lvlJc w:val="left"/>
      <w:lvlText w:val="%2"/>
      <w:numFmt w:val="lowerLetter"/>
      <w:start w:val="1"/>
    </w:lvl>
  </w:abstractNum>
  <w:abstractNum w:abstractNumId="35">
    <w:nsid w:val="649BB77C"/>
    <w:multiLevelType w:val="hybridMultilevel"/>
    <w:lvl w:ilvl="0">
      <w:lvlJc w:val="left"/>
      <w:lvlText w:val="%1)"/>
      <w:numFmt w:val="lowerLetter"/>
      <w:start w:val="5"/>
    </w:lvl>
    <w:lvl w:ilvl="1">
      <w:lvlJc w:val="left"/>
      <w:lvlText w:val="%2."/>
      <w:numFmt w:val="lowerRoman"/>
      <w:start w:val="1"/>
    </w:lvl>
  </w:abstractNum>
  <w:abstractNum w:abstractNumId="36">
    <w:nsid w:val="275AC794"/>
    <w:multiLevelType w:val="hybridMultilevel"/>
    <w:lvl w:ilvl="0">
      <w:lvlJc w:val="left"/>
      <w:lvlText w:val="%1)"/>
      <w:numFmt w:val="lowerLetter"/>
      <w:start w:val="1"/>
    </w:lvl>
  </w:abstractNum>
  <w:abstractNum w:abstractNumId="37">
    <w:nsid w:val="39386575"/>
    <w:multiLevelType w:val="hybridMultilevel"/>
    <w:lvl w:ilvl="0">
      <w:lvlJc w:val="left"/>
      <w:lvlText w:val="%1)"/>
      <w:numFmt w:val="lowerLetter"/>
      <w:start w:val="1"/>
    </w:lvl>
  </w:abstractNum>
  <w:abstractNum w:abstractNumId="38">
    <w:nsid w:val="1CF10FD8"/>
    <w:multiLevelType w:val="hybridMultilevel"/>
    <w:lvl w:ilvl="0">
      <w:lvlJc w:val="left"/>
      <w:lvlText w:val="%1)"/>
      <w:numFmt w:val="lowerLetter"/>
      <w:start w:val="5"/>
    </w:lvl>
  </w:abstractNum>
  <w:abstractNum w:abstractNumId="39">
    <w:nsid w:val="180115BE"/>
    <w:multiLevelType w:val="hybridMultilevel"/>
    <w:lvl w:ilvl="0">
      <w:lvlJc w:val="left"/>
      <w:lvlText w:val="%1)"/>
      <w:numFmt w:val="lowerLetter"/>
      <w:start w:val="9"/>
    </w:lvl>
  </w:abstractNum>
  <w:abstractNum w:abstractNumId="40">
    <w:nsid w:val="235BA861"/>
    <w:multiLevelType w:val="hybridMultilevel"/>
    <w:lvl w:ilvl="0">
      <w:lvlJc w:val="left"/>
      <w:lvlText w:val="(%1)"/>
      <w:numFmt w:val="decimal"/>
      <w:start w:val="1"/>
    </w:lvl>
    <w:lvl w:ilvl="1">
      <w:lvlJc w:val="left"/>
      <w:lvlText w:val="☐"/>
      <w:numFmt w:val="bullet"/>
      <w:start w:val="1"/>
    </w:lvl>
  </w:abstractNum>
  <w:abstractNum w:abstractNumId="41">
    <w:nsid w:val="47398C89"/>
    <w:multiLevelType w:val="hybridMultilevel"/>
    <w:lvl w:ilvl="0">
      <w:lvlJc w:val="left"/>
      <w:lvlText w:val="(%1)"/>
      <w:numFmt w:val="decimal"/>
      <w:start w:val="4"/>
    </w:lvl>
  </w:abstractNum>
  <w:abstractNum w:abstractNumId="42">
    <w:nsid w:val="354FE9F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3">
    <w:nsid w:val="15B5AF5C"/>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44">
    <w:nsid w:val="741226B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5">
    <w:nsid w:val="D34B6A8"/>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46">
    <w:nsid w:val="10233C99"/>
    <w:multiLevelType w:val="hybridMultilevel"/>
    <w:lvl w:ilvl="0">
      <w:lvlJc w:val="left"/>
      <w:lvlText w:val="%1"/>
      <w:numFmt w:val="lowerLetter"/>
      <w:start w:val="1"/>
    </w:lvl>
    <w:lvl w:ilvl="1">
      <w:lvlJc w:val="left"/>
      <w:lvlText w:val="(%2)"/>
      <w:numFmt w:val="lowerLetter"/>
      <w:start w:val="1"/>
    </w:lvl>
  </w:abstractNum>
  <w:abstractNum w:abstractNumId="47">
    <w:nsid w:val="3F6AB60F"/>
    <w:multiLevelType w:val="hybridMultilevel"/>
    <w:lvl w:ilvl="0">
      <w:lvlJc w:val="left"/>
      <w:lvlText w:val="(%1)"/>
      <w:numFmt w:val="lowerLetter"/>
      <w:start w:val="2"/>
    </w:lvl>
    <w:lvl w:ilvl="1">
      <w:lvlJc w:val="left"/>
      <w:lvlText w:val="%2"/>
      <w:numFmt w:val="lowerLetter"/>
      <w:start w:val="1"/>
    </w:lvl>
  </w:abstractNum>
  <w:abstractNum w:abstractNumId="48">
    <w:nsid w:val="61574095"/>
    <w:multiLevelType w:val="hybridMultilevel"/>
    <w:lvl w:ilvl="0">
      <w:lvlJc w:val="left"/>
      <w:lvlText w:val="(%1)"/>
      <w:numFmt w:val="lowerLetter"/>
      <w:start w:val="35"/>
    </w:lvl>
    <w:lvl w:ilvl="1">
      <w:lvlJc w:val="left"/>
      <w:lvlText w:val="%2"/>
      <w:numFmt w:val="lowerLetter"/>
      <w:start w:val="1"/>
    </w:lvl>
  </w:abstractNum>
  <w:abstractNum w:abstractNumId="49">
    <w:nsid w:val="7E0C57B1"/>
    <w:multiLevelType w:val="hybridMultilevel"/>
    <w:lvl w:ilvl="0">
      <w:lvlJc w:val="left"/>
      <w:lvlText w:val="(%1)"/>
      <w:numFmt w:val="lowerLetter"/>
      <w:start w:val="3"/>
    </w:lvl>
    <w:lvl w:ilvl="1">
      <w:lvlJc w:val="left"/>
      <w:lvlText w:val="%2"/>
      <w:numFmt w:val="lowerLetter"/>
      <w:start w:val="1"/>
    </w:lvl>
  </w:abstractNum>
  <w:abstractNum w:abstractNumId="50">
    <w:nsid w:val="77AE35EB"/>
    <w:multiLevelType w:val="hybridMultilevel"/>
    <w:lvl w:ilvl="0">
      <w:lvlJc w:val="left"/>
      <w:lvlText w:val="(%1)"/>
      <w:numFmt w:val="lowerLetter"/>
      <w:start w:val="4"/>
    </w:lvl>
  </w:abstractNum>
  <w:abstractNum w:abstractNumId="51">
    <w:nsid w:val="579BE4F1"/>
    <w:multiLevelType w:val="hybridMultilevel"/>
    <w:lvl w:ilvl="0">
      <w:lvlJc w:val="left"/>
      <w:lvlText w:val="(%1)"/>
      <w:numFmt w:val="lowerLetter"/>
      <w:start w:val="6"/>
    </w:lvl>
  </w:abstractNum>
  <w:abstractNum w:abstractNumId="52">
    <w:nsid w:val="310C50B3"/>
    <w:multiLevelType w:val="hybridMultilevel"/>
    <w:lvl w:ilvl="0">
      <w:lvlJc w:val="left"/>
      <w:lvlText w:val="(%1)"/>
      <w:numFmt w:val="lowerLetter"/>
      <w:start w:val="8"/>
    </w:lvl>
  </w:abstractNum>
  <w:abstractNum w:abstractNumId="53">
    <w:nsid w:val="5FF87E05"/>
    <w:multiLevelType w:val="hybridMultilevel"/>
    <w:lvl w:ilvl="0">
      <w:lvlJc w:val="left"/>
      <w:lvlText w:val="(%1)"/>
      <w:numFmt w:val="lowerLetter"/>
      <w:start w:val="9"/>
    </w:lvl>
  </w:abstractNum>
  <w:abstractNum w:abstractNumId="54">
    <w:nsid w:val="2F305DEF"/>
    <w:multiLevelType w:val="hybridMultilevel"/>
    <w:lvl w:ilvl="0">
      <w:lvlJc w:val="left"/>
      <w:lvlText w:val="(%1)"/>
      <w:numFmt w:val="lowerLetter"/>
      <w:start w:val="12"/>
    </w:lvl>
  </w:abstractNum>
  <w:abstractNum w:abstractNumId="55">
    <w:nsid w:val="25A70BF7"/>
    <w:multiLevelType w:val="hybridMultilevel"/>
    <w:lvl w:ilvl="0">
      <w:lvlJc w:val="left"/>
      <w:lvlText w:val="(%1)"/>
      <w:numFmt w:val="lowerLetter"/>
      <w:start w:val="16"/>
    </w:lvl>
  </w:abstractNum>
  <w:abstractNum w:abstractNumId="56">
    <w:nsid w:val="1DBABF00"/>
    <w:multiLevelType w:val="hybridMultilevel"/>
    <w:lvl w:ilvl="0">
      <w:lvlJc w:val="left"/>
      <w:lvlText w:val="(%1)"/>
      <w:numFmt w:val="lowerLetter"/>
      <w:start w:val="19"/>
    </w:lvl>
  </w:abstractNum>
  <w:abstractNum w:abstractNumId="57">
    <w:nsid w:val="4AD084E9"/>
    <w:multiLevelType w:val="hybridMultilevel"/>
    <w:lvl w:ilvl="0">
      <w:lvlJc w:val="left"/>
      <w:lvlText w:val="(%1)"/>
      <w:numFmt w:val="lowerLetter"/>
      <w:start w:val="23"/>
    </w:lvl>
  </w:abstractNum>
  <w:abstractNum w:abstractNumId="58">
    <w:nsid w:val="1F48EAA1"/>
    <w:multiLevelType w:val="hybridMultilevel"/>
    <w:lvl w:ilvl="0">
      <w:lvlJc w:val="left"/>
      <w:lvlText w:val="(%1)"/>
      <w:numFmt w:val="lowerLetter"/>
      <w:start w:val="27"/>
    </w:lvl>
  </w:abstractNum>
  <w:abstractNum w:abstractNumId="59">
    <w:nsid w:val="1381823A"/>
    <w:multiLevelType w:val="hybridMultilevel"/>
    <w:lvl w:ilvl="0">
      <w:lvlJc w:val="left"/>
      <w:lvlText w:val="(%1)"/>
      <w:numFmt w:val="lowerLetter"/>
      <w:start w:val="25"/>
    </w:lvl>
  </w:abstractNum>
  <w:abstractNum w:abstractNumId="60">
    <w:nsid w:val="5DB70AE5"/>
    <w:multiLevelType w:val="hybridMultilevel"/>
    <w:lvl w:ilvl="0">
      <w:lvlJc w:val="left"/>
      <w:lvlText w:val="(%1)"/>
      <w:numFmt w:val="lowerLetter"/>
      <w:start w:val="28"/>
    </w:lvl>
  </w:abstractNum>
  <w:abstractNum w:abstractNumId="61">
    <w:nsid w:val="100F8FCA"/>
    <w:multiLevelType w:val="hybridMultilevel"/>
    <w:lvl w:ilvl="0">
      <w:lvlJc w:val="left"/>
      <w:lvlText w:val="(%1)"/>
      <w:numFmt w:val="lowerLetter"/>
      <w:start w:val="30"/>
    </w:lvl>
  </w:abstractNum>
  <w:abstractNum w:abstractNumId="62">
    <w:nsid w:val="6590700B"/>
    <w:multiLevelType w:val="hybridMultilevel"/>
    <w:lvl w:ilvl="0">
      <w:lvlJc w:val="left"/>
      <w:lvlText w:val="(%1)"/>
      <w:numFmt w:val="lowerLetter"/>
      <w:start w:val="34"/>
    </w:lvl>
  </w:abstractNum>
  <w:abstractNum w:abstractNumId="63">
    <w:nsid w:val="15014ACB"/>
    <w:multiLevelType w:val="hybridMultilevel"/>
    <w:lvl w:ilvl="0">
      <w:lvlJc w:val="left"/>
      <w:lvlText w:val="(%1)"/>
      <w:numFmt w:val="lowerLetter"/>
      <w:start w:val="36"/>
    </w:lvl>
  </w:abstractNum>
  <w:abstractNum w:abstractNumId="64">
    <w:nsid w:val="5F5E7FD0"/>
    <w:multiLevelType w:val="hybridMultilevel"/>
    <w:lvl w:ilvl="0">
      <w:lvlJc w:val="left"/>
      <w:lvlText w:val="(%1)"/>
      <w:numFmt w:val="lowerLetter"/>
      <w:start w:val="38"/>
    </w:lvl>
  </w:abstractNum>
  <w:abstractNum w:abstractNumId="65">
    <w:nsid w:val="98A3148"/>
    <w:multiLevelType w:val="hybridMultilevel"/>
    <w:lvl w:ilvl="0">
      <w:lvlJc w:val="left"/>
      <w:lvlText w:val="(%1)"/>
      <w:numFmt w:val="lowerLetter"/>
      <w:start w:val="45"/>
    </w:lvl>
  </w:abstractNum>
  <w:abstractNum w:abstractNumId="66">
    <w:nsid w:val="799D0247"/>
    <w:multiLevelType w:val="hybridMultilevel"/>
    <w:lvl w:ilvl="0">
      <w:lvlJc w:val="left"/>
      <w:lvlText w:val="(%1)"/>
      <w:numFmt w:val="lowerLetter"/>
      <w:start w:val="1"/>
    </w:lvl>
  </w:abstractNum>
  <w:abstractNum w:abstractNumId="67">
    <w:nsid w:val="6B94764"/>
    <w:multiLevelType w:val="hybridMultilevel"/>
    <w:lvl w:ilvl="0">
      <w:lvlJc w:val="left"/>
      <w:lvlText w:val="%1"/>
      <w:numFmt w:val="lowerLetter"/>
      <w:start w:val="1"/>
    </w:lvl>
    <w:lvl w:ilvl="1">
      <w:lvlJc w:val="left"/>
      <w:lvlText w:val="(%2)"/>
      <w:numFmt w:val="lowerLetter"/>
      <w:start w:val="2"/>
    </w:lvl>
  </w:abstractNum>
  <w:abstractNum w:abstractNumId="68">
    <w:nsid w:val="42C296BD"/>
    <w:multiLevelType w:val="hybridMultilevel"/>
    <w:lvl w:ilvl="0">
      <w:lvlJc w:val="left"/>
      <w:lvlText w:val="(%1)"/>
      <w:numFmt w:val="lowerLetter"/>
      <w:start w:val="3"/>
    </w:lvl>
    <w:lvl w:ilvl="1">
      <w:lvlJc w:val="left"/>
      <w:lvlText w:val="(%2)"/>
      <w:numFmt w:val="lowerLetter"/>
      <w:start w:val="4"/>
    </w:lvl>
  </w:abstractNum>
  <w:abstractNum w:abstractNumId="69">
    <w:nsid w:val="168E121F"/>
    <w:multiLevelType w:val="hybridMultilevel"/>
    <w:lvl w:ilvl="0">
      <w:lvlJc w:val="left"/>
      <w:lvlText w:val="(%1)"/>
      <w:numFmt w:val="lowerLetter"/>
      <w:start w:val="6"/>
    </w:lvl>
  </w:abstractNum>
  <w:abstractNum w:abstractNumId="70">
    <w:nsid w:val="1EBA5D23"/>
    <w:multiLevelType w:val="hybridMultilevel"/>
    <w:lvl w:ilvl="0">
      <w:lvlJc w:val="left"/>
      <w:lvlText w:val="(%1)"/>
      <w:numFmt w:val="lowerLetter"/>
      <w:start w:val="1"/>
    </w:lvl>
  </w:abstractNum>
  <w:abstractNum w:abstractNumId="71">
    <w:nsid w:val="661E3F1E"/>
    <w:multiLevelType w:val="hybridMultilevel"/>
    <w:lvl w:ilvl="0">
      <w:lvlJc w:val="left"/>
      <w:lvlText w:val="(%1)"/>
      <w:numFmt w:val="lowerLetter"/>
      <w:start w:val="3"/>
    </w:lvl>
  </w:abstractNum>
  <w:abstractNum w:abstractNumId="72">
    <w:nsid w:val="5DC79EA8"/>
    <w:multiLevelType w:val="hybridMultilevel"/>
    <w:lvl w:ilvl="0">
      <w:lvlJc w:val="left"/>
      <w:lvlText w:val="(%1)"/>
      <w:numFmt w:val="lowerLetter"/>
      <w:start w:val="5"/>
    </w:lvl>
  </w:abstractNum>
  <w:abstractNum w:abstractNumId="73">
    <w:nsid w:val="540A471C"/>
    <w:multiLevelType w:val="hybridMultilevel"/>
    <w:lvl w:ilvl="0">
      <w:lvlJc w:val="left"/>
      <w:lvlText w:val="(%1)"/>
      <w:numFmt w:val="lowerLetter"/>
      <w:start w:val="1"/>
    </w:lvl>
  </w:abstractNum>
  <w:abstractNum w:abstractNumId="74">
    <w:nsid w:val="7BD3EE7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2025-02-12T16:08:21Z</dcterms:created>
  <dcterms:modified xsi:type="dcterms:W3CDTF">2025-02-12T16:08:21Z</dcterms:modified>
</cp:coreProperties>
</file>