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980" w:hanging="611"/>
        <w:spacing w:after="0"/>
        <w:tabs>
          <w:tab w:leader="none" w:pos="9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25" w:lineRule="exact"/>
        <w:rPr>
          <w:sz w:val="24"/>
          <w:szCs w:val="24"/>
          <w:color w:val="auto"/>
        </w:rPr>
      </w:pPr>
    </w:p>
    <w:p>
      <w:pPr>
        <w:ind w:left="980" w:right="1060" w:hanging="591"/>
        <w:spacing w:after="0" w:line="500" w:lineRule="auto"/>
        <w:tabs>
          <w:tab w:leader="none" w:pos="-239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 w:lineRule="exact"/>
        <w:rPr>
          <w:rFonts w:ascii="Arial" w:cs="Arial" w:eastAsia="Arial" w:hAnsi="Arial"/>
          <w:sz w:val="18"/>
          <w:szCs w:val="18"/>
          <w:b w:val="1"/>
          <w:bCs w:val="1"/>
          <w:color w:val="auto"/>
        </w:rPr>
      </w:pPr>
    </w:p>
    <w:p>
      <w:pPr>
        <w:ind w:left="42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of Registrant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i w:val="1"/>
          <w:iCs w:val="1"/>
          <w:color w:val="auto"/>
        </w:rPr>
        <w:t>State or Other Jurisdiction of</w:t>
      </w:r>
    </w:p>
    <w:p>
      <w:pPr>
        <w:spacing w:after="0" w:line="32" w:lineRule="exact"/>
        <w:rPr>
          <w:sz w:val="24"/>
          <w:szCs w:val="24"/>
          <w:color w:val="auto"/>
        </w:rPr>
      </w:pPr>
    </w:p>
    <w:p>
      <w:pPr>
        <w:ind w:left="1600"/>
        <w:spacing w:after="0"/>
        <w:rPr>
          <w:sz w:val="20"/>
          <w:szCs w:val="20"/>
          <w:color w:val="auto"/>
        </w:rPr>
      </w:pPr>
      <w:r>
        <w:rPr>
          <w:rFonts w:ascii="Arial" w:cs="Arial" w:eastAsia="Arial" w:hAnsi="Arial"/>
          <w:sz w:val="16"/>
          <w:szCs w:val="16"/>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94-3078125</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7"/>
          <w:szCs w:val="17"/>
          <w:b w:val="1"/>
          <w:bCs w:val="1"/>
          <w:i w:val="1"/>
          <w:iCs w:val="1"/>
          <w:color w:val="auto"/>
        </w:rPr>
        <w:t>(I.R.S. Employer</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6" w:right="3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746"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3"/>
          </w:tcPr>
          <w:p>
            <w:pPr>
              <w:ind w:left="200"/>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420" w:type="dxa"/>
            <w:vAlign w:val="bottom"/>
            <w:gridSpan w:val="3"/>
          </w:tcPr>
          <w:p>
            <w:pPr>
              <w:jc w:val="center"/>
              <w:ind w:right="1020"/>
              <w:spacing w:after="0"/>
              <w:rPr>
                <w:sz w:val="20"/>
                <w:szCs w:val="20"/>
                <w:color w:val="auto"/>
              </w:rPr>
            </w:pPr>
            <w:r>
              <w:rPr>
                <w:rFonts w:ascii="Arial" w:cs="Arial" w:eastAsia="Arial" w:hAnsi="Arial"/>
                <w:sz w:val="18"/>
                <w:szCs w:val="18"/>
                <w:color w:val="auto"/>
                <w:w w:val="90"/>
              </w:rPr>
              <w:t>Title of Each Class</w:t>
            </w:r>
          </w:p>
        </w:tc>
        <w:tc>
          <w:tcPr>
            <w:tcW w:w="256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34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ind w:firstLine="189"/>
        <w:spacing w:after="0" w:line="263" w:lineRule="auto"/>
        <w:rPr>
          <w:sz w:val="20"/>
          <w:szCs w:val="20"/>
          <w:color w:val="auto"/>
        </w:rPr>
      </w:pPr>
      <w:r>
        <w:rPr>
          <w:rFonts w:ascii="Arial" w:cs="Arial" w:eastAsia="Arial" w:hAnsi="Arial"/>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type w:val="continuous"/>
        </w:sectPr>
      </w:pPr>
    </w:p>
    <w:p>
      <w:pPr>
        <w:spacing w:after="0" w:line="184"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 ]</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00" w:lineRule="exact"/>
        <w:rPr>
          <w:sz w:val="24"/>
          <w:szCs w:val="24"/>
          <w:color w:val="auto"/>
        </w:rPr>
      </w:pPr>
    </w:p>
    <w:p>
      <w:pPr>
        <w:sectPr>
          <w:pgSz w:w="11900" w:h="16838" w:orient="portrait"/>
          <w:cols w:equalWidth="0" w:num="2">
            <w:col w:w="3800" w:space="720"/>
            <w:col w:w="6720"/>
          </w:cols>
          <w:pgMar w:left="320" w:top="746" w:right="339" w:bottom="1440" w:gutter="0" w:footer="0" w:header="0"/>
          <w:type w:val="continuous"/>
        </w:sectPr>
      </w:pPr>
    </w:p>
    <w:p>
      <w:pPr>
        <w:spacing w:after="0" w:line="37" w:lineRule="exact"/>
        <w:rPr>
          <w:sz w:val="24"/>
          <w:szCs w:val="24"/>
          <w:color w:val="auto"/>
        </w:rPr>
      </w:pPr>
    </w:p>
    <w:p>
      <w:pPr>
        <w:ind w:left="58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3">
            <w:col w:w="3800" w:space="720"/>
            <w:col w:w="2640" w:space="720"/>
            <w:col w:w="3360"/>
          </w:cols>
          <w:pgMar w:left="320" w:top="746" w:right="339" w:bottom="1440" w:gutter="0" w:footer="0" w:header="0"/>
          <w:type w:val="continuous"/>
        </w:sectPr>
      </w:pPr>
    </w:p>
    <w:p>
      <w:pPr>
        <w:spacing w:after="0" w:line="37"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189"/>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7,108,133 shares of Common Stock, $0.01 par value at November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500" w:type="dxa"/>
            <w:vAlign w:val="bottom"/>
          </w:tcPr>
          <w:p>
            <w:pPr>
              <w:ind w:left="3580"/>
              <w:spacing w:after="0"/>
              <w:rPr>
                <w:sz w:val="20"/>
                <w:szCs w:val="20"/>
                <w:color w:val="auto"/>
              </w:rPr>
            </w:pPr>
            <w:r>
              <w:rPr>
                <w:rFonts w:ascii="Arial" w:cs="Arial" w:eastAsia="Arial" w:hAnsi="Arial"/>
                <w:sz w:val="18"/>
                <w:szCs w:val="18"/>
                <w:b w:val="1"/>
                <w:bCs w:val="1"/>
                <w:color w:val="auto"/>
              </w:rPr>
              <w:t>MICROBOT MEDICAL INC. AND SUBSIDIARIES</w:t>
            </w:r>
          </w:p>
        </w:tc>
        <w:tc>
          <w:tcPr>
            <w:tcW w:w="740" w:type="dxa"/>
            <w:vAlign w:val="bottom"/>
          </w:tcPr>
          <w:p>
            <w:pPr>
              <w:spacing w:after="0"/>
              <w:rPr>
                <w:sz w:val="20"/>
                <w:szCs w:val="20"/>
                <w:color w:val="auto"/>
              </w:rPr>
            </w:pPr>
          </w:p>
        </w:tc>
      </w:tr>
      <w:tr>
        <w:trPr>
          <w:trHeight w:val="216"/>
        </w:trPr>
        <w:tc>
          <w:tcPr>
            <w:tcW w:w="10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740" w:type="dxa"/>
            <w:vAlign w:val="bottom"/>
            <w:shd w:val="clear" w:color="auto" w:fill="CCEEFF"/>
          </w:tcPr>
          <w:p>
            <w:pPr>
              <w:spacing w:after="0"/>
              <w:rPr>
                <w:sz w:val="18"/>
                <w:szCs w:val="18"/>
                <w:color w:val="auto"/>
              </w:rPr>
            </w:pPr>
          </w:p>
        </w:tc>
      </w:tr>
      <w:tr>
        <w:trPr>
          <w:trHeight w:val="216"/>
        </w:trPr>
        <w:tc>
          <w:tcPr>
            <w:tcW w:w="10500" w:type="dxa"/>
            <w:vAlign w:val="bottom"/>
          </w:tcPr>
          <w:p>
            <w:pPr>
              <w:spacing w:after="0"/>
              <w:rPr>
                <w:sz w:val="20"/>
                <w:szCs w:val="20"/>
                <w:color w:val="auto"/>
              </w:rPr>
            </w:pPr>
            <w:r>
              <w:rPr>
                <w:rFonts w:ascii="Arial" w:cs="Arial" w:eastAsia="Arial" w:hAnsi="Arial"/>
                <w:sz w:val="18"/>
                <w:szCs w:val="18"/>
                <w:color w:val="auto"/>
              </w:rPr>
              <w:t>Item 1 - Financial Statements</w:t>
            </w:r>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Consolidated Balance Sheets as of September 30, 2020 (unaudited) and December 31, 2019 (audited)</w:t>
              </w:r>
            </w:hyperlink>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1</w:t>
            </w:r>
          </w:p>
        </w:tc>
      </w:tr>
      <w:tr>
        <w:trPr>
          <w:trHeight w:val="216"/>
        </w:trPr>
        <w:tc>
          <w:tcPr>
            <w:tcW w:w="1050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Interim Consolidated Statements of Operations for the Three and Nine Months Ended September 30, 2020 and 2019 (unaudited)</w:t>
              </w:r>
            </w:hyperlink>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79"/>
              </w:rPr>
              <w:t>2</w:t>
            </w:r>
          </w:p>
        </w:tc>
      </w:tr>
      <w:tr>
        <w:trPr>
          <w:trHeight w:val="216"/>
        </w:trPr>
        <w:tc>
          <w:tcPr>
            <w:tcW w:w="10500" w:type="dxa"/>
            <w:vAlign w:val="bottom"/>
            <w:shd w:val="clear" w:color="auto" w:fill="CCEEFF"/>
          </w:tcPr>
          <w:p>
            <w:pPr>
              <w:ind w:left="180"/>
              <w:spacing w:after="0"/>
              <w:rPr>
                <w:rFonts w:ascii="Arial" w:cs="Arial" w:eastAsia="Arial" w:hAnsi="Arial"/>
                <w:sz w:val="18"/>
                <w:szCs w:val="18"/>
                <w:u w:val="single" w:color="auto"/>
                <w:color w:val="0000EE"/>
                <w:w w:val="93"/>
              </w:rPr>
            </w:pPr>
            <w:hyperlink w:anchor="page5">
              <w:r>
                <w:rPr>
                  <w:rFonts w:ascii="Arial" w:cs="Arial" w:eastAsia="Arial" w:hAnsi="Arial"/>
                  <w:sz w:val="18"/>
                  <w:szCs w:val="18"/>
                  <w:u w:val="single" w:color="auto"/>
                  <w:color w:val="0000EE"/>
                  <w:w w:val="93"/>
                </w:rPr>
                <w:t>Interim Consolidated Statements of Comprehensive Loss for the Three and Nine Months Ended September 30, 2020 and 2019 (unaudited)</w:t>
              </w:r>
            </w:hyperlink>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16"/>
        </w:trPr>
        <w:tc>
          <w:tcPr>
            <w:tcW w:w="10500" w:type="dxa"/>
            <w:vAlign w:val="bottom"/>
          </w:tcPr>
          <w:p>
            <w:pPr>
              <w:ind w:left="180"/>
              <w:spacing w:after="0"/>
              <w:rPr>
                <w:rFonts w:ascii="Arial" w:cs="Arial" w:eastAsia="Arial" w:hAnsi="Arial"/>
                <w:sz w:val="18"/>
                <w:szCs w:val="18"/>
                <w:u w:val="single" w:color="auto"/>
                <w:color w:val="0000EE"/>
                <w:w w:val="93"/>
              </w:rPr>
            </w:pPr>
            <w:hyperlink w:anchor="page6">
              <w:r>
                <w:rPr>
                  <w:rFonts w:ascii="Arial" w:cs="Arial" w:eastAsia="Arial" w:hAnsi="Arial"/>
                  <w:sz w:val="18"/>
                  <w:szCs w:val="18"/>
                  <w:u w:val="single" w:color="auto"/>
                  <w:color w:val="0000EE"/>
                  <w:w w:val="93"/>
                </w:rPr>
                <w:t>Interim Consolidated Statements of Shareholders’ Equity for the Three and Nine Months Ended September 30, 2020 and 2019 (unaudited)</w:t>
              </w:r>
            </w:hyperlink>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79"/>
              </w:rPr>
              <w:t>4</w:t>
            </w:r>
          </w:p>
        </w:tc>
      </w:tr>
      <w:tr>
        <w:trPr>
          <w:trHeight w:val="216"/>
        </w:trPr>
        <w:tc>
          <w:tcPr>
            <w:tcW w:w="1050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Interim Consolidated Statements of Cash Flows for the Nine Months Ended September 30, 2020 and 2019 (unaudited)</w:t>
              </w:r>
            </w:hyperlink>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r>
      <w:tr>
        <w:trPr>
          <w:trHeight w:val="216"/>
        </w:trPr>
        <w:tc>
          <w:tcPr>
            <w:tcW w:w="1050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Interim Consolidated Financial Statements</w:t>
              </w:r>
            </w:hyperlink>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79"/>
              </w:rPr>
              <w:t>6</w:t>
            </w: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2 - Management’s Discussion and Analysis of Financial Condition and Results of Operations</w:t>
              </w:r>
            </w:hyperlink>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 – Quantitative and Qualitative Disclosures About Market Risk</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4 - Controls and Procedures</w:t>
              </w:r>
            </w:hyperlink>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500" w:type="dxa"/>
            <w:vAlign w:val="bottom"/>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Part II - Other Information</w:t>
              </w:r>
            </w:hyperlink>
          </w:p>
        </w:tc>
        <w:tc>
          <w:tcPr>
            <w:tcW w:w="740" w:type="dxa"/>
            <w:vAlign w:val="bottom"/>
          </w:tcPr>
          <w:p>
            <w:pPr>
              <w:spacing w:after="0"/>
              <w:rPr>
                <w:sz w:val="18"/>
                <w:szCs w:val="18"/>
                <w:color w:val="auto"/>
              </w:rPr>
            </w:pP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1 - Legal Proceedings</w:t>
              </w:r>
            </w:hyperlink>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2 – Unregistered Sales of Equity Securities and Use of Proceeds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 Defaults Upon Senior Securities</w:t>
              </w:r>
            </w:hyperlink>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 Mine Safety Disclosures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50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5 - Other Information</w:t>
              </w:r>
            </w:hyperlink>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5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6 – Exhibits</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050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Signatures</w:t>
              </w:r>
            </w:hyperlink>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439"/>
        </w:trPr>
        <w:tc>
          <w:tcPr>
            <w:tcW w:w="10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97"/>
              </w:rPr>
              <w:t>As of</w:t>
            </w:r>
          </w:p>
        </w:tc>
      </w:tr>
      <w:tr>
        <w:trPr>
          <w:trHeight w:val="237"/>
        </w:trPr>
        <w:tc>
          <w:tcPr>
            <w:tcW w:w="6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September 30, 2020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December 31, 2019</w:t>
            </w:r>
          </w:p>
        </w:tc>
      </w:tr>
      <w:tr>
        <w:trPr>
          <w:trHeight w:val="223"/>
        </w:trPr>
        <w:tc>
          <w:tcPr>
            <w:tcW w:w="60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Notes</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(Unaudited)</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(Audited)</w:t>
            </w:r>
          </w:p>
        </w:tc>
        <w:tc>
          <w:tcPr>
            <w:tcW w:w="100" w:type="dxa"/>
            <w:vAlign w:val="bottom"/>
            <w:tcBorders>
              <w:bottom w:val="single" w:sz="8" w:color="CCEEFF"/>
            </w:tcBorders>
            <w:gridSpan w:val="2"/>
          </w:tcPr>
          <w:p>
            <w:pPr>
              <w:spacing w:after="0"/>
              <w:rPr>
                <w:sz w:val="19"/>
                <w:szCs w:val="19"/>
                <w:color w:val="auto"/>
              </w:rPr>
            </w:pPr>
          </w:p>
        </w:tc>
      </w:tr>
      <w:tr>
        <w:trPr>
          <w:trHeight w:val="216"/>
        </w:trPr>
        <w:tc>
          <w:tcPr>
            <w:tcW w:w="6080" w:type="dxa"/>
            <w:vAlign w:val="bottom"/>
            <w:shd w:val="clear" w:color="auto" w:fill="CCEEFF"/>
          </w:tcPr>
          <w:p>
            <w:pPr>
              <w:ind w:left="2600"/>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26,531</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28,771</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Marketable security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4,358</w:t>
            </w:r>
          </w:p>
        </w:tc>
        <w:tc>
          <w:tcPr>
            <w:tcW w:w="80" w:type="dxa"/>
            <w:vAlign w:val="bottom"/>
            <w:shd w:val="clear" w:color="auto" w:fill="CCEEFF"/>
          </w:tcPr>
          <w:p>
            <w:pPr>
              <w:spacing w:after="0"/>
              <w:rPr>
                <w:sz w:val="18"/>
                <w:szCs w:val="18"/>
                <w:color w:val="auto"/>
              </w:rPr>
            </w:pPr>
          </w:p>
        </w:tc>
      </w:tr>
      <w:tr>
        <w:trPr>
          <w:trHeight w:val="236"/>
        </w:trPr>
        <w:tc>
          <w:tcPr>
            <w:tcW w:w="60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r>
      <w:tr>
        <w:trPr>
          <w:trHeight w:val="216"/>
        </w:trPr>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0"/>
                <w:szCs w:val="20"/>
                <w:color w:val="auto"/>
              </w:rPr>
            </w:pPr>
          </w:p>
        </w:tc>
      </w:tr>
      <w:tr>
        <w:trPr>
          <w:trHeight w:val="229"/>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LIABILITIES AND STOCKHOLDERS’ EQUITY</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payables</w:t>
            </w:r>
          </w:p>
        </w:tc>
        <w:tc>
          <w:tcPr>
            <w:tcW w:w="6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Provision for extinguishment dispute</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545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r>
      <w:tr>
        <w:trPr>
          <w:trHeight w:val="216"/>
        </w:trPr>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20"/>
                <w:szCs w:val="20"/>
                <w:color w:val="auto"/>
              </w:rPr>
            </w:pPr>
          </w:p>
        </w:tc>
      </w:tr>
      <w:tr>
        <w:trPr>
          <w:trHeight w:val="223"/>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$0.01 par value; 60,000,000 shares authorized as of</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September 30, 2020 and December 31, 2019 7,108,133 and 7,185,628 shares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issued and outstanding as of September 30, 2020 and December 31, 2019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0"/>
                <w:szCs w:val="20"/>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Arial" w:cs="Arial" w:eastAsia="Arial" w:hAnsi="Arial"/>
                <w:sz w:val="18"/>
                <w:szCs w:val="18"/>
                <w:color w:val="auto"/>
              </w:rPr>
              <w:t>68,047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69,954</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shares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36"/>
        </w:trPr>
        <w:tc>
          <w:tcPr>
            <w:tcW w:w="60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(41,643)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(35,111)</w:t>
            </w:r>
          </w:p>
        </w:tc>
      </w:tr>
      <w:tr>
        <w:trPr>
          <w:trHeight w:val="236"/>
        </w:trPr>
        <w:tc>
          <w:tcPr>
            <w:tcW w:w="6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Interim 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ectPr>
          <w:pgSz w:w="11900" w:h="16838" w:orient="portrait"/>
          <w:cols w:equalWidth="0" w:num="1">
            <w:col w:w="11240"/>
          </w:cols>
          <w:pgMar w:left="320" w:top="661" w:right="339" w:bottom="1440" w:gutter="0" w:footer="0" w:header="0"/>
        </w:sectPr>
      </w:pP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18859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0" cy="17145"/>
                    </a:xfrm>
                    <a:prstGeom prst="rect">
                      <a:avLst/>
                    </a:prstGeom>
                    <a:noFill/>
                  </pic:spPr>
                </pic:pic>
              </a:graphicData>
            </a:graphic>
          </wp:anchor>
        </w:drawing>
      </w:r>
    </w:p>
    <w:p>
      <w:pPr>
        <w:spacing w:after="0" w:line="15" w:lineRule="exact"/>
        <w:rPr>
          <w:sz w:val="20"/>
          <w:szCs w:val="20"/>
          <w:color w:val="auto"/>
        </w:rPr>
      </w:pPr>
    </w:p>
    <w:p>
      <w:pPr>
        <w:ind w:left="5280"/>
        <w:spacing w:after="0"/>
        <w:tabs>
          <w:tab w:leader="none" w:pos="6980" w:val="left"/>
        </w:tabs>
        <w:rPr>
          <w:sz w:val="20"/>
          <w:szCs w:val="20"/>
          <w:color w:val="auto"/>
        </w:rPr>
      </w:pPr>
      <w:r>
        <w:rPr>
          <w:rFonts w:ascii="Arial" w:cs="Arial" w:eastAsia="Arial" w:hAnsi="Arial"/>
          <w:sz w:val="16"/>
          <w:szCs w:val="16"/>
          <w:color w:val="auto"/>
        </w:rPr>
        <w:t>2020</w:t>
      </w:r>
      <w:r>
        <w:rPr>
          <w:sz w:val="20"/>
          <w:szCs w:val="20"/>
          <w:color w:val="auto"/>
        </w:rPr>
        <w:tab/>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29210</wp:posOffset>
            </wp:positionV>
            <wp:extent cx="18859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17145"/>
                    </a:xfrm>
                    <a:prstGeom prst="rect">
                      <a:avLst/>
                    </a:prstGeom>
                    <a:noFill/>
                  </pic:spPr>
                </pic:pic>
              </a:graphicData>
            </a:graphic>
          </wp:anchor>
        </w:drawing>
      </w:r>
    </w:p>
    <w:p>
      <w:pPr>
        <w:spacing w:after="0" w:line="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18859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Nine Months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5715</wp:posOffset>
            </wp:positionV>
            <wp:extent cx="18345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15"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2020</w:t>
      </w:r>
      <w:r>
        <w:rPr>
          <w:sz w:val="20"/>
          <w:szCs w:val="20"/>
          <w:color w:val="auto"/>
        </w:rPr>
        <w:tab/>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29210</wp:posOffset>
            </wp:positionV>
            <wp:extent cx="18345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14605</wp:posOffset>
            </wp:positionV>
            <wp:extent cx="18345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451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661" w:right="3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1,037</w:t>
            </w:r>
          </w:p>
        </w:tc>
        <w:tc>
          <w:tcPr>
            <w:tcW w:w="5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843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2,397</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80" w:type="dxa"/>
            <w:vAlign w:val="bottom"/>
            <w:shd w:val="clear" w:color="auto" w:fill="CCEEFF"/>
          </w:tcPr>
          <w:p>
            <w:pPr>
              <w:spacing w:after="0"/>
              <w:rPr>
                <w:sz w:val="18"/>
                <w:szCs w:val="18"/>
                <w:color w:val="auto"/>
              </w:rPr>
            </w:pPr>
          </w:p>
        </w:tc>
      </w:tr>
      <w:tr>
        <w:trPr>
          <w:trHeight w:val="236"/>
        </w:trPr>
        <w:tc>
          <w:tcPr>
            <w:tcW w:w="48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1,378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341"/>
              <w:spacing w:after="0"/>
              <w:rPr>
                <w:sz w:val="20"/>
                <w:szCs w:val="20"/>
                <w:color w:val="auto"/>
              </w:rPr>
            </w:pPr>
            <w:r>
              <w:rPr>
                <w:rFonts w:ascii="Arial" w:cs="Arial" w:eastAsia="Arial" w:hAnsi="Arial"/>
                <w:sz w:val="18"/>
                <w:szCs w:val="18"/>
                <w:color w:val="auto"/>
              </w:rPr>
              <w:t>948</w:t>
            </w:r>
          </w:p>
        </w:tc>
        <w:tc>
          <w:tcPr>
            <w:tcW w:w="300" w:type="dxa"/>
            <w:vAlign w:val="bottom"/>
          </w:tcPr>
          <w:p>
            <w:pPr>
              <w:spacing w:after="0"/>
              <w:rPr>
                <w:sz w:val="20"/>
                <w:szCs w:val="20"/>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4,065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3,045</w:t>
            </w:r>
          </w:p>
        </w:tc>
        <w:tc>
          <w:tcPr>
            <w:tcW w:w="80" w:type="dxa"/>
            <w:vAlign w:val="bottom"/>
          </w:tcPr>
          <w:p>
            <w:pPr>
              <w:spacing w:after="0"/>
              <w:rPr>
                <w:sz w:val="20"/>
                <w:szCs w:val="20"/>
                <w:color w:val="auto"/>
              </w:rPr>
            </w:pPr>
          </w:p>
        </w:tc>
      </w:tr>
      <w:tr>
        <w:trPr>
          <w:trHeight w:val="216"/>
        </w:trPr>
        <w:tc>
          <w:tcPr>
            <w:tcW w:w="48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expenses, net</w:t>
            </w:r>
          </w:p>
        </w:tc>
        <w:tc>
          <w:tcPr>
            <w:tcW w:w="3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57"/>
        </w:trPr>
        <w:tc>
          <w:tcPr>
            <w:tcW w:w="48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420" w:type="dxa"/>
            <w:vAlign w:val="bottom"/>
            <w:tcBorders>
              <w:top w:val="single" w:sz="8" w:color="CCEEFF"/>
              <w:bottom w:val="single" w:sz="8" w:color="CCEEFF"/>
            </w:tcBorders>
          </w:tcPr>
          <w:p>
            <w:pPr>
              <w:jc w:val="right"/>
              <w:ind w:right="2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4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48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(0.35)</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1"/>
              <w:spacing w:after="0"/>
              <w:rPr>
                <w:sz w:val="20"/>
                <w:szCs w:val="20"/>
                <w:color w:val="auto"/>
              </w:rPr>
            </w:pPr>
            <w:r>
              <w:rPr>
                <w:rFonts w:ascii="Arial" w:cs="Arial" w:eastAsia="Arial" w:hAnsi="Arial"/>
                <w:sz w:val="18"/>
                <w:szCs w:val="18"/>
                <w:color w:val="auto"/>
              </w:rPr>
              <w:t>(0.44)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(0.92)</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(1.27)</w:t>
            </w:r>
          </w:p>
        </w:tc>
      </w:tr>
      <w:tr>
        <w:trPr>
          <w:trHeight w:val="197"/>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weighted average</w:t>
            </w: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common shares outstanding</w:t>
            </w:r>
          </w:p>
        </w:tc>
        <w:tc>
          <w:tcPr>
            <w:tcW w:w="320" w:type="dxa"/>
            <w:vAlign w:val="bottom"/>
          </w:tcPr>
          <w:p>
            <w:pPr>
              <w:spacing w:after="0"/>
              <w:rPr>
                <w:sz w:val="21"/>
                <w:szCs w:val="21"/>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7,105,591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41"/>
              <w:spacing w:after="0"/>
              <w:rPr>
                <w:sz w:val="20"/>
                <w:szCs w:val="20"/>
                <w:color w:val="auto"/>
              </w:rPr>
            </w:pPr>
            <w:r>
              <w:rPr>
                <w:rFonts w:ascii="Arial" w:cs="Arial" w:eastAsia="Arial" w:hAnsi="Arial"/>
                <w:sz w:val="18"/>
                <w:szCs w:val="18"/>
                <w:color w:val="auto"/>
              </w:rPr>
              <w:t>4,307,666</w:t>
            </w:r>
          </w:p>
        </w:tc>
        <w:tc>
          <w:tcPr>
            <w:tcW w:w="300" w:type="dxa"/>
            <w:vAlign w:val="bottom"/>
          </w:tcPr>
          <w:p>
            <w:pPr>
              <w:spacing w:after="0"/>
              <w:rPr>
                <w:sz w:val="21"/>
                <w:szCs w:val="21"/>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8"/>
                <w:szCs w:val="18"/>
                <w:color w:val="auto"/>
              </w:rPr>
              <w:t>7,120,795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4,234,663</w:t>
            </w:r>
          </w:p>
        </w:tc>
        <w:tc>
          <w:tcPr>
            <w:tcW w:w="80" w:type="dxa"/>
            <w:vAlign w:val="bottom"/>
          </w:tcPr>
          <w:p>
            <w:pPr>
              <w:spacing w:after="0"/>
              <w:rPr>
                <w:sz w:val="21"/>
                <w:szCs w:val="21"/>
                <w:color w:val="auto"/>
              </w:rPr>
            </w:pPr>
          </w:p>
        </w:tc>
      </w:tr>
      <w:tr>
        <w:trPr>
          <w:trHeight w:val="20"/>
        </w:trPr>
        <w:tc>
          <w:tcPr>
            <w:tcW w:w="4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4"/>
          </w:tcPr>
          <w:p>
            <w:pPr>
              <w:jc w:val="center"/>
              <w:ind w:left="370"/>
              <w:spacing w:after="0"/>
              <w:rPr>
                <w:sz w:val="20"/>
                <w:szCs w:val="20"/>
                <w:color w:val="auto"/>
              </w:rPr>
            </w:pPr>
            <w:r>
              <w:rPr>
                <w:rFonts w:ascii="Arial" w:cs="Arial" w:eastAsia="Arial" w:hAnsi="Arial"/>
                <w:sz w:val="18"/>
                <w:szCs w:val="18"/>
                <w:color w:val="auto"/>
                <w:w w:val="91"/>
              </w:rPr>
              <w:t>For the Three Months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ind w:left="520"/>
              <w:spacing w:after="0"/>
              <w:rPr>
                <w:sz w:val="20"/>
                <w:szCs w:val="20"/>
                <w:color w:val="auto"/>
              </w:rPr>
            </w:pPr>
            <w:r>
              <w:rPr>
                <w:rFonts w:ascii="Arial" w:cs="Arial" w:eastAsia="Arial" w:hAnsi="Arial"/>
                <w:sz w:val="18"/>
                <w:szCs w:val="18"/>
                <w:color w:val="auto"/>
              </w:rPr>
              <w:t>For the Nine Months</w:t>
            </w:r>
          </w:p>
        </w:tc>
      </w:tr>
      <w:tr>
        <w:trPr>
          <w:trHeight w:val="237"/>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4"/>
          </w:tcPr>
          <w:p>
            <w:pPr>
              <w:jc w:val="center"/>
              <w:ind w:left="410"/>
              <w:spacing w:after="0"/>
              <w:rPr>
                <w:sz w:val="20"/>
                <w:szCs w:val="20"/>
                <w:color w:val="auto"/>
              </w:rPr>
            </w:pPr>
            <w:r>
              <w:rPr>
                <w:rFonts w:ascii="Arial" w:cs="Arial" w:eastAsia="Arial" w:hAnsi="Arial"/>
                <w:sz w:val="18"/>
                <w:szCs w:val="18"/>
                <w:color w:val="auto"/>
                <w:w w:val="87"/>
              </w:rPr>
              <w:t>Ended September 30,</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ind w:left="520"/>
              <w:spacing w:after="0"/>
              <w:rPr>
                <w:sz w:val="20"/>
                <w:szCs w:val="20"/>
                <w:color w:val="auto"/>
              </w:rPr>
            </w:pPr>
            <w:r>
              <w:rPr>
                <w:rFonts w:ascii="Arial" w:cs="Arial" w:eastAsia="Arial" w:hAnsi="Arial"/>
                <w:sz w:val="18"/>
                <w:szCs w:val="18"/>
                <w:color w:val="auto"/>
              </w:rPr>
              <w:t>Ended September 30,</w:t>
            </w:r>
          </w:p>
        </w:tc>
      </w:tr>
      <w:tr>
        <w:trPr>
          <w:trHeight w:val="237"/>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top w:val="single" w:sz="8" w:color="auto"/>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color w:val="auto"/>
                <w:w w:val="90"/>
              </w:rPr>
              <w:t>Unaudited</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920"/>
              <w:spacing w:after="0"/>
              <w:rPr>
                <w:sz w:val="20"/>
                <w:szCs w:val="20"/>
                <w:color w:val="auto"/>
              </w:rPr>
            </w:pPr>
            <w:r>
              <w:rPr>
                <w:rFonts w:ascii="Arial" w:cs="Arial" w:eastAsia="Arial" w:hAnsi="Arial"/>
                <w:sz w:val="18"/>
                <w:szCs w:val="18"/>
                <w:color w:val="auto"/>
              </w:rPr>
              <w:t>Unaudited</w:t>
            </w: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98"/>
              </w:rPr>
              <w:t>(2,472)</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(6,532)</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spacing w:after="0"/>
              <w:rPr>
                <w:sz w:val="18"/>
                <w:szCs w:val="18"/>
                <w:color w:val="auto"/>
              </w:rPr>
            </w:pPr>
          </w:p>
        </w:tc>
      </w:tr>
      <w:tr>
        <w:trPr>
          <w:trHeight w:val="236"/>
        </w:trPr>
        <w:tc>
          <w:tcPr>
            <w:tcW w:w="3980" w:type="dxa"/>
            <w:vAlign w:val="bottom"/>
          </w:tcPr>
          <w:p>
            <w:pPr>
              <w:ind w:left="180"/>
              <w:spacing w:after="0"/>
              <w:rPr>
                <w:sz w:val="20"/>
                <w:szCs w:val="20"/>
                <w:color w:val="auto"/>
              </w:rPr>
            </w:pPr>
            <w:r>
              <w:rPr>
                <w:rFonts w:ascii="Arial" w:cs="Arial" w:eastAsia="Arial" w:hAnsi="Arial"/>
                <w:sz w:val="18"/>
                <w:szCs w:val="18"/>
                <w:color w:val="auto"/>
                <w:w w:val="98"/>
              </w:rPr>
              <w:t>Net unrealized loss on available for sale security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(1,874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81"/>
              <w:spacing w:after="0"/>
              <w:rPr>
                <w:sz w:val="20"/>
                <w:szCs w:val="20"/>
                <w:color w:val="auto"/>
              </w:rPr>
            </w:pPr>
            <w:r>
              <w:rPr>
                <w:rFonts w:ascii="Arial" w:cs="Arial" w:eastAsia="Arial" w:hAnsi="Arial"/>
                <w:sz w:val="18"/>
                <w:szCs w:val="18"/>
                <w:color w:val="auto"/>
                <w:w w:val="94"/>
              </w:rPr>
              <w:t>Total</w:t>
            </w:r>
          </w:p>
        </w:tc>
      </w:tr>
      <w:tr>
        <w:trPr>
          <w:trHeight w:val="216"/>
        </w:trPr>
        <w:tc>
          <w:tcPr>
            <w:tcW w:w="4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Paid-In</w:t>
            </w:r>
          </w:p>
        </w:tc>
        <w:tc>
          <w:tcPr>
            <w:tcW w:w="140" w:type="dxa"/>
            <w:vAlign w:val="bottom"/>
          </w:tcPr>
          <w:p>
            <w:pPr>
              <w:spacing w:after="0"/>
              <w:rPr>
                <w:sz w:val="18"/>
                <w:szCs w:val="18"/>
                <w:color w:val="auto"/>
              </w:rPr>
            </w:pPr>
          </w:p>
        </w:tc>
        <w:tc>
          <w:tcPr>
            <w:tcW w:w="1100" w:type="dxa"/>
            <w:vAlign w:val="bottom"/>
            <w:gridSpan w:val="3"/>
          </w:tcPr>
          <w:p>
            <w:pPr>
              <w:jc w:val="center"/>
              <w:ind w:right="261"/>
              <w:spacing w:after="0"/>
              <w:rPr>
                <w:sz w:val="20"/>
                <w:szCs w:val="20"/>
                <w:color w:val="auto"/>
              </w:rPr>
            </w:pPr>
            <w:r>
              <w:rPr>
                <w:rFonts w:ascii="Arial" w:cs="Arial" w:eastAsia="Arial" w:hAnsi="Arial"/>
                <w:sz w:val="18"/>
                <w:szCs w:val="18"/>
                <w:color w:val="auto"/>
                <w:w w:val="90"/>
              </w:rPr>
              <w:t>Treasury</w:t>
            </w:r>
          </w:p>
        </w:tc>
        <w:tc>
          <w:tcPr>
            <w:tcW w:w="114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1200" w:type="dxa"/>
            <w:vAlign w:val="bottom"/>
            <w:gridSpan w:val="4"/>
          </w:tcPr>
          <w:p>
            <w:pPr>
              <w:ind w:left="140"/>
              <w:spacing w:after="0"/>
              <w:rPr>
                <w:sz w:val="20"/>
                <w:szCs w:val="20"/>
                <w:color w:val="auto"/>
              </w:rPr>
            </w:pPr>
            <w:r>
              <w:rPr>
                <w:rFonts w:ascii="Arial" w:cs="Arial" w:eastAsia="Arial" w:hAnsi="Arial"/>
                <w:sz w:val="18"/>
                <w:szCs w:val="18"/>
                <w:color w:val="auto"/>
                <w:w w:val="96"/>
              </w:rPr>
              <w:t>Stockholders'</w:t>
            </w:r>
          </w:p>
        </w:tc>
      </w:tr>
      <w:tr>
        <w:trPr>
          <w:trHeight w:val="251"/>
        </w:trPr>
        <w:tc>
          <w:tcPr>
            <w:tcW w:w="4440" w:type="dxa"/>
            <w:vAlign w:val="bottom"/>
          </w:tcPr>
          <w:p>
            <w:pPr>
              <w:spacing w:after="0"/>
              <w:rPr>
                <w:sz w:val="21"/>
                <w:szCs w:val="21"/>
                <w:color w:val="auto"/>
              </w:rPr>
            </w:pPr>
          </w:p>
        </w:tc>
        <w:tc>
          <w:tcPr>
            <w:tcW w:w="2260" w:type="dxa"/>
            <w:vAlign w:val="bottom"/>
            <w:gridSpan w:val="6"/>
          </w:tcPr>
          <w:p>
            <w:pPr>
              <w:jc w:val="right"/>
              <w:ind w:right="7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center"/>
              <w:ind w:right="341"/>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1"/>
                <w:szCs w:val="21"/>
                <w:color w:val="auto"/>
              </w:rPr>
            </w:pPr>
          </w:p>
        </w:tc>
        <w:tc>
          <w:tcPr>
            <w:tcW w:w="1020" w:type="dxa"/>
            <w:vAlign w:val="bottom"/>
            <w:gridSpan w:val="2"/>
          </w:tcPr>
          <w:p>
            <w:pPr>
              <w:jc w:val="right"/>
              <w:ind w:right="34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center"/>
              <w:ind w:right="161"/>
              <w:spacing w:after="0"/>
              <w:rPr>
                <w:sz w:val="20"/>
                <w:szCs w:val="20"/>
                <w:color w:val="auto"/>
              </w:rPr>
            </w:pPr>
            <w:r>
              <w:rPr>
                <w:rFonts w:ascii="Arial" w:cs="Arial" w:eastAsia="Arial" w:hAnsi="Arial"/>
                <w:sz w:val="18"/>
                <w:szCs w:val="18"/>
                <w:color w:val="auto"/>
                <w:w w:val="95"/>
              </w:rPr>
              <w:t>Equity</w:t>
            </w:r>
          </w:p>
        </w:tc>
      </w:tr>
      <w:tr>
        <w:trPr>
          <w:trHeight w:val="237"/>
        </w:trPr>
        <w:tc>
          <w:tcPr>
            <w:tcW w:w="444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341"/>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181"/>
              <w:spacing w:after="0"/>
              <w:rPr>
                <w:sz w:val="20"/>
                <w:szCs w:val="20"/>
                <w:color w:val="auto"/>
              </w:rPr>
            </w:pPr>
            <w:r>
              <w:rPr>
                <w:rFonts w:ascii="Arial" w:cs="Arial" w:eastAsia="Arial" w:hAnsi="Arial"/>
                <w:sz w:val="18"/>
                <w:szCs w:val="18"/>
                <w:color w:val="auto"/>
                <w:w w:val="93"/>
              </w:rPr>
              <w:t>Amount</w:t>
            </w:r>
          </w:p>
        </w:tc>
      </w:tr>
      <w:tr>
        <w:trPr>
          <w:trHeight w:val="216"/>
        </w:trPr>
        <w:tc>
          <w:tcPr>
            <w:tcW w:w="44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Balances, December 31, 2019 (Audited)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7,185,628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(3,375)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(35,111)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31,540</w:t>
            </w: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 of treasury shares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3,375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44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1,468</w:t>
            </w:r>
          </w:p>
        </w:tc>
      </w:tr>
      <w:tr>
        <w:trPr>
          <w:trHeight w:val="236"/>
        </w:trPr>
        <w:tc>
          <w:tcPr>
            <w:tcW w:w="4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57"/>
        </w:trPr>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September 30, 2020 (Unaudited)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68,047</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(41,643</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26,476</w:t>
            </w:r>
          </w:p>
        </w:tc>
        <w:tc>
          <w:tcPr>
            <w:tcW w:w="100" w:type="dxa"/>
            <w:vAlign w:val="bottom"/>
            <w:tcBorders>
              <w:bottom w:val="single" w:sz="8" w:color="CCEEFF"/>
            </w:tcBorders>
          </w:tcPr>
          <w:p>
            <w:pPr>
              <w:spacing w:after="0"/>
              <w:rPr>
                <w:sz w:val="22"/>
                <w:szCs w:val="22"/>
                <w:color w:val="auto"/>
              </w:rPr>
            </w:pPr>
          </w:p>
        </w:tc>
      </w:tr>
      <w:tr>
        <w:trPr>
          <w:trHeight w:val="196"/>
        </w:trPr>
        <w:tc>
          <w:tcPr>
            <w:tcW w:w="4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Balances, June 30, 2020 (Unaudited)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7,103,260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67,489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(39,171)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28,389</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w:t>
            </w: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Exercise of options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(2,472)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w:t>
            </w:r>
          </w:p>
        </w:tc>
      </w:tr>
      <w:tr>
        <w:trPr>
          <w:trHeight w:val="257"/>
        </w:trPr>
        <w:tc>
          <w:tcPr>
            <w:tcW w:w="4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September 30, 2020 (Unaudited)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68,047</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26,476</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4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Balances, December 31, 2018 (Audited)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3,012,343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32,538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1"/>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(27,864)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1,330</w:t>
            </w:r>
          </w:p>
        </w:tc>
      </w:tr>
      <w:tr>
        <w:trPr>
          <w:trHeight w:val="202"/>
        </w:trPr>
        <w:tc>
          <w:tcPr>
            <w:tcW w:w="4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Issuance of common stock and warrants net of issuance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1,295,323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9,544</w:t>
            </w:r>
          </w:p>
        </w:tc>
      </w:tr>
      <w:tr>
        <w:trPr>
          <w:trHeight w:val="216"/>
        </w:trPr>
        <w:tc>
          <w:tcPr>
            <w:tcW w:w="444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906</w:t>
            </w:r>
          </w:p>
        </w:tc>
      </w:tr>
      <w:tr>
        <w:trPr>
          <w:trHeight w:val="25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(5,377)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(5,377)</w:t>
            </w:r>
          </w:p>
        </w:tc>
      </w:tr>
      <w:tr>
        <w:trPr>
          <w:trHeight w:val="257"/>
        </w:trPr>
        <w:tc>
          <w:tcPr>
            <w:tcW w:w="4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Balances, September 30, 2019 (Unaudited)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4,307,666</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42,976</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4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Balances, June 30, 2019 (Unaudited)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4,307,666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42,680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1"/>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(31,367)</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7,981</w:t>
            </w:r>
          </w:p>
        </w:tc>
      </w:tr>
      <w:tr>
        <w:trPr>
          <w:trHeight w:val="216"/>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296</w:t>
            </w:r>
          </w:p>
        </w:tc>
      </w:tr>
      <w:tr>
        <w:trPr>
          <w:trHeight w:val="236"/>
        </w:trPr>
        <w:tc>
          <w:tcPr>
            <w:tcW w:w="4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(1,874)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(1,874)</w:t>
            </w:r>
          </w:p>
        </w:tc>
      </w:tr>
      <w:tr>
        <w:trPr>
          <w:trHeight w:val="23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2019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4,307,666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4"/>
          </w:tcPr>
          <w:p>
            <w:pPr>
              <w:ind w:left="80"/>
              <w:spacing w:after="0"/>
              <w:rPr>
                <w:sz w:val="20"/>
                <w:szCs w:val="20"/>
                <w:color w:val="auto"/>
              </w:rPr>
            </w:pPr>
            <w:r>
              <w:rPr>
                <w:rFonts w:ascii="Arial" w:cs="Arial" w:eastAsia="Arial" w:hAnsi="Arial"/>
                <w:sz w:val="18"/>
                <w:szCs w:val="18"/>
                <w:color w:val="auto"/>
                <w:w w:val="99"/>
              </w:rPr>
              <w:t>For the Nine Months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2"/>
              </w:rPr>
              <w:t>Ended September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23"/>
        </w:trPr>
        <w:tc>
          <w:tcPr>
            <w:tcW w:w="62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Unaudited</w:t>
            </w: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(6,532)</w:t>
            </w:r>
          </w:p>
        </w:tc>
        <w:tc>
          <w:tcPr>
            <w:tcW w:w="8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(5,377)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44</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discount (premium) on marketable debt security</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906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364</w:t>
            </w:r>
          </w:p>
        </w:tc>
      </w:tr>
      <w:tr>
        <w:trPr>
          <w:trHeight w:val="249"/>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7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10"/>
        </w:trPr>
        <w:tc>
          <w:tcPr>
            <w:tcW w:w="6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operating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(5,582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2,521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Purchase of marketable security</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(2,496)</w:t>
            </w:r>
          </w:p>
        </w:tc>
      </w:tr>
      <w:tr>
        <w:trPr>
          <w:trHeight w:val="236"/>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investing activities</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warrants, net of issuance costs</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9,562</w:t>
            </w:r>
          </w:p>
        </w:tc>
      </w:tr>
      <w:tr>
        <w:trPr>
          <w:trHeight w:val="236"/>
        </w:trPr>
        <w:tc>
          <w:tcPr>
            <w:tcW w:w="6260" w:type="dxa"/>
            <w:vAlign w:val="bottom"/>
          </w:tcPr>
          <w:p>
            <w:pPr>
              <w:ind w:left="180"/>
              <w:spacing w:after="0"/>
              <w:rPr>
                <w:sz w:val="20"/>
                <w:szCs w:val="20"/>
                <w:color w:val="auto"/>
              </w:rPr>
            </w:pPr>
            <w:r>
              <w:rPr>
                <w:rFonts w:ascii="Arial" w:cs="Arial" w:eastAsia="Arial" w:hAnsi="Arial"/>
                <w:sz w:val="18"/>
                <w:szCs w:val="18"/>
                <w:color w:val="auto"/>
              </w:rPr>
              <w:t>Repayment of shareholders investment</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cash, cash equivalents and restricted cash</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(6,519)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2,535</w:t>
            </w: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33,129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gridSpan w:val="2"/>
          </w:tcPr>
          <w:p>
            <w:pPr>
              <w:jc w:val="right"/>
              <w:ind w:right="21"/>
              <w:spacing w:after="0"/>
              <w:rPr>
                <w:sz w:val="20"/>
                <w:szCs w:val="20"/>
                <w:color w:val="auto"/>
              </w:rPr>
            </w:pPr>
            <w:r>
              <w:rPr>
                <w:rFonts w:ascii="Arial" w:cs="Arial" w:eastAsia="Arial" w:hAnsi="Arial"/>
                <w:sz w:val="18"/>
                <w:szCs w:val="18"/>
                <w:color w:val="auto"/>
              </w:rPr>
              <w:t>5,263</w:t>
            </w:r>
          </w:p>
        </w:tc>
      </w:tr>
      <w:tr>
        <w:trPr>
          <w:trHeight w:val="230"/>
        </w:trPr>
        <w:tc>
          <w:tcPr>
            <w:tcW w:w="6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ending of period</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interest</w:t>
            </w:r>
          </w:p>
        </w:tc>
        <w:tc>
          <w:tcPr>
            <w:tcW w:w="194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31</w:t>
            </w:r>
          </w:p>
        </w:tc>
        <w:tc>
          <w:tcPr>
            <w:tcW w:w="8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 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“Merger”), the Company consummated a transaction pursuant to an Agreement and Plan of Merger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 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 Unaudited Interim Financial Statements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Operating results for the three and nine-month period ended September 30, 2020, are not necessarily indicative of the results that may be expected for the year ended December 31, 2020.</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To date, the Company has not generated revenues from its operations. As of September 30, 2020, the Company had unrestricted cash and cash equivalent balance of approximately $26,531, which management believes is sufficient to fund its operations for more than 12 months from the date of issuance of these financial statements and sufficient to fund its operations necessary to continue development activities of its current proposed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line="62"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7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pre-clinical studies.</w:t>
      </w:r>
    </w:p>
    <w:p>
      <w:pPr>
        <w:spacing w:after="0" w:line="184"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expanded screenings of travellers.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spacing w:after="0" w:line="164"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 or a similar health epidemic is highly uncertain and subject to change, and the Company cannot presently predict the scope and severity of any potential business shutdowns or disruptions, but if the Company or any of the third parties with whom the Company’s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color w:val="auto"/>
        </w:rPr>
        <w:t>The significant accounting policies followed in the preparation of these unaudited interim condensed consolidated financial statements are identical to those applied in the preparation of the latest annual audited financial statements with the exception of the following:</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9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Company’s financial assets and liabilities subject to fair value measurements on a recurring basis and the level of inputs used in such measurements were as follows (in 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w w:val="97"/>
              </w:rPr>
              <w:t>Recently Adopted Accounting Pronouncements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w w:val="97"/>
              </w:rPr>
              <w:t>As of September 30, 2020</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3,583</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4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w w:val="99"/>
              </w:rPr>
              <w:t>As of 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1,052</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3"/>
        </w:trPr>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4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240"/>
          </w:cols>
          <w:pgMar w:left="320" w:top="665"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7"/>
        </w:trPr>
        <w:tc>
          <w:tcPr>
            <w:tcW w:w="3220" w:type="dxa"/>
            <w:vAlign w:val="bottom"/>
          </w:tcPr>
          <w:p>
            <w:pPr>
              <w:spacing w:after="0"/>
              <w:rPr>
                <w:sz w:val="20"/>
                <w:szCs w:val="20"/>
                <w:color w:val="auto"/>
              </w:rPr>
            </w:pPr>
            <w:r>
              <w:rPr>
                <w:rFonts w:ascii="Arial" w:cs="Arial" w:eastAsia="Arial" w:hAnsi="Arial"/>
                <w:sz w:val="18"/>
                <w:szCs w:val="18"/>
                <w:color w:val="auto"/>
              </w:rPr>
              <w:t>US Treasury Bond</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2,521</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2,521</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0604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2554605</wp:posOffset>
            </wp:positionH>
            <wp:positionV relativeFrom="paragraph">
              <wp:posOffset>0</wp:posOffset>
            </wp:positionV>
            <wp:extent cx="344614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46145" cy="26035"/>
                    </a:xfrm>
                    <a:prstGeom prst="rect">
                      <a:avLst/>
                    </a:prstGeom>
                    <a:noFill/>
                  </pic:spPr>
                </pic:pic>
              </a:graphicData>
            </a:graphic>
          </wp:anchor>
        </w:drawing>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4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5" w:right="339" w:bottom="1440" w:gutter="0" w:footer="0" w:header="0"/>
        </w:sectPr>
      </w:pPr>
    </w:p>
    <w:bookmarkStart w:id="10" w:name="page11"/>
    <w:bookmarkEnd w:id="10"/>
    <w:p>
      <w:pPr>
        <w:jc w:val="both"/>
        <w:ind w:left="980"/>
        <w:spacing w:after="0" w:line="259" w:lineRule="auto"/>
        <w:rPr>
          <w:sz w:val="20"/>
          <w:szCs w:val="20"/>
          <w:color w:val="auto"/>
        </w:rPr>
      </w:pPr>
      <w:r>
        <w:rPr>
          <w:rFonts w:ascii="Arial" w:cs="Arial" w:eastAsia="Arial" w:hAnsi="Arial"/>
          <w:sz w:val="18"/>
          <w:szCs w:val="18"/>
          <w:color w:val="auto"/>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Company does not expect that this standard will have a material effect on the Company’s consolidated financial statements.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In June 2016, the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The Company does not expect that this standard will have a material effect on the Company’s consolidated financial statements.</w:t>
      </w:r>
    </w:p>
    <w:p>
      <w:pPr>
        <w:spacing w:after="0" w:line="178" w:lineRule="exact"/>
        <w:rPr>
          <w:sz w:val="20"/>
          <w:szCs w:val="20"/>
          <w:color w:val="auto"/>
        </w:rPr>
      </w:pPr>
    </w:p>
    <w:p>
      <w:pPr>
        <w:jc w:val="both"/>
        <w:ind w:left="980"/>
        <w:spacing w:after="0" w:line="285" w:lineRule="auto"/>
        <w:rPr>
          <w:sz w:val="20"/>
          <w:szCs w:val="20"/>
          <w:color w:val="auto"/>
        </w:rPr>
      </w:pPr>
      <w:r>
        <w:rPr>
          <w:rFonts w:ascii="Arial" w:cs="Arial" w:eastAsia="Arial" w:hAnsi="Arial"/>
          <w:sz w:val="16"/>
          <w:szCs w:val="16"/>
          <w:color w:val="auto"/>
        </w:rPr>
        <w:t>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w:t>
      </w:r>
    </w:p>
    <w:p>
      <w:pPr>
        <w:spacing w:after="0" w:line="2" w:lineRule="exact"/>
        <w:rPr>
          <w:sz w:val="20"/>
          <w:szCs w:val="20"/>
          <w:color w:val="auto"/>
        </w:rPr>
      </w:pPr>
    </w:p>
    <w:p>
      <w:pPr>
        <w:ind w:left="980" w:right="20"/>
        <w:spacing w:after="0" w:line="260" w:lineRule="auto"/>
        <w:tabs>
          <w:tab w:leader="none" w:pos="12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a government that result in a step-up in the tax basis of goodwill, (3) separate financial statements of legal entities that are not subject to tax, and (4) enacted changes in tax laws in interim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January 1, 2019, the Company adopted ASU 2016-02, Leases (Topic 842) (“ASU 2016-02”) using the modified retrospective approach for all lease arrangements at the beginning period of adoption. Leases existing for the reporting period beginning January 1, 2019 are presented under ASU 2016-02. The Company leases office space and vehicles under operating leases.</w:t>
      </w:r>
    </w:p>
    <w:p>
      <w:pPr>
        <w:spacing w:after="0" w:line="184"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We determine if an arrangement is a lease at inception. Operating lease assets are presented as operating lease right-of-use (“ROU”) assets, and corresponding operating lease liabilities are presented within accrued expenses and other current liabilities (current portions), and as operating lease liabilities (long-term portions), on our consolidated balance sheet.</w:t>
      </w:r>
    </w:p>
    <w:p>
      <w:pPr>
        <w:spacing w:after="0" w:line="184" w:lineRule="exact"/>
        <w:rPr>
          <w:sz w:val="20"/>
          <w:szCs w:val="20"/>
          <w:color w:val="auto"/>
        </w:rPr>
      </w:pPr>
    </w:p>
    <w:p>
      <w:pPr>
        <w:jc w:val="both"/>
        <w:ind w:left="980"/>
        <w:spacing w:after="0" w:line="272" w:lineRule="auto"/>
        <w:rPr>
          <w:sz w:val="20"/>
          <w:szCs w:val="20"/>
          <w:color w:val="auto"/>
        </w:rPr>
      </w:pPr>
      <w:r>
        <w:rPr>
          <w:rFonts w:ascii="Arial" w:cs="Arial" w:eastAsia="Arial" w:hAnsi="Arial"/>
          <w:sz w:val="17"/>
          <w:szCs w:val="17"/>
          <w:color w:val="auto"/>
        </w:rPr>
        <w:t>Operating lease ROU assets and operating lease liabilities are recognized based on the present value of the remaining lease payments over the lease term at commencement date. Our leases do not provide an implicit interest rate. We calculate the incremental borrowing rate to reflect the interest rate that we would have to pay to borrow on a collateralized basis an amount equal to the lease payments in a similar economic environment over a similar term, and consider our historical borrowing activities and market data in this determination. The operating lease ROU asset also includes any lease payments made and excludes lease incentives and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177" w:lineRule="exact"/>
        <w:rPr>
          <w:sz w:val="20"/>
          <w:szCs w:val="20"/>
          <w:color w:val="auto"/>
        </w:rPr>
      </w:pPr>
    </w:p>
    <w:p>
      <w:pPr>
        <w:jc w:val="both"/>
        <w:ind w:left="980"/>
        <w:spacing w:after="0" w:line="313" w:lineRule="auto"/>
        <w:rPr>
          <w:sz w:val="20"/>
          <w:szCs w:val="20"/>
          <w:color w:val="auto"/>
        </w:rPr>
      </w:pPr>
      <w:r>
        <w:rPr>
          <w:rFonts w:ascii="Arial" w:cs="Arial" w:eastAsia="Arial" w:hAnsi="Arial"/>
          <w:sz w:val="15"/>
          <w:szCs w:val="15"/>
          <w:color w:val="auto"/>
        </w:rPr>
        <w:t>We have lease agreements with lease and non-lease components, which we account for as a single lease component. Some of our leases contain variable lease payments, which are expensed as incurred unless those payments are based on an index or rate. Variable lease payments based on an index or rate are initially measured using the index or rate in effect at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12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980"/>
        <w:spacing w:after="0" w:line="277" w:lineRule="auto"/>
        <w:rPr>
          <w:sz w:val="20"/>
          <w:szCs w:val="20"/>
          <w:color w:val="auto"/>
        </w:rPr>
      </w:pPr>
      <w:r>
        <w:rPr>
          <w:rFonts w:ascii="Arial" w:cs="Arial" w:eastAsia="Arial" w:hAnsi="Arial"/>
          <w:sz w:val="18"/>
          <w:szCs w:val="18"/>
          <w:color w:val="auto"/>
        </w:rPr>
        <w:t>As of September 30, 2020 and December 31, 2019, the Company’s ROU assets and lease liabilities for operating leases totaled $822 and $962, respectively.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130"/>
              <w:spacing w:after="0"/>
              <w:rPr>
                <w:sz w:val="20"/>
                <w:szCs w:val="20"/>
                <w:color w:val="auto"/>
              </w:rPr>
            </w:pPr>
            <w:r>
              <w:rPr>
                <w:rFonts w:ascii="Arial" w:cs="Arial" w:eastAsia="Arial" w:hAnsi="Arial"/>
                <w:sz w:val="18"/>
                <w:szCs w:val="18"/>
                <w:color w:val="auto"/>
                <w:w w:val="92"/>
              </w:rPr>
              <w:t>For the Nine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9"/>
              </w:rPr>
              <w:t>Months Ended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88"/>
              </w:rPr>
              <w:t>September 30, 2020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operating leases</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Undiscounted maturities of operating lease payments as September 30, 2020 and December 31, 2019 are summarized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8"/>
                <w:szCs w:val="18"/>
                <w:color w:val="auto"/>
              </w:rPr>
              <w:t>As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September 30,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7"/>
              </w:rPr>
              <w:t>Operating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Operating Leases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2020 (Remainder of the year)</w:t>
            </w:r>
          </w:p>
        </w:tc>
        <w:tc>
          <w:tcPr>
            <w:tcW w:w="15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2021</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2023</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13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6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Leases recorded on the balance sheet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lease right 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31750</wp:posOffset>
            </wp:positionV>
            <wp:extent cx="57003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lease - current</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lease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22860</wp:posOffset>
            </wp:positionV>
            <wp:extent cx="570039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40" w:right="220"/>
        <w:spacing w:after="0" w:line="258" w:lineRule="auto"/>
        <w:rPr>
          <w:sz w:val="20"/>
          <w:szCs w:val="20"/>
          <w:color w:val="auto"/>
        </w:rPr>
      </w:pPr>
      <w:r>
        <w:rPr>
          <w:rFonts w:ascii="Arial" w:cs="Arial" w:eastAsia="Arial" w:hAnsi="Arial"/>
          <w:sz w:val="18"/>
          <w:szCs w:val="18"/>
          <w:color w:val="auto"/>
        </w:rPr>
        <w:t>Operating leases weighted 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-273050</wp:posOffset>
            </wp:positionV>
            <wp:extent cx="570039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Operating leases weighted average discount rate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3"/>
          </w:tcPr>
          <w:p>
            <w:pPr>
              <w:jc w:val="right"/>
              <w:ind w:right="980"/>
              <w:spacing w:after="0"/>
              <w:rPr>
                <w:sz w:val="20"/>
                <w:szCs w:val="20"/>
                <w:color w:val="auto"/>
              </w:rPr>
            </w:pPr>
            <w:r>
              <w:rPr>
                <w:rFonts w:ascii="Arial" w:cs="Arial" w:eastAsia="Arial" w:hAnsi="Arial"/>
                <w:sz w:val="18"/>
                <w:szCs w:val="18"/>
                <w:color w:val="auto"/>
              </w:rPr>
              <w:t>As of</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Year ended</w:t>
            </w:r>
          </w:p>
        </w:tc>
      </w:tr>
      <w:tr>
        <w:trPr>
          <w:trHeight w:val="237"/>
        </w:trPr>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4"/>
              </w:rPr>
              <w:t>September 30, 2020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4"/>
              </w:rPr>
              <w:t>December 31, 2019</w:t>
            </w:r>
          </w:p>
        </w:tc>
        <w:tc>
          <w:tcPr>
            <w:tcW w:w="60" w:type="dxa"/>
            <w:vAlign w:val="bottom"/>
          </w:tcPr>
          <w:p>
            <w:pPr>
              <w:spacing w:after="0"/>
              <w:rPr>
                <w:sz w:val="20"/>
                <w:szCs w:val="20"/>
                <w:color w:val="auto"/>
              </w:rPr>
            </w:pPr>
          </w:p>
        </w:tc>
      </w:tr>
      <w:tr>
        <w:trPr>
          <w:trHeight w:val="459"/>
        </w:trPr>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20"/>
                <w:szCs w:val="20"/>
                <w:color w:val="auto"/>
              </w:rPr>
            </w:pPr>
          </w:p>
        </w:tc>
      </w:tr>
      <w:tr>
        <w:trPr>
          <w:trHeight w:val="230"/>
        </w:trPr>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903</w:t>
            </w:r>
          </w:p>
        </w:tc>
        <w:tc>
          <w:tcPr>
            <w:tcW w:w="6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right"/>
              <w:ind w:right="1100"/>
              <w:spacing w:after="0"/>
              <w:rPr>
                <w:sz w:val="20"/>
                <w:szCs w:val="20"/>
                <w:color w:val="auto"/>
              </w:rPr>
            </w:pPr>
            <w:r>
              <w:rPr>
                <w:rFonts w:ascii="Arial" w:cs="Arial" w:eastAsia="Arial" w:hAnsi="Arial"/>
                <w:sz w:val="18"/>
                <w:szCs w:val="18"/>
                <w:color w:val="auto"/>
              </w:rPr>
              <w:t>As of</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8"/>
                <w:szCs w:val="18"/>
                <w:color w:val="auto"/>
              </w:rPr>
              <w:t>Year ended</w:t>
            </w:r>
          </w:p>
        </w:tc>
      </w:tr>
      <w:tr>
        <w:trPr>
          <w:trHeight w:val="237"/>
        </w:trPr>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w w:val="87"/>
              </w:rPr>
              <w:t>September 30, 2020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December 31, 2019</w:t>
            </w:r>
          </w:p>
        </w:tc>
      </w:tr>
      <w:tr>
        <w:trPr>
          <w:trHeight w:val="634"/>
        </w:trPr>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2">
            <w:col w:w="5660" w:space="240"/>
            <w:col w:w="5340"/>
          </w:cols>
          <w:pgMar w:left="320" w:top="66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September 30, 2020 in the total amount of approximately $1,500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Contract Research Agreements: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Agreement with Washington University</w:t>
      </w:r>
    </w:p>
    <w:p>
      <w:pPr>
        <w:spacing w:after="0" w:line="22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84" w:lineRule="exact"/>
        <w:rPr>
          <w:sz w:val="20"/>
          <w:szCs w:val="20"/>
          <w:color w:val="auto"/>
        </w:rPr>
      </w:pPr>
    </w:p>
    <w:p>
      <w:pPr>
        <w:jc w:val="both"/>
        <w:ind w:left="980"/>
        <w:spacing w:after="0" w:line="288" w:lineRule="auto"/>
        <w:rPr>
          <w:sz w:val="20"/>
          <w:szCs w:val="20"/>
          <w:color w:val="auto"/>
        </w:rPr>
      </w:pPr>
      <w:r>
        <w:rPr>
          <w:rFonts w:ascii="Arial" w:cs="Arial" w:eastAsia="Arial" w:hAnsi="Arial"/>
          <w:sz w:val="16"/>
          <w:szCs w:val="16"/>
          <w:color w:val="auto"/>
        </w:rPr>
        <w:t>The study in Washington U. includes several phases. The first phase (initial research) was completed. An agreement on the second phase was entered in September 2018 with total expected costs of approximately $248. As of September 30, 2020, this study is still on going and will be extended to continue until March 15, 2021.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Agreement with Wayne State University</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 study in WSU includes several phases. The first phase (initial research) was completed. An agreement on the second phase was entered in April 2018 with total expected costs of approximately $130. In July 2018 the contract was updated to include phase 2.1 (preliminary phase to phase 2) with total expected costs of approximately $213. Pursuant to the WSU Agreement, WSU shall own all data generated by the research and the Company shall have unrestricted free right to use and disclose all the results, information and material generated from the WSU Agreement.</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(post-stock split)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Motion is pending before the Court.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the Company is seeking to divest is estimated to be approximately $468.</w:t>
      </w:r>
    </w:p>
    <w:p>
      <w:pPr>
        <w:spacing w:after="0" w:line="1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On October 28, 2019, Alliance filed a motion for summary judgment requesting that the Court dismiss the claims against Alliance. On February 4, 2020, Mona answered the 16(b) claim the Company asserted against him by claiming various equitable defenses, and filed a counterclaim against Microbot under Section 10(b) of the Securities Exchange Act of 1934 and Rule 10b-5 promulgated thereunder, claiming a net loss on trading the Company’s stock of approximately $151.</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6, 2020, the Company filed a motion for judgment on the pleadings with respect to the Company’s 16(b) claim against Mona, together with a motion to dismiss Mona’s 10(b) counterclaim. These motions were fully briefed as of April 26, 2020 and remain pending.</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 Notwithstanding the dismissal of the Company’s claim against Alliance, the Company’s Section 16(b) claim against Mona remains pending.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at $74.</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15" w:name="page16"/>
    <w:bookmarkEnd w:id="15"/>
    <w:p>
      <w:pPr>
        <w:jc w:val="both"/>
        <w:ind w:left="980"/>
        <w:spacing w:after="0" w:line="255" w:lineRule="auto"/>
        <w:rPr>
          <w:sz w:val="20"/>
          <w:szCs w:val="20"/>
          <w:color w:val="auto"/>
        </w:rPr>
      </w:pPr>
      <w:r>
        <w:rPr>
          <w:rFonts w:ascii="Arial" w:cs="Arial" w:eastAsia="Arial" w:hAnsi="Arial"/>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92"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CardioSert agreed to assist Microbot Israel in the development of the Technology for a minimum of one year, for a monthly consultation fee of NIS 40,000 (or approximately US$11.50, based on an exchange rate of NIS3.47 to the dollar) covering up to 60 consulting hours per month.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As of September 30, 2020 and December 31, 2019, the Company had 7,108,133 shares and 7,185,628 shares of common stock issued and outstanding, respectively.</w:t>
      </w:r>
    </w:p>
    <w:p>
      <w:pPr>
        <w:spacing w:after="0" w:line="170"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before deducting placement agent fees and other offering expenses of approximately $688. The closing of the offering took place on January 15, 2019. The pre-funded warrants were exercised in full in January 2019. As part of the offering the company issued to the underwriter 22,767 warrants for 3.5 years with an exercise price of $8.125 for total value of $165.</w:t>
      </w:r>
    </w:p>
    <w:p>
      <w:pPr>
        <w:spacing w:after="0" w:line="195" w:lineRule="exact"/>
        <w:rPr>
          <w:sz w:val="20"/>
          <w:szCs w:val="20"/>
          <w:color w:val="auto"/>
        </w:rPr>
      </w:pPr>
    </w:p>
    <w:p>
      <w:pPr>
        <w:jc w:val="both"/>
        <w:ind w:left="980"/>
        <w:spacing w:after="0" w:line="296" w:lineRule="auto"/>
        <w:rPr>
          <w:sz w:val="20"/>
          <w:szCs w:val="20"/>
          <w:color w:val="auto"/>
        </w:rPr>
      </w:pPr>
      <w:r>
        <w:rPr>
          <w:rFonts w:ascii="Arial" w:cs="Arial" w:eastAsia="Arial" w:hAnsi="Arial"/>
          <w:sz w:val="16"/>
          <w:szCs w:val="16"/>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before deducting placement agent fees and other offering expenses of approximately $720. The closing of the offering took place on January 17, 2019. As part of the offering the company issued to the underwriter 29,500 warrants for 3.5 years with exercise price of $12.50 for total value of $221.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91" w:lineRule="auto"/>
        <w:rPr>
          <w:sz w:val="20"/>
          <w:szCs w:val="20"/>
          <w:color w:val="auto"/>
        </w:rPr>
      </w:pPr>
      <w:r>
        <w:rPr>
          <w:rFonts w:ascii="Arial" w:cs="Arial" w:eastAsia="Arial" w:hAnsi="Arial"/>
          <w:sz w:val="16"/>
          <w:szCs w:val="16"/>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investors also purchased warrants to purchase an aggregate of up to 250,000 shares of the Company’s common stock, at a purchase price per warrant of $0.125. The warrants were exercisable for 1 year and had an exercise price of $10.00 per share, for a total value of $2,019. The gross proceeds to the Company from the sale of the shares and warrants were approximately $2,500 before deducting placement agent fees and other offering expenses of approximately $370. The closing of the offering took place on January 25, 2019. As part of the offering the company issued to the underwriter 12,500 warrants for 1 year with an exercise price of $12.50 for total value of $99.</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25, 2019 the Company entered into a Securities Purchase Agreement with accredited institutional investors providing for the issuance and sale by the Company to the purchasers of an aggregate of 912,858 shares of the Company’s common stock, at a purchase price per share of $10.50. The gross proceeds to the Company were approximately $9,585 before deducting placement agent fees and other offering expenses of approximately $1,090. The closing of the offering took place on December 27, 2019. As part of the offering the Company issued to the underwriter 45,643 warrants for 3.5 years with an exercise price of $13.125 for total value of $371.</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27, 2019 the Company entered into a Securities Purchase Agreement with accredited institutional investors providing for the issuance and sale by the Company to the purchasers of an aggregate of 952,383 shares of the Company’s common stock, at a purchase price per share of $10.50. The gross proceeds to the Company were approximately $10,000 before deducting placement agent fees and other offering expenses of approximately $1,010. The closing of the offering took place on December 30, 2019. As part of the offering the Company issued to the underwriter 47,619 warrants for 3.5 years with an exercise price of $13.125 for total value of $366.</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30, 2019 the Company entered into a Securities Purchase Agreement with accredited institutional investors providing for the issuance and sale by the Company to the purchasers of an aggregate of 900,901 shares of the Company’s common stock, at a purchase price per share of $11.10. The gross proceeds to the Company were approximately $10,000 before deducting placement agent fees and other offering expenses of approximately $1,010. The closing of the offering took place on December 31, 2019. As part of the offering the Company issued to the underwriter 45,045 warrants for 3.5 years with an exercise price of $13.875 for total value of $343.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as of September 30, 2020 and 2019 in the total amount of $19 and $37,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2019, the board of directors approved a grant of 17,503 stock options to purchase an aggregate of up to 17,503 shares of common stock to certain of its employees, at an exercise price per share of $5.95. The stock options vest over a period of 3 years as outlined in the option agreements. As a result, the Company recognized compensation expenses as of September 30, 2020 and 2019 in the total amount of $25 and $4, respectively, included in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23, 2019, the board of directors approved a grant of 19,760 stock options to purchase an aggregate of up to 19,760 shares of common stock to certain of its directors, at an exercise price per share of $5.06. The stock options vest over a period of 3 years as outlined in the option agreements. As a result, the Company recognized compensation expenses as of September 30, 2020 and 2019 in the total amount of $21 and $6, respectively, included in general and administrative expenses.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25, 2020, the board of directors approved a grant of 166,666 stock options to purchase an aggregate of up to 166,666 shares of common stock to Mr. Harel Gadot, the Company’s Chairman of the Board, President and CEO, at an exercise price per share of $9.64. The stock options vest over a period of 1 years as outlined in the option agreements. As a result, the Company recognized compensation expenses as of September 30, 2020 and 2019 in the total amount of $869 and $0, respectively, included in general and administrative expenses.</w:t>
      </w:r>
    </w:p>
    <w:p>
      <w:pPr>
        <w:spacing w:after="0" w:line="1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On July 14, 2020, the board of directors approved a grant of 31,493 stock options to purchase an aggregate of up to 31,493 shares of common stock to certain of its directors, at an exercise price per share of $6.16. The stock options vest over a period of 3 years as outlined in the option agreements. As a result, the Company recognized compensation expenses as of September 30, 2020 and 2019 in the total amount of $12 and $0, respectively, included in general and administrative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option activity related to options to employees and directors, and related information is as followed:</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4120" w:type="dxa"/>
            <w:vAlign w:val="bottom"/>
            <w:gridSpan w:val="6"/>
          </w:tcPr>
          <w:p>
            <w:pPr>
              <w:jc w:val="center"/>
              <w:ind w:right="80"/>
              <w:spacing w:after="0"/>
              <w:rPr>
                <w:sz w:val="20"/>
                <w:szCs w:val="20"/>
                <w:color w:val="auto"/>
              </w:rPr>
            </w:pPr>
            <w:r>
              <w:rPr>
                <w:rFonts w:ascii="Arial" w:cs="Arial" w:eastAsia="Arial" w:hAnsi="Arial"/>
                <w:sz w:val="18"/>
                <w:szCs w:val="18"/>
                <w:color w:val="auto"/>
                <w:w w:val="89"/>
              </w:rPr>
              <w:t>As of September 30,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4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5"/>
              </w:rPr>
              <w:t>Number of</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88"/>
              </w:rPr>
              <w:t>Weighted average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stock 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198,159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(8,818)</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as of September 30, 2020.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559,736</w:t>
            </w:r>
          </w:p>
        </w:tc>
        <w:tc>
          <w:tcPr>
            <w:tcW w:w="2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Vested at end of period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318,898</w:t>
            </w:r>
          </w:p>
        </w:tc>
        <w:tc>
          <w:tcPr>
            <w:tcW w:w="24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12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For the Year ended December 31, 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14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5"/>
              </w:rPr>
              <w:t>Number of</w:t>
            </w: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88"/>
              </w:rPr>
              <w:t>Weighted average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stock 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398,308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48,893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Cancelled</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(47,151)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270,827</w:t>
            </w:r>
          </w:p>
        </w:tc>
        <w:tc>
          <w:tcPr>
            <w:tcW w:w="2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September 30, 2020 and 2019, respectively.</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and 2019, the aggregate intrinsic value of the outstanding options is $854 and $108 respectively, and the aggregate intrinsic value of the exercisable options is $763 and $108, respectively.</w:t>
      </w:r>
    </w:p>
    <w:p>
      <w:pPr>
        <w:spacing w:after="0" w:line="1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5" w:right="339" w:bottom="1440" w:gutter="0" w:footer="0" w:header="0"/>
        </w:sectPr>
      </w:pPr>
    </w:p>
    <w:bookmarkStart w:id="18" w:name="page19"/>
    <w:bookmarkEnd w:id="18"/>
    <w:p>
      <w:pPr>
        <w:jc w:val="both"/>
        <w:ind w:left="980"/>
        <w:spacing w:after="0" w:line="263" w:lineRule="auto"/>
        <w:rPr>
          <w:sz w:val="20"/>
          <w:szCs w:val="20"/>
          <w:color w:val="auto"/>
        </w:rPr>
      </w:pPr>
      <w:r>
        <w:rPr>
          <w:rFonts w:ascii="Arial" w:cs="Arial" w:eastAsia="Arial" w:hAnsi="Arial"/>
          <w:sz w:val="18"/>
          <w:szCs w:val="18"/>
          <w:color w:val="auto"/>
        </w:rPr>
        <w:t>As of September 30, 2020, there were approximately $1,662 of total unrecognized compensation costs, net of expected forfeitures, related to unvested share-based compensation awards granted under the Share Incentive Plan. The costs are expected to be recognized over a weighted average period of 0.86 years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stock options outstanding as of September 30, 2020 and December 31, 2019, summarized by exercise prices, are as follows: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Weighted</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2"/>
              </w:rPr>
              <w:t>average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remaining</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remaining</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Stock options</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Stock options</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contractual life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contractual</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 options</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Stock options</w:t>
            </w:r>
          </w:p>
        </w:tc>
      </w:tr>
      <w:tr>
        <w:trPr>
          <w:trHeight w:val="216"/>
        </w:trPr>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outstanding as</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outstanding as</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 years as of</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life – years as</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exercisable as</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exercisable as</w:t>
            </w:r>
          </w:p>
        </w:tc>
      </w:tr>
      <w:tr>
        <w:trPr>
          <w:trHeight w:val="216"/>
        </w:trPr>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Exercise</w:t>
            </w: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of September</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of December</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September 30,</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December</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of September</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of December</w:t>
            </w:r>
          </w:p>
        </w:tc>
      </w:tr>
      <w:tr>
        <w:trPr>
          <w:trHeight w:val="237"/>
        </w:trPr>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price $</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30, 2020</w:t>
            </w:r>
          </w:p>
        </w:tc>
        <w:tc>
          <w:tcPr>
            <w:tcW w:w="3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31, 2019</w:t>
            </w:r>
          </w:p>
        </w:tc>
        <w:tc>
          <w:tcPr>
            <w:tcW w:w="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31, 2019</w:t>
            </w:r>
          </w:p>
        </w:tc>
        <w:tc>
          <w:tcPr>
            <w:tcW w:w="2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30, 2020</w:t>
            </w:r>
          </w:p>
        </w:tc>
        <w:tc>
          <w:tcPr>
            <w:tcW w:w="2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31, 2019</w:t>
            </w:r>
          </w:p>
        </w:tc>
        <w:tc>
          <w:tcPr>
            <w:tcW w:w="100" w:type="dxa"/>
            <w:vAlign w:val="bottom"/>
          </w:tcPr>
          <w:p>
            <w:pPr>
              <w:spacing w:after="0"/>
              <w:rPr>
                <w:sz w:val="20"/>
                <w:szCs w:val="20"/>
                <w:color w:val="auto"/>
              </w:rPr>
            </w:pPr>
          </w:p>
        </w:tc>
      </w:tr>
      <w:tr>
        <w:trPr>
          <w:trHeight w:val="216"/>
        </w:trPr>
        <w:tc>
          <w:tcPr>
            <w:tcW w:w="1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77,846</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77,846</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77,846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77,846</w:t>
            </w:r>
          </w:p>
        </w:tc>
      </w:tr>
      <w:tr>
        <w:trPr>
          <w:trHeight w:val="216"/>
        </w:trPr>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6.16</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31,492</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15.75</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131,007</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133,546</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117,544</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90,641</w:t>
            </w:r>
          </w:p>
        </w:tc>
      </w:tr>
      <w:tr>
        <w:trPr>
          <w:trHeight w:val="216"/>
        </w:trPr>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8.60</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9,304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11,630</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6,512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5,515</w:t>
            </w:r>
          </w:p>
        </w:tc>
      </w:tr>
      <w:tr>
        <w:trPr>
          <w:trHeight w:val="216"/>
        </w:trPr>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4,750</w:t>
            </w:r>
          </w:p>
        </w:tc>
      </w:tr>
      <w:tr>
        <w:trPr>
          <w:trHeight w:val="216"/>
        </w:trPr>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9.64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166,666</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17,503</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17,503</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15,808</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19,760</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5136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15.30</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38,533</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38,533</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36,282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29,533</w:t>
            </w:r>
          </w:p>
        </w:tc>
      </w:tr>
      <w:tr>
        <w:trPr>
          <w:trHeight w:val="237"/>
        </w:trPr>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61,577</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62,542</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61,577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62,542</w:t>
            </w:r>
          </w:p>
        </w:tc>
      </w:tr>
      <w:tr>
        <w:trPr>
          <w:trHeight w:val="229"/>
        </w:trPr>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559,736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318,898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Less than $0.01.</w:t>
      </w:r>
    </w:p>
    <w:p>
      <w:pPr>
        <w:spacing w:after="0" w:line="225"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nine months ended September 30, 2020 and 2019 was $1,468 and $906, respectively.</w:t>
      </w:r>
    </w:p>
    <w:p>
      <w:pPr>
        <w:spacing w:after="0" w:line="170"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grant date fair values of stock options granted in the years ended September 30, 2020 and 2019 were estimated using the Black-Scholes valuation model with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As of</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Year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September 30, 2020</w:t>
            </w:r>
          </w:p>
        </w:tc>
        <w:tc>
          <w:tcPr>
            <w:tcW w:w="2040" w:type="dxa"/>
            <w:vAlign w:val="bottom"/>
            <w:gridSpan w:val="2"/>
          </w:tcPr>
          <w:p>
            <w:pPr>
              <w:jc w:val="right"/>
              <w:ind w:right="400"/>
              <w:spacing w:after="0"/>
              <w:rPr>
                <w:sz w:val="20"/>
                <w:szCs w:val="20"/>
                <w:color w:val="auto"/>
              </w:rPr>
            </w:pPr>
            <w:r>
              <w:rPr>
                <w:rFonts w:ascii="Arial" w:cs="Arial" w:eastAsia="Arial" w:hAnsi="Arial"/>
                <w:sz w:val="18"/>
                <w:szCs w:val="18"/>
                <w:color w:val="auto"/>
              </w:rPr>
              <w:t>December 31, 2019</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134.81%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132.63%-144.4%</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Risk-free interest</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1.62%</w:t>
            </w:r>
          </w:p>
        </w:tc>
        <w:tc>
          <w:tcPr>
            <w:tcW w:w="1880" w:type="dxa"/>
            <w:vAlign w:val="bottom"/>
          </w:tcPr>
          <w:p>
            <w:pPr>
              <w:jc w:val="right"/>
              <w:spacing w:after="0"/>
              <w:rPr>
                <w:sz w:val="20"/>
                <w:szCs w:val="20"/>
                <w:color w:val="auto"/>
              </w:rPr>
            </w:pPr>
            <w:r>
              <w:rPr>
                <w:rFonts w:ascii="Arial" w:cs="Arial" w:eastAsia="Arial" w:hAnsi="Arial"/>
                <w:sz w:val="18"/>
                <w:szCs w:val="18"/>
                <w:color w:val="auto"/>
              </w:rPr>
              <w:t>1.49%-2.62%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Expected life of up to (years)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1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9" w:name="page20"/>
    <w:bookmarkEnd w:id="19"/>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gridSpan w:val="11"/>
          </w:tcPr>
          <w:p>
            <w:pPr>
              <w:spacing w:after="0"/>
              <w:rPr>
                <w:sz w:val="20"/>
                <w:szCs w:val="20"/>
                <w:color w:val="auto"/>
              </w:rPr>
            </w:pPr>
            <w:r>
              <w:rPr>
                <w:rFonts w:ascii="Arial" w:cs="Arial" w:eastAsia="Arial" w:hAnsi="Arial"/>
                <w:sz w:val="18"/>
                <w:szCs w:val="18"/>
                <w:color w:val="auto"/>
                <w:w w:val="93"/>
              </w:rPr>
              <w:t>The remaining outstanding warrants and terms as of September 30, 2020 and December 31, 2019 are as follows: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Outstanding</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Exercisable</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as of</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as of</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as of</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September</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w:t>
            </w:r>
          </w:p>
        </w:tc>
        <w:tc>
          <w:tcPr>
            <w:tcW w:w="14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Exercisable</w:t>
            </w:r>
          </w:p>
        </w:tc>
        <w:tc>
          <w:tcPr>
            <w:tcW w:w="0" w:type="dxa"/>
            <w:vAlign w:val="bottom"/>
          </w:tcPr>
          <w:p>
            <w:pPr>
              <w:spacing w:after="0"/>
              <w:rPr>
                <w:sz w:val="1"/>
                <w:szCs w:val="1"/>
                <w:color w:val="auto"/>
              </w:rPr>
            </w:pPr>
          </w:p>
        </w:tc>
      </w:tr>
      <w:tr>
        <w:trPr>
          <w:trHeight w:val="237"/>
        </w:trPr>
        <w:tc>
          <w:tcPr>
            <w:tcW w:w="3460" w:type="dxa"/>
            <w:vAlign w:val="bottom"/>
            <w:gridSpan w:val="2"/>
          </w:tcPr>
          <w:p>
            <w:pPr>
              <w:ind w:left="1160"/>
              <w:spacing w:after="0"/>
              <w:rPr>
                <w:sz w:val="20"/>
                <w:szCs w:val="20"/>
                <w:color w:val="auto"/>
              </w:rPr>
            </w:pPr>
            <w:r>
              <w:rPr>
                <w:rFonts w:ascii="Arial" w:cs="Arial" w:eastAsia="Arial" w:hAnsi="Arial"/>
                <w:sz w:val="18"/>
                <w:szCs w:val="18"/>
                <w:color w:val="auto"/>
              </w:rPr>
              <w:t>Issuance date</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30, 2020</w:t>
            </w:r>
          </w:p>
        </w:tc>
        <w:tc>
          <w:tcPr>
            <w:tcW w:w="3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31, 2019</w:t>
            </w:r>
          </w:p>
        </w:tc>
        <w:tc>
          <w:tcPr>
            <w:tcW w:w="30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Exercise Price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30, 2020</w:t>
            </w:r>
          </w:p>
        </w:tc>
        <w:tc>
          <w:tcPr>
            <w:tcW w:w="300" w:type="dxa"/>
            <w:vAlign w:val="bottom"/>
          </w:tcPr>
          <w:p>
            <w:pPr>
              <w:spacing w:after="0"/>
              <w:rPr>
                <w:sz w:val="20"/>
                <w:szCs w:val="20"/>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Through</w:t>
            </w:r>
          </w:p>
        </w:tc>
        <w:tc>
          <w:tcPr>
            <w:tcW w:w="0" w:type="dxa"/>
            <w:vAlign w:val="bottom"/>
          </w:tcPr>
          <w:p>
            <w:pPr>
              <w:spacing w:after="0"/>
              <w:rPr>
                <w:sz w:val="1"/>
                <w:szCs w:val="1"/>
                <w:color w:val="auto"/>
              </w:rPr>
            </w:pPr>
          </w:p>
        </w:tc>
      </w:tr>
      <w:tr>
        <w:trPr>
          <w:trHeight w:val="216"/>
        </w:trPr>
        <w:tc>
          <w:tcPr>
            <w:tcW w:w="3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(2013) (*)</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2,754.00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9, 2023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Series A (2015) (*)</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683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1,377.00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April 30,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(2016) (*)</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14,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Warrant to underwriters 1.2019</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8,082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22,767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8.13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8,082</w:t>
            </w:r>
          </w:p>
        </w:tc>
        <w:tc>
          <w:tcPr>
            <w:tcW w:w="1460" w:type="dxa"/>
            <w:vAlign w:val="bottom"/>
          </w:tcPr>
          <w:p>
            <w:pPr>
              <w:jc w:val="right"/>
              <w:spacing w:after="0"/>
              <w:rPr>
                <w:sz w:val="20"/>
                <w:szCs w:val="20"/>
                <w:color w:val="auto"/>
              </w:rPr>
            </w:pPr>
            <w:r>
              <w:rPr>
                <w:rFonts w:ascii="Arial" w:cs="Arial" w:eastAsia="Arial" w:hAnsi="Arial"/>
                <w:sz w:val="18"/>
                <w:szCs w:val="18"/>
                <w:color w:val="auto"/>
              </w:rPr>
              <w:t>July 14,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1.2019</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29,500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Warrant to underwriters 1.2019</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12,500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January 15,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45,643</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25,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Warrant to underwriters 12.2019</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47,619</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47,619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13.13</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47,619</w:t>
            </w:r>
          </w:p>
        </w:tc>
        <w:tc>
          <w:tcPr>
            <w:tcW w:w="1460" w:type="dxa"/>
            <w:vAlign w:val="bottom"/>
          </w:tcPr>
          <w:p>
            <w:pPr>
              <w:jc w:val="right"/>
              <w:spacing w:after="0"/>
              <w:rPr>
                <w:sz w:val="20"/>
                <w:szCs w:val="20"/>
                <w:color w:val="auto"/>
              </w:rPr>
            </w:pPr>
            <w:r>
              <w:rPr>
                <w:rFonts w:ascii="Arial" w:cs="Arial" w:eastAsia="Arial" w:hAnsi="Arial"/>
                <w:sz w:val="18"/>
                <w:szCs w:val="18"/>
                <w:color w:val="auto"/>
              </w:rPr>
              <w:t>June 27,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45,045</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45,045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45,045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spacing w:after="0" w:line="255" w:lineRule="auto"/>
        <w:tabs>
          <w:tab w:leader="none" w:pos="125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ASU 2017-11,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The cumulative effect of adoption of ASU 2017-11 resulted in an adjustment to accumulated deficit as of January 1, 2018 of $20 with a corresponding adjustment to additional paid-in capital.</w:t>
      </w:r>
    </w:p>
    <w:p>
      <w:pPr>
        <w:spacing w:after="0" w:line="192"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In December 2019, 125,000 outstanding warrants at an exercise price per share of $10.00, were exercised on a “net exercise” or “cashless” basis into 61,677 shares of common stock, and 125,000 outstanding warrants at an exercise price per share of $10.00, were exercised on a “net exercise” or “cashless” basis into 50,143 shares of common stock. All of such warrants were issued in January 2019.</w:t>
      </w:r>
    </w:p>
    <w:p>
      <w:pPr>
        <w:spacing w:after="0" w:line="14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In August 2020, 14,685 outstanding warrants at an exercise price per share of $8.125, were exercised on a “net exercise” or “cashless” basis into 4,873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SUBSEQUENT EVENTS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On November 5, 2020, the Company granted to independent directors of the Company, options to purchase an aggregate of 11,084 shares of the Company’s common stock, at an exercise price per share of $7.22. The options vest as follows and in accordance with the terms of the Company’s 2017 Equity Incentive Plan: (a) on May 5, 2021, the option shall vest and shall become exercisable with respect to 25% of the common stock; and (b) on a quarterly basis over the next 30 months, the option shall equally vest and become exercisable with respect to the remaining 75% of the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2019.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2019.</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or SCSTM,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our research, development and engineering personnel, prototype materials and research studies, and obtaining and maintaining our patent portfolio. We expense our research and development costs as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costs, professional fees for accounting, auditing, consulting and legal services, and allocated overhead expenses.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Microbot expects that its general and administrative expenses may increase in the future as it expands its operating activities, maintains and expands its patent portfolio and other intellectual property rights, evaluates and potentially acquires other technologies and assets, and incurs costs associated with being a public company and maintaining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Significant Judgments and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Microbot’s functional currency is the U.S. dollars, and its reporting currency is the U.S. dollar.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and Input Tax Credit Recoveries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expenses consist primarily of salaries and related expenses and overhead for Microbot’s research, development and engineering personnel, prototype materials and research studies, and obtaining and maintaining Microbot’s patent portfolio. 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September 30, 2020 and 2019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key components of Microbot’s results of operations for the three and nine-month periods ended September 30, 2020 and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4"/>
              </w:rPr>
              <w:t>Increase/</w:t>
            </w:r>
          </w:p>
        </w:tc>
        <w:tc>
          <w:tcPr>
            <w:tcW w:w="120" w:type="dxa"/>
            <w:vAlign w:val="bottom"/>
          </w:tcPr>
          <w:p>
            <w:pPr>
              <w:spacing w:after="0"/>
              <w:rPr>
                <w:sz w:val="18"/>
                <w:szCs w:val="18"/>
                <w:color w:val="auto"/>
              </w:rPr>
            </w:pPr>
          </w:p>
        </w:tc>
        <w:tc>
          <w:tcPr>
            <w:tcW w:w="2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2"/>
              </w:rPr>
              <w:t>Increase/</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7"/>
              </w:rPr>
              <w:t>September 30,</w:t>
            </w:r>
          </w:p>
        </w:tc>
        <w:tc>
          <w:tcPr>
            <w:tcW w:w="16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34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(Decrease)</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2,397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2,207</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948</w:t>
            </w:r>
          </w:p>
        </w:tc>
        <w:tc>
          <w:tcPr>
            <w:tcW w:w="3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4,065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expenses, net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Microbot’s research and development expenses were approximately $1,037,000 and $2,397,000 for the three and</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2020, compared to approximately $843,000 and $2,207,000 for the same period in 2019. The increase in research and development expenses of approximately $194,000 in 2020 was primarily due to an increase during the three months ended September 30, 2020 of professional services, salaries and IP relating to development expenses. Microbot expects its research and development expenses to continue to increase over time as Microbot advances its development programs and begins pre-clinical and clinical trials for its product candidates.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$1,378,000 and $4,065,000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compared to approximately $948,000 and $3,045,000 for the same period in 2019. The increase in general and administrative expenses of approximately $1,020,000 in the nine months ended September 30, 2020 was primarily due to increases in the salaries, insurance expenses, rent and share based compensation, partially offset by a decrease in professional services expenses relating to legal fees and travels expenses. Microbot believes its general and administrative expenses may increase over time as it advances its programs, increases its headcount and operating activities and incurs expenses associated with being a public company.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Financing Expenses</w:t>
      </w:r>
      <w:r>
        <w:rPr>
          <w:rFonts w:ascii="Arial" w:cs="Arial" w:eastAsia="Arial" w:hAnsi="Arial"/>
          <w:sz w:val="17"/>
          <w:szCs w:val="17"/>
          <w:color w:val="auto"/>
        </w:rPr>
        <w:t>. Financing income (expenses) were approximately $(57,000) and $(70,000) for the three and nine months ended September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$(83,000) and $(125,000) for the same period in 2019. The decrease in financial income for the nine months ended September 30, 2020 was primarily due to accrued interest expense relating to litigation that was resolved in early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all periods presented. As of September 30, 2020, Microbot had a net working capital of approximately $26,025,000 consisting primarily of cash and cash equivalents. This compares to net working capital of approximately $31,110,000 as of December 31, 2019. Microbot anticipates that it will continue to incur net losses for the foreseeable future as it continues research and development efforts of its product candidates, hires additional staff, including clinical, scientific, operational, financial and management personnel, and incurs additional costs associated with being a public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(“IIA”), and convertible debt. Since inception (November 2010) through September 30, 2020, Microbot has raised net cash proceeds of approximately $54,770,000, and incurred a total cumulative loss of approximately $41,643,000. Microbot recently returned $3,375,000 (before interest) of such proceeds as a result of an adverse outcome in a litigation that concluded in the nine months ended September 30, 2020, and is now subject to an additional lawsuit seeking the return of an additional $6,750,000 (before interest) of such proceeds.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Israel obtained from the IIA grants for participation in research and development for the years 2013 through September 30, 2020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believes that its net cash will be sufficient to fund its operations for at least 24 months and fund operations necessary to continue development activities of its product candidates. However, in the event we are unsuccessful in our current litigation with certain investors, pursuant to which they are seeking the return of $6,750,000 (plus interest) in proceeds we received from them in a 2017 stock offering, we may have funds for less than 24 months. In either case, management believes that Microbot has sufficient net cash to fund its operations necessary to continue development activities of its current proposed products for at least 12 months from the issuance date of this Quarterly Report on Form 10-Q.</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spacing w:after="0" w:line="289" w:lineRule="auto"/>
        <w:rPr>
          <w:sz w:val="20"/>
          <w:szCs w:val="20"/>
          <w:color w:val="auto"/>
        </w:rPr>
      </w:pPr>
      <w:r>
        <w:rPr>
          <w:rFonts w:ascii="Arial" w:cs="Arial" w:eastAsia="Arial" w:hAnsi="Arial"/>
          <w:sz w:val="16"/>
          <w:szCs w:val="16"/>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IIA. Microbot may also raise capital through future issuances of debt and/or equity securities.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set forth below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120" w:type="dxa"/>
            <w:vAlign w:val="bottom"/>
            <w:shd w:val="clear" w:color="auto" w:fill="CCEEFF"/>
          </w:tcPr>
          <w:p>
            <w:pPr>
              <w:jc w:val="right"/>
              <w:ind w:right="95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(5,582)</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2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(4,531)</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2,438</w:t>
            </w:r>
          </w:p>
        </w:tc>
        <w:tc>
          <w:tcPr>
            <w:tcW w:w="11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(2,496)</w:t>
            </w: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(3,375)</w:t>
            </w:r>
          </w:p>
        </w:tc>
        <w:tc>
          <w:tcPr>
            <w:tcW w:w="11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9,562</w:t>
            </w:r>
          </w:p>
        </w:tc>
        <w:tc>
          <w:tcPr>
            <w:tcW w:w="80" w:type="dxa"/>
            <w:vAlign w:val="bottom"/>
            <w:shd w:val="clear" w:color="auto" w:fill="CCEEFF"/>
          </w:tcPr>
          <w:p>
            <w:pPr>
              <w:spacing w:after="0"/>
              <w:rPr>
                <w:sz w:val="21"/>
                <w:szCs w:val="21"/>
                <w:color w:val="auto"/>
              </w:rPr>
            </w:pPr>
          </w:p>
        </w:tc>
      </w:tr>
      <w:tr>
        <w:trPr>
          <w:trHeight w:val="216"/>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1120" w:type="dxa"/>
            <w:vAlign w:val="bottom"/>
            <w:tcBorders>
              <w:top w:val="single" w:sz="8" w:color="auto"/>
              <w:bottom w:val="single" w:sz="8" w:color="auto"/>
            </w:tcBorders>
          </w:tcPr>
          <w:p>
            <w:pPr>
              <w:jc w:val="right"/>
              <w:ind w:right="95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80" w:type="dxa"/>
            <w:vAlign w:val="bottom"/>
            <w:tcBorders>
              <w:top w:val="single" w:sz="8" w:color="auto"/>
              <w:bottom w:val="single" w:sz="8" w:color="auto"/>
            </w:tcBorders>
          </w:tcPr>
          <w:p>
            <w:pPr>
              <w:jc w:val="right"/>
              <w:ind w:right="102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flows from operating activities for the nine months ended September 30, 2020 was approximately $5,582,000, calculated by adjusting net loss from operations by approximately $950,000 to eliminate non-cash and expense items not involving cash flows such as depreciation and share based compensation expense, as well as other changes in current assets and liabilities resulting in non-cash adjustments in the consolidated statements of operations. Cash used in operating activities for the nine months ended September 30, 2019 was approximately $4,531,000, similarly adjusted by approximately $846,000.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from investing activities for the nine months ended September 30, 2020 was approximately $2,438,000, compared to approximately $(2,496,000) for the nine months ended September 30, 2019, which consisted of primarily marketable securities.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flows from financing activities of $(3,375,000) for the nine months ended September 30, 2020 compared to approximately $9,562,000 for the nine months ended September 30, 2019 consisted of issuance of common stock and warrants and repayment of shareholders investments relating to litigation.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September 30, 2020 and December 31, 2019 consisted of readily available cash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2020. Based on that review and evaluation, the Chief Executive Officer and Chief Financial Officer, along with the management of the Company, have determined that as of September 30, 2020,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we breached multiple representations and warranties contained in the Securities Purchase Agreement (the “SPA”) related to our June 8, 2017 equity financing (the “Financing”), of which the Plaintiffs participated, and fraudulently induced Plaintiffs into signing the SPA. The complaint seeks rescission of the SPA and return of the Plaintiffs’ $6.75 million purchase price with respect to the Financing. We filed a Motion to Dismiss on March 16, 2020, which Motion is pending before the Court. As a result of the adverse outcome with respect to a previous litigation relating to the SPA and the Financing, management is unable to assess the likelihood that we will succeed on our Motion to Dismiss, or at trial if we lose the Motion.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we are seeking to divest is estimated to be approximately $468,000.</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6, 2020, we filed a motion for judgment on the pleadings with respect to our 16(b) claim against Mona, together with a motion to dismiss Mona’s 10(b) counterclaim. These motions were fully briefed as of April 26, 2020 and remain pending.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On September 17, 2020, the Court issued a Memorandum Decision &amp; Order that, among other things, granted Alliance’s summary judgment motion.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dismissal of our claim against Alliance, our Section 16(b) claim against Mona remains pending.</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Mona’s counterclaim is without merit, and to intend to vigorously defend against Mona’s allegations. However, given that litigation is ongoing, management is unable to predict the outcome of the case, or the amount of damages, if any, that may be awarded on either our 16(b) claim, or on Mona’s 10(b) counterclaim.</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hereby furnished to the SEC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10280" w:type="dxa"/>
            <w:vAlign w:val="bottom"/>
            <w:tcBorders>
              <w:bottom w:val="single" w:sz="8" w:color="0000EE"/>
            </w:tcBorders>
            <w:gridSpan w:val="5"/>
          </w:tcPr>
          <w:p>
            <w:pPr>
              <w:spacing w:after="0"/>
              <w:rPr>
                <w:rFonts w:ascii="Arial" w:cs="Arial" w:eastAsia="Arial" w:hAnsi="Arial"/>
                <w:sz w:val="18"/>
                <w:szCs w:val="18"/>
                <w:color w:val="0000EE"/>
                <w:w w:val="94"/>
              </w:rPr>
            </w:pPr>
            <w:hyperlink r:id="rId50">
              <w:r>
                <w:rPr>
                  <w:rFonts w:ascii="Arial" w:cs="Arial" w:eastAsia="Arial" w:hAnsi="Arial"/>
                  <w:sz w:val="18"/>
                  <w:szCs w:val="18"/>
                  <w:color w:val="0000EE"/>
                  <w:w w:val="94"/>
                </w:rPr>
                <w:t>Microbot Medical Inc. 2020 Omnibus Performance Award Plan (incorporated by reference to Exhibit A of the Company’s Definitive Proxy</w:t>
              </w:r>
            </w:hyperlink>
          </w:p>
        </w:tc>
      </w:tr>
      <w:tr>
        <w:trPr>
          <w:trHeight w:val="196"/>
        </w:trPr>
        <w:tc>
          <w:tcPr>
            <w:tcW w:w="960" w:type="dxa"/>
            <w:vAlign w:val="bottom"/>
          </w:tcPr>
          <w:p>
            <w:pPr>
              <w:spacing w:after="0"/>
              <w:rPr>
                <w:sz w:val="17"/>
                <w:szCs w:val="17"/>
                <w:color w:val="auto"/>
              </w:rPr>
            </w:pPr>
          </w:p>
        </w:tc>
        <w:tc>
          <w:tcPr>
            <w:tcW w:w="37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Statement on Schedule 14A filed on July 31, 2020).</w:t>
              </w:r>
            </w:hyperlink>
          </w:p>
        </w:tc>
        <w:tc>
          <w:tcPr>
            <w:tcW w:w="6540" w:type="dxa"/>
            <w:vAlign w:val="bottom"/>
            <w:gridSpan w:val="2"/>
          </w:tcPr>
          <w:p>
            <w:pPr>
              <w:spacing w:after="0"/>
              <w:rPr>
                <w:sz w:val="17"/>
                <w:szCs w:val="17"/>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gridSpan w:val="5"/>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of Harel Gadot, Chairman, President and Chief Executive Officer</w:t>
              </w:r>
            </w:hyperlink>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gridSpan w:val="5"/>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of David Ben Naim, Chief Financial Officer</w:t>
              </w:r>
            </w:hyperlink>
          </w:p>
        </w:tc>
      </w:tr>
      <w:tr>
        <w:trPr>
          <w:trHeight w:val="190"/>
        </w:trPr>
        <w:tc>
          <w:tcPr>
            <w:tcW w:w="960" w:type="dxa"/>
            <w:vAlign w:val="bottom"/>
          </w:tcPr>
          <w:p>
            <w:pPr>
              <w:spacing w:after="0" w:line="190" w:lineRule="exact"/>
              <w:rPr>
                <w:sz w:val="20"/>
                <w:szCs w:val="20"/>
                <w:color w:val="auto"/>
              </w:rPr>
            </w:pPr>
            <w:r>
              <w:rPr>
                <w:rFonts w:ascii="Arial" w:cs="Arial" w:eastAsia="Arial" w:hAnsi="Arial"/>
                <w:sz w:val="18"/>
                <w:szCs w:val="18"/>
                <w:color w:val="auto"/>
              </w:rPr>
              <w:t>32.1</w:t>
            </w:r>
          </w:p>
        </w:tc>
        <w:tc>
          <w:tcPr>
            <w:tcW w:w="10280" w:type="dxa"/>
            <w:vAlign w:val="bottom"/>
            <w:tcBorders>
              <w:bottom w:val="single" w:sz="8" w:color="0000EE"/>
            </w:tcBorders>
            <w:gridSpan w:val="5"/>
          </w:tcPr>
          <w:p>
            <w:pPr>
              <w:spacing w:after="0" w:line="190"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Certification of Harel Gadot, Chairman, President and Chief Executive Officer, pursuant to 18 U.S.C. Section 1350, as adopted pursuant to</w:t>
              </w:r>
            </w:hyperlink>
          </w:p>
        </w:tc>
      </w:tr>
      <w:tr>
        <w:trPr>
          <w:trHeight w:val="196"/>
        </w:trPr>
        <w:tc>
          <w:tcPr>
            <w:tcW w:w="96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Section 906 of the Sarbanes-Oxley Act of 2002</w:t>
              </w:r>
            </w:hyperlink>
          </w:p>
        </w:tc>
        <w:tc>
          <w:tcPr>
            <w:tcW w:w="6860" w:type="dxa"/>
            <w:vAlign w:val="bottom"/>
            <w:gridSpan w:val="3"/>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280" w:type="dxa"/>
            <w:vAlign w:val="bottom"/>
            <w:gridSpan w:val="5"/>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of David Ben Naim, Chief Financial Officer, pursuant to 18 U.S.C. Section 1350, as adopted pursuant to Section 906 of the</w:t>
              </w:r>
            </w:hyperlink>
          </w:p>
        </w:tc>
      </w:tr>
      <w:tr>
        <w:trPr>
          <w:trHeight w:val="196"/>
        </w:trPr>
        <w:tc>
          <w:tcPr>
            <w:tcW w:w="960" w:type="dxa"/>
            <w:vAlign w:val="bottom"/>
          </w:tcPr>
          <w:p>
            <w:pPr>
              <w:spacing w:after="0"/>
              <w:rPr>
                <w:sz w:val="17"/>
                <w:szCs w:val="17"/>
                <w:color w:val="auto"/>
              </w:rPr>
            </w:pPr>
          </w:p>
        </w:tc>
        <w:tc>
          <w:tcPr>
            <w:tcW w:w="102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Sarbanes-Oxley Act of 2002</w:t>
              </w:r>
            </w:hyperlink>
          </w:p>
        </w:tc>
        <w:tc>
          <w:tcPr>
            <w:tcW w:w="20" w:type="dxa"/>
            <w:vAlign w:val="bottom"/>
          </w:tcPr>
          <w:p>
            <w:pPr>
              <w:spacing w:after="0"/>
              <w:rPr>
                <w:sz w:val="17"/>
                <w:szCs w:val="17"/>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101.1</w:t>
            </w:r>
          </w:p>
        </w:tc>
        <w:tc>
          <w:tcPr>
            <w:tcW w:w="20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w:t>
            </w:r>
          </w:p>
        </w:tc>
        <w:tc>
          <w:tcPr>
            <w:tcW w:w="8220" w:type="dxa"/>
            <w:vAlign w:val="bottom"/>
            <w:gridSpan w:val="4"/>
          </w:tcPr>
          <w:p>
            <w:pPr>
              <w:spacing w:after="0"/>
              <w:rPr>
                <w:sz w:val="19"/>
                <w:szCs w:val="19"/>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Calculation.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Definition.</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Labels.</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w:t>
            </w:r>
          </w:p>
        </w:tc>
      </w:tr>
      <w:tr>
        <w:trPr>
          <w:trHeight w:val="439"/>
        </w:trPr>
        <w:tc>
          <w:tcPr>
            <w:tcW w:w="9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4"/>
          </w:tcPr>
          <w:p>
            <w:pPr>
              <w:ind w:left="458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2020.</w:t>
      </w:r>
    </w:p>
    <w:p>
      <w:pPr>
        <w:spacing w:after="0" w:line="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Ben Naim</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2020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16, 2020</w:t>
      </w:r>
      <w:r>
        <w:rPr>
          <w:sz w:val="20"/>
          <w:szCs w:val="20"/>
          <w:color w:val="auto"/>
        </w:rPr>
        <w:tab/>
      </w:r>
      <w:r>
        <w:rPr>
          <w:rFonts w:ascii="Arial" w:cs="Arial" w:eastAsia="Arial" w:hAnsi="Arial"/>
          <w:sz w:val="16"/>
          <w:szCs w:val="16"/>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September 30, 2020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5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16, 2020</w:t>
      </w:r>
      <w:r>
        <w:rPr>
          <w:sz w:val="20"/>
          <w:szCs w:val="20"/>
          <w:color w:val="auto"/>
        </w:rPr>
        <w:tab/>
      </w:r>
      <w:r>
        <w:rPr>
          <w:rFonts w:ascii="Arial" w:cs="Arial" w:eastAsia="Arial" w:hAnsi="Arial"/>
          <w:sz w:val="16"/>
          <w:szCs w:val="16"/>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Ben Naim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0" Type="http://schemas.openxmlformats.org/officeDocument/2006/relationships/hyperlink" Target="https://www.sec.gov/Archives/edgar/data/883975/000149315220014354/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2020-11-16T14:41:05Z</dcterms:created>
  <dcterms:modified xsi:type="dcterms:W3CDTF">2020-11-16T14:41:05Z</dcterms:modified>
</cp:coreProperties>
</file>