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333-250966</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December 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2285365</wp:posOffset>
            </wp:positionH>
            <wp:positionV relativeFrom="paragraph">
              <wp:posOffset>142875</wp:posOffset>
            </wp:positionV>
            <wp:extent cx="2571750" cy="9429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71750" cy="9429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MICROBOT MEDICAL INC.</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655,569 Shares of Common Stock</w:t>
      </w:r>
    </w:p>
    <w:p>
      <w:pPr>
        <w:spacing w:after="0" w:line="229"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offering 655,569 shares of our common stock, par value $0.01 per share (“common stock”), to an institutional investor at an offering price of $2.20 per share, pursuant to this prospectus supplement and the accompanying prospectus.</w:t>
      </w:r>
    </w:p>
    <w:p>
      <w:pPr>
        <w:spacing w:after="0" w:line="170"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common stock is listed and trades on The Nasdaq Capital Market under the symbol “MBOT.” The last sale price of our shares of common stock on May 19, 2023 was $1.23 per share.</w:t>
      </w:r>
    </w:p>
    <w:p>
      <w:pPr>
        <w:spacing w:after="0" w:line="170" w:lineRule="exact"/>
        <w:rPr>
          <w:sz w:val="24"/>
          <w:szCs w:val="24"/>
          <w:color w:val="auto"/>
        </w:rPr>
      </w:pPr>
    </w:p>
    <w:p>
      <w:pPr>
        <w:jc w:val="both"/>
        <w:ind w:firstLine="648"/>
        <w:spacing w:after="0" w:line="254" w:lineRule="auto"/>
        <w:rPr>
          <w:sz w:val="20"/>
          <w:szCs w:val="20"/>
          <w:color w:val="auto"/>
        </w:rPr>
      </w:pPr>
      <w:r>
        <w:rPr>
          <w:rFonts w:ascii="Arial" w:cs="Arial" w:eastAsia="Arial" w:hAnsi="Arial"/>
          <w:sz w:val="18"/>
          <w:szCs w:val="18"/>
          <w:color w:val="auto"/>
        </w:rPr>
        <w:t>As of the date of this prospectus supplement, the aggregate market value of our outstanding common stock held by non-affiliates, computed by reference to the price at which our common stock was last sold on The Nasdaq Capital Market on March 29, 2023, which was $2.34 per share, was approximately $18.1 million, based on 8,130,628 shares of our outstanding common stock as of the date of this prospectus supplement, of which 7,751,753 shares were held by non-affiliates. Pursuant to General Instruction I.B.6 of Form S-3, in no event will we sell securities in a public primary offering with a value exceeding one-third of our public float in any 12-month period so long as our public float remains below $75.0 million. During the 12 calendar months prior to and including the date of this prospectus supplement (excluding this offering), we have sold $4,604,001 in securities pursuant to General Instruction I.B.6 of Form S-3.</w:t>
      </w:r>
    </w:p>
    <w:p>
      <w:pPr>
        <w:spacing w:after="0" w:line="195" w:lineRule="exact"/>
        <w:rPr>
          <w:sz w:val="24"/>
          <w:szCs w:val="24"/>
          <w:color w:val="auto"/>
        </w:rPr>
      </w:pPr>
    </w:p>
    <w:p>
      <w:pPr>
        <w:jc w:val="both"/>
        <w:ind w:firstLine="648"/>
        <w:spacing w:after="0" w:line="253" w:lineRule="auto"/>
        <w:rPr>
          <w:sz w:val="20"/>
          <w:szCs w:val="20"/>
          <w:color w:val="auto"/>
        </w:rPr>
      </w:pPr>
      <w:r>
        <w:rPr>
          <w:rFonts w:ascii="Arial" w:cs="Arial" w:eastAsia="Arial" w:hAnsi="Arial"/>
          <w:sz w:val="18"/>
          <w:szCs w:val="18"/>
          <w:color w:val="auto"/>
        </w:rPr>
        <w:t>We have engaged H.C. Wainwright &amp; Co., LLC, or Wainwright or the placement agent, to act as our exclusive placement agent for this offering. The placement agent has agreed to use its “reasonable best efforts” to arrange for the sale of shares of our common stock offered by this prospectus supplement and the accompanying base prospectus, but the placement agent has no obligation to purchase or sell any of such securities or to arrange for the purchase or sale of any specific number or dollar amount of such securities. There is no required minimum number of securities that must be sold as a condition to completion of this offering. Because there is no minimum offering amount required as a condition to closing this offering, the actual offering amount, placement agent fees, and proceeds to us, if any, are not presently determinable and may be substantially less than the total maximum offering amounts set forth below. We have not arranged to place the funds from investors in an escrow, trust or similar account. We have agreed to pay the placement agent the fees set forth in the table below in connection with this offering, which assumes that we sell all of the shares of common stock we are offering hereby.</w:t>
      </w:r>
    </w:p>
    <w:p>
      <w:pPr>
        <w:spacing w:after="0" w:line="206" w:lineRule="exact"/>
        <w:rPr>
          <w:sz w:val="24"/>
          <w:szCs w:val="24"/>
          <w:color w:val="auto"/>
        </w:rPr>
      </w:pPr>
    </w:p>
    <w:tbl>
      <w:tblPr>
        <w:tblLayout w:type="fixed"/>
        <w:tblInd w:w="1120" w:type="dxa"/>
        <w:tblCellMar>
          <w:top w:w="0" w:type="dxa"/>
          <w:left w:w="0" w:type="dxa"/>
          <w:bottom w:w="0" w:type="dxa"/>
          <w:right w:w="0" w:type="dxa"/>
        </w:tblCellMar>
      </w:tblPr>
      <w:tr>
        <w:trPr>
          <w:trHeight w:val="241"/>
        </w:trPr>
        <w:tc>
          <w:tcPr>
            <w:tcW w:w="40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Per Share</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Total</w:t>
            </w:r>
          </w:p>
        </w:tc>
      </w:tr>
      <w:tr>
        <w:trPr>
          <w:trHeight w:val="216"/>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Offering price</w:t>
            </w:r>
          </w:p>
        </w:tc>
        <w:tc>
          <w:tcPr>
            <w:tcW w:w="15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1,442,251.80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tcPr>
          <w:p>
            <w:pPr>
              <w:ind w:left="20"/>
              <w:spacing w:after="0"/>
              <w:rPr>
                <w:sz w:val="20"/>
                <w:szCs w:val="20"/>
                <w:color w:val="auto"/>
              </w:rPr>
            </w:pPr>
            <w:r>
              <w:rPr>
                <w:rFonts w:ascii="Arial" w:cs="Arial" w:eastAsia="Arial" w:hAnsi="Arial"/>
                <w:sz w:val="18"/>
                <w:szCs w:val="18"/>
                <w:color w:val="auto"/>
              </w:rPr>
              <w:t>Placement agent’s fees (1)</w:t>
            </w:r>
          </w:p>
        </w:tc>
        <w:tc>
          <w:tcPr>
            <w:tcW w:w="17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0.154</w:t>
            </w:r>
          </w:p>
        </w:tc>
        <w:tc>
          <w:tcPr>
            <w:tcW w:w="46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100,957.63</w:t>
            </w:r>
          </w:p>
        </w:tc>
      </w:tr>
      <w:tr>
        <w:trPr>
          <w:trHeight w:val="216"/>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before expenses, to us (2)</w:t>
            </w:r>
          </w:p>
        </w:tc>
        <w:tc>
          <w:tcPr>
            <w:tcW w:w="17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2.046</w:t>
            </w:r>
          </w:p>
        </w:tc>
        <w:tc>
          <w:tcPr>
            <w:tcW w:w="46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1,341,294.17</w:t>
            </w:r>
          </w:p>
        </w:tc>
      </w:tr>
    </w:tbl>
    <w:p>
      <w:pPr>
        <w:spacing w:after="0" w:line="202" w:lineRule="exact"/>
        <w:rPr>
          <w:sz w:val="24"/>
          <w:szCs w:val="24"/>
          <w:color w:val="auto"/>
        </w:rPr>
      </w:pPr>
    </w:p>
    <w:p>
      <w:pPr>
        <w:jc w:val="both"/>
        <w:ind w:left="660" w:hanging="652"/>
        <w:spacing w:after="0" w:line="259"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addition, we have agreed to pay the placement agent for certain of its expenses and to issue warrants to purchase shares of common stock to the placement agent or its designees (the “placement agent warrants”). Neither the placement agent warrants nor the shares of our common stock issuable upon exercise of the placement agent warrants are being registered hereby. See “Plan of Distribution” beginning on page S-11 of this prospectus supplement for more information.</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Does not include proceeds from the exercise of the placement agent warrants to be issued to the placement agent in cash, if any.</w:t>
      </w:r>
    </w:p>
    <w:p>
      <w:pPr>
        <w:spacing w:after="0" w:line="225"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Delivery of the shares of common stock offered hereby is expected to be made on or about May 23, 2023, subject to satisfaction of customary closing conditions.</w:t>
      </w:r>
    </w:p>
    <w:p>
      <w:pPr>
        <w:spacing w:after="0" w:line="166" w:lineRule="exact"/>
        <w:rPr>
          <w:sz w:val="24"/>
          <w:szCs w:val="24"/>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Investing in our securities involves a high degree of risk. Before making any investment decision, you should carefully review and consider all the information in this prospectus supplement, the accompanying base prospectus and the documents incorporated by reference herein and therein, including the risks and uncertainties described under “Risk Factors” beginning on page S-6 of this prospectus supplement and the risk factors incorporated by reference into this prospectus supplement and the accompanying base prospectus.</w:t>
      </w:r>
    </w:p>
    <w:p>
      <w:pPr>
        <w:spacing w:after="0" w:line="155" w:lineRule="exact"/>
        <w:rPr>
          <w:sz w:val="24"/>
          <w:szCs w:val="24"/>
          <w:color w:val="auto"/>
        </w:rPr>
      </w:pPr>
    </w:p>
    <w:p>
      <w:pPr>
        <w:jc w:val="both"/>
        <w:ind w:firstLine="648"/>
        <w:spacing w:after="0" w:line="342"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shares or determined if this prospectus supplement or the accompanying base prospectus is truthful or complete. Any representation to the contrary is a criminal offense.</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H.C. Wainwright &amp; Co.</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supplement is May 22,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051"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40" w:type="dxa"/>
            <w:vAlign w:val="bottom"/>
            <w:gridSpan w:val="6"/>
          </w:tcPr>
          <w:p>
            <w:pPr>
              <w:ind w:left="10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17"/>
                <w:szCs w:val="17"/>
                <w:color w:val="auto"/>
              </w:rPr>
            </w:pPr>
          </w:p>
        </w:tc>
      </w:tr>
      <w:tr>
        <w:trPr>
          <w:trHeight w:val="473"/>
        </w:trPr>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Page</w:t>
            </w: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600" w:type="dxa"/>
            <w:vAlign w:val="bottom"/>
            <w:gridSpan w:val="31"/>
            <w:shd w:val="clear" w:color="auto" w:fill="CCEEFF"/>
          </w:tcPr>
          <w:p>
            <w:pPr>
              <w:spacing w:after="0"/>
              <w:rPr>
                <w:sz w:val="20"/>
                <w:szCs w:val="20"/>
                <w:color w:val="auto"/>
              </w:rPr>
            </w:pPr>
            <w:r>
              <w:rPr>
                <w:rFonts w:ascii="Arial" w:cs="Arial" w:eastAsia="Arial" w:hAnsi="Arial"/>
                <w:sz w:val="18"/>
                <w:szCs w:val="18"/>
                <w:b w:val="1"/>
                <w:bCs w:val="1"/>
                <w:color w:val="auto"/>
              </w:rPr>
              <w:t>PROSPECTUS SUPPLEMENT</w:t>
            </w:r>
          </w:p>
        </w:tc>
        <w:tc>
          <w:tcPr>
            <w:tcW w:w="640" w:type="dxa"/>
            <w:vAlign w:val="bottom"/>
            <w:shd w:val="clear" w:color="auto" w:fill="CCEEFF"/>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96"/>
        </w:trPr>
        <w:tc>
          <w:tcPr>
            <w:tcW w:w="3440" w:type="dxa"/>
            <w:vAlign w:val="bottom"/>
            <w:tcBorders>
              <w:bottom w:val="single" w:sz="8" w:color="0000EE"/>
            </w:tcBorders>
            <w:gridSpan w:val="21"/>
            <w:shd w:val="clear" w:color="auto" w:fill="CCEEFF"/>
          </w:tcPr>
          <w:p>
            <w:pPr>
              <w:spacing w:after="0" w:line="176" w:lineRule="exact"/>
              <w:rPr>
                <w:sz w:val="20"/>
                <w:szCs w:val="20"/>
                <w:color w:val="auto"/>
              </w:rPr>
            </w:pPr>
            <w:r>
              <w:rPr>
                <w:rFonts w:ascii="Arial" w:cs="Arial" w:eastAsia="Arial" w:hAnsi="Arial"/>
                <w:sz w:val="18"/>
                <w:szCs w:val="18"/>
                <w:color w:val="0000EE"/>
                <w:w w:val="93"/>
              </w:rPr>
              <w:t>ABOUT THIS PROSPECTUS SUPPLEMENT</w:t>
            </w:r>
          </w:p>
        </w:tc>
        <w:tc>
          <w:tcPr>
            <w:tcW w:w="7160" w:type="dxa"/>
            <w:vAlign w:val="bottom"/>
            <w:tcBorders>
              <w:bottom w:val="single" w:sz="8" w:color="CCEEFF"/>
            </w:tcBorders>
            <w:gridSpan w:val="1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S-1</w:t>
            </w:r>
          </w:p>
        </w:tc>
      </w:tr>
      <w:tr>
        <w:trPr>
          <w:trHeight w:val="176"/>
        </w:trPr>
        <w:tc>
          <w:tcPr>
            <w:tcW w:w="10600" w:type="dxa"/>
            <w:vAlign w:val="bottom"/>
            <w:gridSpan w:val="31"/>
          </w:tcPr>
          <w:p>
            <w:pPr>
              <w:spacing w:after="0" w:line="176" w:lineRule="exact"/>
              <w:rPr>
                <w:sz w:val="20"/>
                <w:szCs w:val="20"/>
                <w:color w:val="auto"/>
              </w:rPr>
            </w:pPr>
            <w:r>
              <w:rPr>
                <w:rFonts w:ascii="Arial" w:cs="Arial" w:eastAsia="Arial" w:hAnsi="Arial"/>
                <w:sz w:val="18"/>
                <w:szCs w:val="18"/>
                <w:color w:val="0000EE"/>
              </w:rPr>
              <w:t>SPECIAL NOTE REGARDING FORWARD-LOOKING STATEMENTS</w:t>
            </w: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S-2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3300" w:type="dxa"/>
            <w:vAlign w:val="bottom"/>
            <w:tcBorders>
              <w:bottom w:val="single" w:sz="8" w:color="0000EE"/>
            </w:tcBorders>
            <w:gridSpan w:val="19"/>
            <w:shd w:val="clear" w:color="auto" w:fill="CCEEFF"/>
          </w:tcPr>
          <w:p>
            <w:pPr>
              <w:spacing w:after="0" w:line="176" w:lineRule="exact"/>
              <w:rPr>
                <w:sz w:val="20"/>
                <w:szCs w:val="20"/>
                <w:color w:val="auto"/>
              </w:rPr>
            </w:pPr>
            <w:r>
              <w:rPr>
                <w:rFonts w:ascii="Arial" w:cs="Arial" w:eastAsia="Arial" w:hAnsi="Arial"/>
                <w:sz w:val="18"/>
                <w:szCs w:val="18"/>
                <w:color w:val="0000EE"/>
                <w:w w:val="94"/>
              </w:rPr>
              <w:t>PROSPECTUS SUPPLEMENT SUMMARY</w:t>
            </w:r>
          </w:p>
        </w:tc>
        <w:tc>
          <w:tcPr>
            <w:tcW w:w="7300" w:type="dxa"/>
            <w:vAlign w:val="bottom"/>
            <w:tcBorders>
              <w:bottom w:val="single" w:sz="8" w:color="CCEEFF"/>
            </w:tcBorders>
            <w:gridSpan w:val="1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S-3</w:t>
            </w:r>
          </w:p>
        </w:tc>
      </w:tr>
      <w:tr>
        <w:trPr>
          <w:trHeight w:val="176"/>
        </w:trPr>
        <w:tc>
          <w:tcPr>
            <w:tcW w:w="10600" w:type="dxa"/>
            <w:vAlign w:val="bottom"/>
            <w:gridSpan w:val="31"/>
          </w:tcPr>
          <w:p>
            <w:pPr>
              <w:spacing w:after="0" w:line="176" w:lineRule="exact"/>
              <w:rPr>
                <w:sz w:val="20"/>
                <w:szCs w:val="20"/>
                <w:color w:val="auto"/>
              </w:rPr>
            </w:pPr>
            <w:r>
              <w:rPr>
                <w:rFonts w:ascii="Arial" w:cs="Arial" w:eastAsia="Arial" w:hAnsi="Arial"/>
                <w:sz w:val="18"/>
                <w:szCs w:val="18"/>
                <w:color w:val="0000EE"/>
              </w:rPr>
              <w:t>THE OFFERING</w:t>
            </w: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S-5</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4"/>
            <w:shd w:val="clear" w:color="auto" w:fill="CCEEFF"/>
          </w:tcPr>
          <w:p>
            <w:pPr>
              <w:spacing w:after="0" w:line="176" w:lineRule="exact"/>
              <w:rPr>
                <w:sz w:val="20"/>
                <w:szCs w:val="20"/>
                <w:color w:val="auto"/>
              </w:rPr>
            </w:pPr>
            <w:r>
              <w:rPr>
                <w:rFonts w:ascii="Arial" w:cs="Arial" w:eastAsia="Arial" w:hAnsi="Arial"/>
                <w:sz w:val="18"/>
                <w:szCs w:val="18"/>
                <w:color w:val="0000EE"/>
                <w:w w:val="93"/>
              </w:rPr>
              <w:t>RISK FACTORS</w:t>
            </w:r>
          </w:p>
        </w:tc>
        <w:tc>
          <w:tcPr>
            <w:tcW w:w="9340" w:type="dxa"/>
            <w:vAlign w:val="bottom"/>
            <w:tcBorders>
              <w:bottom w:val="single" w:sz="8" w:color="CCEEFF"/>
            </w:tcBorders>
            <w:gridSpan w:val="27"/>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S-6</w:t>
            </w:r>
          </w:p>
        </w:tc>
      </w:tr>
      <w:tr>
        <w:trPr>
          <w:trHeight w:val="175"/>
        </w:trPr>
        <w:tc>
          <w:tcPr>
            <w:tcW w:w="10600" w:type="dxa"/>
            <w:vAlign w:val="bottom"/>
            <w:gridSpan w:val="31"/>
          </w:tcPr>
          <w:p>
            <w:pPr>
              <w:spacing w:after="0" w:line="176" w:lineRule="exact"/>
              <w:rPr>
                <w:sz w:val="20"/>
                <w:szCs w:val="20"/>
                <w:color w:val="auto"/>
              </w:rPr>
            </w:pPr>
            <w:r>
              <w:rPr>
                <w:rFonts w:ascii="Arial" w:cs="Arial" w:eastAsia="Arial" w:hAnsi="Arial"/>
                <w:sz w:val="18"/>
                <w:szCs w:val="18"/>
                <w:color w:val="0000EE"/>
              </w:rPr>
              <w:t>USE OF PROCEEDS</w:t>
            </w: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S-8</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31"/>
            <w:shd w:val="clear" w:color="auto" w:fill="CCEEFF"/>
          </w:tcPr>
          <w:p>
            <w:pPr>
              <w:spacing w:after="0" w:line="176" w:lineRule="exact"/>
              <w:rPr>
                <w:sz w:val="20"/>
                <w:szCs w:val="20"/>
                <w:color w:val="auto"/>
              </w:rPr>
            </w:pPr>
            <w:r>
              <w:rPr>
                <w:rFonts w:ascii="Arial" w:cs="Arial" w:eastAsia="Arial" w:hAnsi="Arial"/>
                <w:sz w:val="18"/>
                <w:szCs w:val="18"/>
                <w:color w:val="0000EE"/>
              </w:rPr>
              <w:t>DILUTION</w:t>
            </w: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S-9</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31"/>
          </w:tcPr>
          <w:p>
            <w:pPr>
              <w:spacing w:after="0" w:line="176" w:lineRule="exact"/>
              <w:rPr>
                <w:sz w:val="20"/>
                <w:szCs w:val="20"/>
                <w:color w:val="auto"/>
              </w:rPr>
            </w:pPr>
            <w:r>
              <w:rPr>
                <w:rFonts w:ascii="Arial" w:cs="Arial" w:eastAsia="Arial" w:hAnsi="Arial"/>
                <w:sz w:val="18"/>
                <w:szCs w:val="18"/>
                <w:color w:val="0000EE"/>
              </w:rPr>
              <w:t>DESCRIPTION OF THE SECURITIES WE ARE OFFERING</w:t>
            </w: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S-10</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11"/>
            <w:shd w:val="clear" w:color="auto" w:fill="CCEEFF"/>
          </w:tcPr>
          <w:p>
            <w:pPr>
              <w:spacing w:after="0" w:line="176" w:lineRule="exact"/>
              <w:rPr>
                <w:sz w:val="20"/>
                <w:szCs w:val="20"/>
                <w:color w:val="auto"/>
              </w:rPr>
            </w:pPr>
            <w:r>
              <w:rPr>
                <w:rFonts w:ascii="Arial" w:cs="Arial" w:eastAsia="Arial" w:hAnsi="Arial"/>
                <w:sz w:val="18"/>
                <w:szCs w:val="18"/>
                <w:color w:val="0000EE"/>
                <w:w w:val="97"/>
              </w:rPr>
              <w:t>PLAN OF DISTRIBUTION</w:t>
            </w:r>
          </w:p>
        </w:tc>
        <w:tc>
          <w:tcPr>
            <w:tcW w:w="8540" w:type="dxa"/>
            <w:vAlign w:val="bottom"/>
            <w:tcBorders>
              <w:bottom w:val="single" w:sz="8" w:color="CCEEFF"/>
            </w:tcBorders>
            <w:gridSpan w:val="2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S-11</w:t>
            </w:r>
          </w:p>
        </w:tc>
      </w:tr>
      <w:tr>
        <w:trPr>
          <w:trHeight w:val="175"/>
        </w:trPr>
        <w:tc>
          <w:tcPr>
            <w:tcW w:w="10600" w:type="dxa"/>
            <w:vAlign w:val="bottom"/>
            <w:gridSpan w:val="31"/>
          </w:tcPr>
          <w:p>
            <w:pPr>
              <w:spacing w:after="0" w:line="176" w:lineRule="exact"/>
              <w:rPr>
                <w:sz w:val="20"/>
                <w:szCs w:val="20"/>
                <w:color w:val="auto"/>
              </w:rPr>
            </w:pPr>
            <w:r>
              <w:rPr>
                <w:rFonts w:ascii="Arial" w:cs="Arial" w:eastAsia="Arial" w:hAnsi="Arial"/>
                <w:sz w:val="18"/>
                <w:szCs w:val="18"/>
                <w:color w:val="0000EE"/>
              </w:rPr>
              <w:t>LEGAL MATTERS</w:t>
            </w: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S-12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Arial" w:cs="Arial" w:eastAsia="Arial" w:hAnsi="Arial"/>
                <w:sz w:val="18"/>
                <w:szCs w:val="18"/>
                <w:color w:val="0000EE"/>
                <w:w w:val="90"/>
              </w:rPr>
              <w:t>EXPERTS</w:t>
            </w:r>
          </w:p>
        </w:tc>
        <w:tc>
          <w:tcPr>
            <w:tcW w:w="9820" w:type="dxa"/>
            <w:vAlign w:val="bottom"/>
            <w:tcBorders>
              <w:bottom w:val="single" w:sz="8" w:color="CCEEFF"/>
            </w:tcBorders>
            <w:gridSpan w:val="3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S-12</w:t>
            </w:r>
          </w:p>
        </w:tc>
      </w:tr>
      <w:tr>
        <w:trPr>
          <w:trHeight w:val="176"/>
        </w:trPr>
        <w:tc>
          <w:tcPr>
            <w:tcW w:w="10600" w:type="dxa"/>
            <w:vAlign w:val="bottom"/>
            <w:gridSpan w:val="31"/>
          </w:tcPr>
          <w:p>
            <w:pPr>
              <w:spacing w:after="0" w:line="176" w:lineRule="exact"/>
              <w:rPr>
                <w:sz w:val="20"/>
                <w:szCs w:val="20"/>
                <w:color w:val="auto"/>
              </w:rPr>
            </w:pPr>
            <w:r>
              <w:rPr>
                <w:rFonts w:ascii="Arial" w:cs="Arial" w:eastAsia="Arial" w:hAnsi="Arial"/>
                <w:sz w:val="18"/>
                <w:szCs w:val="18"/>
                <w:color w:val="0000EE"/>
              </w:rPr>
              <w:t>WHERE YOU CAN FIND MORE INFORMATION</w:t>
            </w: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S-12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31"/>
            <w:shd w:val="clear" w:color="auto" w:fill="CCEEFF"/>
          </w:tcPr>
          <w:p>
            <w:pPr>
              <w:spacing w:after="0" w:line="176" w:lineRule="exact"/>
              <w:rPr>
                <w:sz w:val="20"/>
                <w:szCs w:val="20"/>
                <w:color w:val="auto"/>
              </w:rPr>
            </w:pPr>
            <w:r>
              <w:rPr>
                <w:rFonts w:ascii="Arial" w:cs="Arial" w:eastAsia="Arial" w:hAnsi="Arial"/>
                <w:sz w:val="18"/>
                <w:szCs w:val="18"/>
                <w:color w:val="0000EE"/>
              </w:rPr>
              <w:t>INCORPORATION OF CERTAIN DOCUMENTS BY REFERENCE</w:t>
            </w: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S-13</w:t>
            </w:r>
          </w:p>
        </w:tc>
      </w:tr>
      <w:tr>
        <w:trPr>
          <w:trHeight w:val="453"/>
        </w:trPr>
        <w:tc>
          <w:tcPr>
            <w:tcW w:w="7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4020" w:type="dxa"/>
            <w:vAlign w:val="bottom"/>
            <w:tcBorders>
              <w:top w:val="single" w:sz="8" w:color="CCEEFF"/>
            </w:tcBorders>
          </w:tcPr>
          <w:p>
            <w:pPr>
              <w:spacing w:after="0"/>
              <w:rPr>
                <w:sz w:val="24"/>
                <w:szCs w:val="24"/>
                <w:color w:val="auto"/>
              </w:rPr>
            </w:pPr>
          </w:p>
        </w:tc>
        <w:tc>
          <w:tcPr>
            <w:tcW w:w="640" w:type="dxa"/>
            <w:vAlign w:val="bottom"/>
            <w:tcBorders>
              <w:top w:val="single" w:sz="8" w:color="CCEEFF"/>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7"/>
              </w:rPr>
              <w:t>Pages</w:t>
            </w: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600" w:type="dxa"/>
            <w:vAlign w:val="bottom"/>
            <w:gridSpan w:val="31"/>
            <w:shd w:val="clear" w:color="auto" w:fill="CCEEFF"/>
          </w:tcPr>
          <w:p>
            <w:pPr>
              <w:spacing w:after="0"/>
              <w:rPr>
                <w:sz w:val="20"/>
                <w:szCs w:val="20"/>
                <w:color w:val="auto"/>
              </w:rPr>
            </w:pPr>
            <w:r>
              <w:rPr>
                <w:rFonts w:ascii="Arial" w:cs="Arial" w:eastAsia="Arial" w:hAnsi="Arial"/>
                <w:sz w:val="18"/>
                <w:szCs w:val="18"/>
                <w:b w:val="1"/>
                <w:bCs w:val="1"/>
                <w:color w:val="auto"/>
              </w:rPr>
              <w:t>PROSPECTUS SUPPLEMENT</w:t>
            </w:r>
          </w:p>
        </w:tc>
        <w:tc>
          <w:tcPr>
            <w:tcW w:w="640" w:type="dxa"/>
            <w:vAlign w:val="bottom"/>
            <w:shd w:val="clear" w:color="auto" w:fill="CCEEFF"/>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96"/>
        </w:trPr>
        <w:tc>
          <w:tcPr>
            <w:tcW w:w="2200" w:type="dxa"/>
            <w:vAlign w:val="bottom"/>
            <w:tcBorders>
              <w:bottom w:val="single" w:sz="8" w:color="0000EE"/>
            </w:tcBorders>
            <w:gridSpan w:val="14"/>
            <w:shd w:val="clear" w:color="auto" w:fill="CCEEFF"/>
          </w:tcPr>
          <w:p>
            <w:pPr>
              <w:spacing w:after="0" w:line="176" w:lineRule="exact"/>
              <w:rPr>
                <w:sz w:val="20"/>
                <w:szCs w:val="20"/>
                <w:color w:val="auto"/>
              </w:rPr>
            </w:pPr>
            <w:r>
              <w:rPr>
                <w:rFonts w:ascii="Arial" w:cs="Arial" w:eastAsia="Arial" w:hAnsi="Arial"/>
                <w:sz w:val="18"/>
                <w:szCs w:val="18"/>
                <w:b w:val="1"/>
                <w:bCs w:val="1"/>
                <w:color w:val="0000EE"/>
                <w:w w:val="98"/>
              </w:rPr>
              <w:t>PROSPECTUS SUMMARY</w:t>
            </w:r>
          </w:p>
        </w:tc>
        <w:tc>
          <w:tcPr>
            <w:tcW w:w="8400" w:type="dxa"/>
            <w:vAlign w:val="bottom"/>
            <w:tcBorders>
              <w:bottom w:val="single" w:sz="8" w:color="CCEEFF"/>
            </w:tcBorders>
            <w:gridSpan w:val="17"/>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r>
      <w:tr>
        <w:trPr>
          <w:trHeight w:val="176"/>
        </w:trPr>
        <w:tc>
          <w:tcPr>
            <w:tcW w:w="10600" w:type="dxa"/>
            <w:vAlign w:val="bottom"/>
            <w:gridSpan w:val="31"/>
          </w:tcPr>
          <w:p>
            <w:pPr>
              <w:spacing w:after="0" w:line="176" w:lineRule="exact"/>
              <w:rPr>
                <w:sz w:val="20"/>
                <w:szCs w:val="20"/>
                <w:color w:val="auto"/>
              </w:rPr>
            </w:pPr>
            <w:r>
              <w:rPr>
                <w:rFonts w:ascii="Arial" w:cs="Arial" w:eastAsia="Arial" w:hAnsi="Arial"/>
                <w:sz w:val="18"/>
                <w:szCs w:val="18"/>
                <w:b w:val="1"/>
                <w:bCs w:val="1"/>
                <w:color w:val="0000EE"/>
              </w:rPr>
              <w:t>RISK FACTORS</w:t>
            </w: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5660" w:type="dxa"/>
            <w:vAlign w:val="bottom"/>
            <w:tcBorders>
              <w:bottom w:val="single" w:sz="8" w:color="0000EE"/>
            </w:tcBorders>
            <w:gridSpan w:val="29"/>
            <w:shd w:val="clear" w:color="auto" w:fill="CCEEFF"/>
          </w:tcPr>
          <w:p>
            <w:pPr>
              <w:spacing w:after="0" w:line="176" w:lineRule="exact"/>
              <w:rPr>
                <w:sz w:val="20"/>
                <w:szCs w:val="20"/>
                <w:color w:val="auto"/>
              </w:rPr>
            </w:pPr>
            <w:r>
              <w:rPr>
                <w:rFonts w:ascii="Arial" w:cs="Arial" w:eastAsia="Arial" w:hAnsi="Arial"/>
                <w:sz w:val="18"/>
                <w:szCs w:val="18"/>
                <w:b w:val="1"/>
                <w:bCs w:val="1"/>
                <w:color w:val="0000EE"/>
                <w:w w:val="99"/>
              </w:rPr>
              <w:t>SPECIAL NOTE REGARDING FORWARD-LOOKING STATEMENTS</w:t>
            </w:r>
          </w:p>
        </w:tc>
        <w:tc>
          <w:tcPr>
            <w:tcW w:w="4940" w:type="dxa"/>
            <w:vAlign w:val="bottom"/>
            <w:tcBorders>
              <w:bottom w:val="single" w:sz="8" w:color="CCEEFF"/>
            </w:tcBorders>
            <w:gridSpan w:val="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r>
      <w:tr>
        <w:trPr>
          <w:trHeight w:val="175"/>
        </w:trPr>
        <w:tc>
          <w:tcPr>
            <w:tcW w:w="10600" w:type="dxa"/>
            <w:vAlign w:val="bottom"/>
            <w:gridSpan w:val="31"/>
          </w:tcPr>
          <w:p>
            <w:pPr>
              <w:spacing w:after="0" w:line="176" w:lineRule="exact"/>
              <w:rPr>
                <w:sz w:val="20"/>
                <w:szCs w:val="20"/>
                <w:color w:val="auto"/>
              </w:rPr>
            </w:pPr>
            <w:r>
              <w:rPr>
                <w:rFonts w:ascii="Arial" w:cs="Arial" w:eastAsia="Arial" w:hAnsi="Arial"/>
                <w:sz w:val="18"/>
                <w:szCs w:val="18"/>
                <w:b w:val="1"/>
                <w:bCs w:val="1"/>
                <w:color w:val="0000EE"/>
              </w:rPr>
              <w:t>USE OF PROCEEDS</w:t>
            </w: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6</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31"/>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PLAN OF DISTRIBUTION</w:t>
            </w: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00" w:type="dxa"/>
            <w:vAlign w:val="bottom"/>
            <w:gridSpan w:val="31"/>
          </w:tcPr>
          <w:p>
            <w:pPr>
              <w:spacing w:after="0" w:line="176" w:lineRule="exact"/>
              <w:rPr>
                <w:sz w:val="20"/>
                <w:szCs w:val="20"/>
                <w:color w:val="auto"/>
              </w:rPr>
            </w:pPr>
            <w:r>
              <w:rPr>
                <w:rFonts w:ascii="Arial" w:cs="Arial" w:eastAsia="Arial" w:hAnsi="Arial"/>
                <w:sz w:val="18"/>
                <w:szCs w:val="18"/>
                <w:b w:val="1"/>
                <w:bCs w:val="1"/>
                <w:color w:val="0000EE"/>
              </w:rPr>
              <w:t>DESCRIPTION OF COMMON STOCK</w:t>
            </w: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31"/>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DESCRIPTION OF PREFERRED STOCK</w:t>
            </w: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w:t>
            </w:r>
          </w:p>
        </w:tc>
      </w:tr>
      <w:tr>
        <w:trPr>
          <w:trHeight w:val="175"/>
        </w:trPr>
        <w:tc>
          <w:tcPr>
            <w:tcW w:w="3360" w:type="dxa"/>
            <w:vAlign w:val="bottom"/>
            <w:tcBorders>
              <w:top w:val="single" w:sz="8" w:color="0000EE"/>
            </w:tcBorders>
            <w:gridSpan w:val="20"/>
          </w:tcPr>
          <w:p>
            <w:pPr>
              <w:spacing w:after="0" w:line="176" w:lineRule="exact"/>
              <w:rPr>
                <w:sz w:val="20"/>
                <w:szCs w:val="20"/>
                <w:color w:val="auto"/>
              </w:rPr>
            </w:pPr>
            <w:r>
              <w:rPr>
                <w:rFonts w:ascii="Arial" w:cs="Arial" w:eastAsia="Arial" w:hAnsi="Arial"/>
                <w:sz w:val="18"/>
                <w:szCs w:val="18"/>
                <w:b w:val="1"/>
                <w:bCs w:val="1"/>
                <w:color w:val="0000EE"/>
              </w:rPr>
              <w:t>DESCRIPTION OF WARRANTS</w:t>
            </w:r>
          </w:p>
        </w:tc>
        <w:tc>
          <w:tcPr>
            <w:tcW w:w="7240" w:type="dxa"/>
            <w:vAlign w:val="bottom"/>
            <w:tcBorders>
              <w:top w:val="single" w:sz="8" w:color="CCEEFF"/>
            </w:tcBorders>
            <w:gridSpan w:val="11"/>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11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3220" w:type="dxa"/>
            <w:vAlign w:val="bottom"/>
            <w:tcBorders>
              <w:bottom w:val="single" w:sz="8" w:color="0000EE"/>
            </w:tcBorders>
            <w:gridSpan w:val="18"/>
            <w:shd w:val="clear" w:color="auto" w:fill="CCEEFF"/>
          </w:tcPr>
          <w:p>
            <w:pPr>
              <w:spacing w:after="0" w:line="176" w:lineRule="exact"/>
              <w:rPr>
                <w:sz w:val="20"/>
                <w:szCs w:val="20"/>
                <w:color w:val="auto"/>
              </w:rPr>
            </w:pPr>
            <w:r>
              <w:rPr>
                <w:rFonts w:ascii="Arial" w:cs="Arial" w:eastAsia="Arial" w:hAnsi="Arial"/>
                <w:sz w:val="18"/>
                <w:szCs w:val="18"/>
                <w:b w:val="1"/>
                <w:bCs w:val="1"/>
                <w:color w:val="0000EE"/>
                <w:w w:val="99"/>
              </w:rPr>
              <w:t>DESCRIPTION OF DEBT SECURITIES</w:t>
            </w:r>
          </w:p>
        </w:tc>
        <w:tc>
          <w:tcPr>
            <w:tcW w:w="7380" w:type="dxa"/>
            <w:vAlign w:val="bottom"/>
            <w:tcBorders>
              <w:bottom w:val="single" w:sz="8" w:color="CCEEFF"/>
            </w:tcBorders>
            <w:gridSpan w:val="1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13</w:t>
            </w:r>
          </w:p>
        </w:tc>
      </w:tr>
      <w:tr>
        <w:trPr>
          <w:trHeight w:val="176"/>
        </w:trPr>
        <w:tc>
          <w:tcPr>
            <w:tcW w:w="10600" w:type="dxa"/>
            <w:vAlign w:val="bottom"/>
            <w:gridSpan w:val="31"/>
          </w:tcPr>
          <w:p>
            <w:pPr>
              <w:spacing w:after="0" w:line="176" w:lineRule="exact"/>
              <w:rPr>
                <w:sz w:val="20"/>
                <w:szCs w:val="20"/>
                <w:color w:val="auto"/>
              </w:rPr>
            </w:pPr>
            <w:r>
              <w:rPr>
                <w:rFonts w:ascii="Arial" w:cs="Arial" w:eastAsia="Arial" w:hAnsi="Arial"/>
                <w:sz w:val="18"/>
                <w:szCs w:val="18"/>
                <w:b w:val="1"/>
                <w:bCs w:val="1"/>
                <w:color w:val="0000EE"/>
              </w:rPr>
              <w:t>DESCRIPTION OF RIGHTS</w:t>
            </w: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19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31"/>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DESCRIPTION OF UNITS</w:t>
            </w: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w:t>
            </w:r>
          </w:p>
        </w:tc>
      </w:tr>
      <w:tr>
        <w:trPr>
          <w:trHeight w:val="175"/>
        </w:trPr>
        <w:tc>
          <w:tcPr>
            <w:tcW w:w="2140" w:type="dxa"/>
            <w:vAlign w:val="bottom"/>
            <w:tcBorders>
              <w:top w:val="single" w:sz="8" w:color="0000EE"/>
            </w:tcBorders>
            <w:gridSpan w:val="12"/>
          </w:tcPr>
          <w:p>
            <w:pPr>
              <w:spacing w:after="0" w:line="176" w:lineRule="exact"/>
              <w:rPr>
                <w:sz w:val="20"/>
                <w:szCs w:val="20"/>
                <w:color w:val="auto"/>
              </w:rPr>
            </w:pPr>
            <w:r>
              <w:rPr>
                <w:rFonts w:ascii="Arial" w:cs="Arial" w:eastAsia="Arial" w:hAnsi="Arial"/>
                <w:sz w:val="18"/>
                <w:szCs w:val="18"/>
                <w:b w:val="1"/>
                <w:bCs w:val="1"/>
                <w:color w:val="0000EE"/>
              </w:rPr>
              <w:t>LEGAL MATTERS</w:t>
            </w:r>
          </w:p>
        </w:tc>
        <w:tc>
          <w:tcPr>
            <w:tcW w:w="8460" w:type="dxa"/>
            <w:vAlign w:val="bottom"/>
            <w:tcBorders>
              <w:top w:val="single" w:sz="8" w:color="CCEEFF"/>
            </w:tcBorders>
            <w:gridSpan w:val="19"/>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23</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40" w:type="dxa"/>
            <w:vAlign w:val="bottom"/>
            <w:tcBorders>
              <w:bottom w:val="single" w:sz="8" w:color="0000EE"/>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0000EE"/>
                <w:w w:val="97"/>
              </w:rPr>
              <w:t>EXPERTS</w:t>
            </w:r>
          </w:p>
        </w:tc>
        <w:tc>
          <w:tcPr>
            <w:tcW w:w="9760" w:type="dxa"/>
            <w:vAlign w:val="bottom"/>
            <w:tcBorders>
              <w:bottom w:val="single" w:sz="8" w:color="CCEEFF"/>
            </w:tcBorders>
            <w:gridSpan w:val="2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r>
      <w:tr>
        <w:trPr>
          <w:trHeight w:val="175"/>
        </w:trPr>
        <w:tc>
          <w:tcPr>
            <w:tcW w:w="10600" w:type="dxa"/>
            <w:vAlign w:val="bottom"/>
            <w:gridSpan w:val="31"/>
          </w:tcPr>
          <w:p>
            <w:pPr>
              <w:spacing w:after="0" w:line="176" w:lineRule="exact"/>
              <w:rPr>
                <w:sz w:val="20"/>
                <w:szCs w:val="20"/>
                <w:color w:val="auto"/>
              </w:rPr>
            </w:pPr>
            <w:r>
              <w:rPr>
                <w:rFonts w:ascii="Arial" w:cs="Arial" w:eastAsia="Arial" w:hAnsi="Arial"/>
                <w:sz w:val="18"/>
                <w:szCs w:val="18"/>
                <w:b w:val="1"/>
                <w:bCs w:val="1"/>
                <w:color w:val="0000EE"/>
              </w:rPr>
              <w:t>WHERE YOU CAN FIND MORE INFORMATION</w:t>
            </w: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23</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31"/>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INCORPORATION OF DOCUMENTS BY REFERENCE</w:t>
            </w: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You should rely only on the information incorporated by reference or provided in this prospectus supplement and the accompanying prospectus. Neither we nor the placement agent have authorized anyone to provide you with different information. If anyone provides you with different or inconsistent information, you should not rely on it. This prospectus supplement and the accompanying prospectus do not constitute an offer to sell, or a solicitation of an offer to purchase, the securities offered by this prospectus supplement and the accompanying prospectus in any jurisdiction where it is unlawful to make such offer or solicitation. You should assume that the information contained in this prospectus supplement or the accompanying prospectus, or any document incorporated by reference in this prospectus supplement or the accompanying prospectus, is accurate only as of the date of those respective documents. Neither the delivery of this prospectus supplement nor any distribution of securities pursuant to this prospectus supplement shall, under any circumstances, create any implication that there has been no change in the information set forth or incorporated by reference into this prospectus supplement or in our affairs since the date of this prospectus supplement. Our business, financial condition, results of operations and prospects may have changed since that date.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433705</wp:posOffset>
            </wp:positionV>
            <wp:extent cx="7127875" cy="4718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7875" cy="4718685"/>
                    </a:xfrm>
                    <a:prstGeom prst="rect">
                      <a:avLst/>
                    </a:prstGeom>
                    <a:noFill/>
                  </pic:spPr>
                </pic:pic>
              </a:graphicData>
            </a:graphic>
          </wp:anchor>
        </w:drawing>
        <w:t>ABOUT THIS PROSPECTUS SUPPLEMENT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 registration statement on Form S-3 (File No. 333-250966) utilizing a shelf registration process relating to the securities described in this prospectus supplement was initially filed with the Securities and Exchange Commission, or the SEC, on November 25, 2020 and was declared effective on December 4, 2020.</w:t>
      </w:r>
    </w:p>
    <w:p>
      <w:pPr>
        <w:spacing w:after="0" w:line="18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This document is in two parts. The first part is this prospectus supplement, which describes the specific terms of this offering of securities. The second part is the accompanying prospectus, which provides more general information, some of which may not apply to this offering. The information included or incorporated by reference in this prospectus supplement also adds to, updates and changes information contained or incorporated by reference in the accompanying prospectus. It is also important for you to read and consider all information contained in this prospectus supplement and the accompanying prospectus, including the documents we have referred you to in the section entitled “Where You Can Find More Information” below in this prospectus supplement. If information included or incorporated by reference in this prospectus supplement is inconsistent with the accompanying prospectus or the information incorporated by reference therein, then this prospectus supplement or the information incorporated by reference in this prospectus supplement will apply and will supersede the information in the accompanying prospectus and the documents incorporated by reference therein. You should assume that the information contained in this prospectus supplement, the accompanying prospectus and the documents incorporated by reference is accurate only as of their respective dates.</w:t>
      </w:r>
    </w:p>
    <w:p>
      <w:pPr>
        <w:spacing w:after="0" w:line="16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not, and the placement agent has not, authorized any person to provide you with any information or to make any representation other than as contained in this prospectus supplement or in the accompanying prospectus and the information incorporated by reference herein and therein. We and the placement agent do not take any responsibility for, and can provide no assurance as to the reliability of, any information that others may provide you. The information appearing or incorporated by reference in this prospectus supplement and the accompanying prospectus is accurate only as of the date of this prospectus supplement or the date of the document in which incorporated information appears unless otherwise noted in such documents. Our business, financial condition, results of operations and prospects may have changed since those dates.</w:t>
      </w:r>
    </w:p>
    <w:p>
      <w:pPr>
        <w:spacing w:after="0" w:line="16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distribution of this prospectus supplement and the accompanying prospectus and the offering of the common stock in certain jurisdictions may be restricted by law. We are not, and the placement agent is not, making an offer of the common stock in any jurisdiction where the offer is not permitted. Persons who come into possession of this prospectus supplement and the accompanying prospectus should inform themselves about and observe any such restrictions. This prospectus supplement and the accompanying prospectus do not constitute, and may not be used in connection with, an offer or solicitation by anyone in any jurisdiction in which such offer or solicitation is not authorized or in which the person making such offer or solicitation is not qualified to do so or to any person to whom it is unlawful to make such offer or solicitation.</w:t>
      </w:r>
    </w:p>
    <w:p>
      <w:pPr>
        <w:spacing w:after="0" w:line="17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Unless the context indicates otherwise, in this prospectus supplement and the accompanying prospectus the terms, the terms “Microbot,” the “Company,” “we,” “our” or “us” in this prospectus supplement refer to Microbot Medical Inc. and its wholly-owned subsidiaries.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823" w:right="4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27875" cy="6501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7875" cy="6501765"/>
                    </a:xfrm>
                    <a:prstGeom prst="rect">
                      <a:avLst/>
                    </a:prstGeom>
                    <a:noFill/>
                  </pic:spPr>
                </pic:pic>
              </a:graphicData>
            </a:graphic>
          </wp:anchor>
        </w:drawing>
        <w:t>SPECIAL NOTE REGARDING 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This prospectus supplement and the documents incorporated by reference in this prospectus supplement include forward-looking statements within the meaning of Section 27A of the Securities Act of 1933, as amended, or the Securities Act, and Section 21E of the Securities Exchange Act of 1934, as amended, or the Exchange Act, that relate to future events or our future operations or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In some cases, you can identify forward-looking statements by terminology such as “may”, “should”, “intends”, “expects”, “plans”, “targets”, “anticipates”, “believes”, “estimates”, “will”, “would”, “predicts”, “potential”, or “continue” or the negative of these terms or other comparable terminology. These statements are only predictions and involve known and unknown risks, uncertainties and other factors. The Private Securities Litigation Reform Act of 1995 provides a “safe harbor” for such forward-looking statements. In order to comply with the terms of the safe harbor, we note that a variety of factors could cause actual results and experience to differ materially from the anticipated results or other expectations expressed in the forward-looking statements.</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manufacturing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including the fact that additional trials will be required to confirm the safety and demonstrate the efficacy of our planned products; uncertainty as to whether the U.S. Food and Drug Administration or other regulatory authorities will clear our proposed products for commercialization and sale; the risk that our planned clinical trials or studies could be substantially delayed beyond their expected dates or cause us to incur substantial unanticipated costs; uncertainties in our ability to obtain the capital resources needed to continue our current research and development operations and to conduct the research, preclinical development and clinical trials necessary for regulatory approvals; the uncertainty regarding the outcome of our clinical trials or studies we may conduct in the future; the uncertainty regarding the validity and enforceability of the patents underlying our proposed products; the uncertainty as to whether our preclinical studies will be replicated in humans; the uncertainty whether any of our proposed products will prove clinically safe and effective; the uncertainty of whether we will achieve significant revenue from product sales or become profitable; obsolescence of our technologies; competition from third parties; intellectual property rights of third parties; litigation risks; legal and regulatory developments in Israel; and other risks to which we are subject.</w:t>
      </w:r>
    </w:p>
    <w:p>
      <w:pPr>
        <w:spacing w:after="0" w:line="17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have based these forward-looking statements on our current expectations and projections about future events. We believe that the assumptions and expectations reflected in such forward-looking statements are reasonable, based on information available to us on the date hereof, but we cannot assure you that these assumptions and expectations will prove to have been correct or that we will take any action that we may presently be planning. These forward-looking statements are inherently subject to known and unknown risks and uncertainties. We have included important cautionary statements in this prospectus supplement, in the documents incorporated by reference in this prospectus supplement, and in the sections in our periodic reports, including our most recent Annual Report on Form 10-K, entitled “Business,” “Risk Factors,” and “Management’s Discussion and Analysis of Financial Condition and Results of Operations,” as supplemented by our subsequent Quarterly Reports on Form 10-Q or our Current Reports on Form 8-K, discussing some of the factors that we believe could cause actual results or events to differ materially from the forward-looking statements that we are making including, but are not limited to, research and product development uncertainties, regulatory policies and approval requirements, competition from other similar businesses, market and general economic factors.</w:t>
      </w:r>
    </w:p>
    <w:p>
      <w:pPr>
        <w:spacing w:after="0" w:line="16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light of these assumptions, risks and uncertainties, the results and events discussed in the forward-looking statements contained in this prospectus supplement or in any document incorporated herein by reference might not occur. Investors are cautioned not to place undue reliance on the forward-looking statements, which speak only as of the date of this prospectus supplement or the date of the document incorporated by reference in this prospectus supplement.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823" w:right="4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27875" cy="88677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7875" cy="8867775"/>
                    </a:xfrm>
                    <a:prstGeom prst="rect">
                      <a:avLst/>
                    </a:prstGeom>
                    <a:noFill/>
                  </pic:spPr>
                </pic:pic>
              </a:graphicData>
            </a:graphic>
          </wp:anchor>
        </w:drawing>
        <w:t>PROSPECTUS SUPPLEMENT SUMMARY</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i w:val="1"/>
          <w:iCs w:val="1"/>
          <w:color w:val="auto"/>
        </w:rPr>
        <w:t>The following summary of our business highlights some of the information contained elsewhere in or incorporated by reference into this prospectus supplement. Because this is only a summary, however, it does not contain all of the information that may be important to you. You should carefully read this prospectus supplement and the accompanying base prospectus, including the documents incorporated by reference, which are described under “Where You Can Find Additional Information” and “Incorporation of Certain Information by Reference” in this prospectus supplement. You should also carefully consider the matters discussed in the section in this prospectus supplement entitled “Risk Factors.”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a pre-clinical medical device company specializing in the research, design and development of next generation robotic endoluminal surgery devices targeting the minimally invasive surgery space. We are primarily focused on leveraging our robotic technologies with the goal of redefining surgical robotics while improving surgical outcomes for patients.</w:t>
      </w:r>
    </w:p>
    <w:p>
      <w:pPr>
        <w:spacing w:after="0" w:line="181"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18"/>
          <w:szCs w:val="18"/>
          <w:color w:val="auto"/>
        </w:rPr>
        <w:t>Using our LIBERTY</w:t>
      </w:r>
      <w:r>
        <w:rPr>
          <w:rFonts w:ascii="Arial" w:cs="Arial" w:eastAsia="Arial" w:hAnsi="Arial"/>
          <w:sz w:val="29"/>
          <w:szCs w:val="29"/>
          <w:color w:val="auto"/>
          <w:vertAlign w:val="superscript"/>
        </w:rPr>
        <w:t>®</w:t>
      </w:r>
      <w:r>
        <w:rPr>
          <w:rFonts w:ascii="Arial" w:cs="Arial" w:eastAsia="Arial" w:hAnsi="Arial"/>
          <w:sz w:val="18"/>
          <w:szCs w:val="18"/>
          <w:color w:val="auto"/>
        </w:rPr>
        <w:t xml:space="preserve"> technological platform, we are developing the first ever fully disposable robot for various endovascular interventional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highlight w:val="white"/>
        </w:rPr>
        <w:t>Core-Business Focus Program</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highlight w:val="white"/>
        </w:rPr>
        <w:t>On May 15, 2023, our Board of Directors authorized, and we commenced, a core-business focus program while we seek to raise additional capital to continue development of the LIBERTY robotic system. This core-business focus program includes the cessation of research and development activities not related to LIBERTY, including terminating our agreement with CardioSert Ltd. for that technology, and returning intellectual property relating to the Self Cleaning Shunt (Virob) and TipCat to Technion Research and Development Foundation.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highlight w:val="white"/>
        </w:rPr>
        <w:t>Cost Reduction Plan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highlight w:val="white"/>
        </w:rPr>
        <w:t>On May 15, 2023, in addition to the core-business focus program described above, our Board of Directors authorized, and we commenced, a cost reduction plan while we seek to raise additional capital to continue development of the LIBERTY robotic system. This cost reduction plan includes:</w:t>
      </w:r>
    </w:p>
    <w:p>
      <w:pPr>
        <w:spacing w:after="0" w:line="184" w:lineRule="exact"/>
        <w:rPr>
          <w:sz w:val="20"/>
          <w:szCs w:val="20"/>
          <w:color w:val="auto"/>
        </w:rPr>
      </w:pPr>
    </w:p>
    <w:p>
      <w:pPr>
        <w:ind w:left="660" w:hanging="331"/>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highlight w:val="white"/>
        </w:rPr>
        <w:t>Focus its research &amp; development and regulatory efforts to complete the LIBERTY’s verification and validation process (“V&amp;V”), complete robotics build-up and execute first in human cases outside the USA.</w:t>
      </w:r>
    </w:p>
    <w:p>
      <w:pPr>
        <w:spacing w:after="0" w:line="170" w:lineRule="exact"/>
        <w:rPr>
          <w:rFonts w:ascii="Arial" w:cs="Arial" w:eastAsia="Arial" w:hAnsi="Arial"/>
          <w:sz w:val="18"/>
          <w:szCs w:val="18"/>
          <w:color w:val="auto"/>
        </w:rPr>
      </w:pPr>
    </w:p>
    <w:p>
      <w:pPr>
        <w:ind w:left="660" w:hanging="331"/>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highlight w:val="white"/>
        </w:rPr>
        <w:t>Postpone a Good Laboratory Practice study for LIBERTY until the completion of the V&amp;V.</w:t>
      </w:r>
    </w:p>
    <w:p>
      <w:pPr>
        <w:spacing w:after="0" w:line="225" w:lineRule="exact"/>
        <w:rPr>
          <w:rFonts w:ascii="Arial" w:cs="Arial" w:eastAsia="Arial" w:hAnsi="Arial"/>
          <w:sz w:val="18"/>
          <w:szCs w:val="18"/>
          <w:color w:val="auto"/>
        </w:rPr>
      </w:pPr>
    </w:p>
    <w:p>
      <w:pPr>
        <w:ind w:left="660" w:hanging="331"/>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highlight w:val="white"/>
        </w:rPr>
        <w:t>Harel Gadot, Chairman, our President and CEO, has agreed to a reduction of 50% of his base salary, with terms and conditions with respect to the reduction period to be determined.</w:t>
      </w:r>
    </w:p>
    <w:p>
      <w:pPr>
        <w:spacing w:after="0" w:line="170" w:lineRule="exact"/>
        <w:rPr>
          <w:rFonts w:ascii="Arial" w:cs="Arial" w:eastAsia="Arial" w:hAnsi="Arial"/>
          <w:sz w:val="18"/>
          <w:szCs w:val="18"/>
          <w:color w:val="auto"/>
        </w:rPr>
      </w:pPr>
    </w:p>
    <w:p>
      <w:pPr>
        <w:ind w:left="660" w:hanging="331"/>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highlight w:val="white"/>
        </w:rPr>
        <w:t>All other executive officers have agreed to a reduction of 30-40% of base salary, as follows:</w:t>
      </w:r>
    </w:p>
    <w:p>
      <w:pPr>
        <w:spacing w:after="0" w:line="225" w:lineRule="exact"/>
        <w:rPr>
          <w:rFonts w:ascii="Arial" w:cs="Arial" w:eastAsia="Arial" w:hAnsi="Arial"/>
          <w:sz w:val="18"/>
          <w:szCs w:val="18"/>
          <w:color w:val="auto"/>
        </w:rPr>
      </w:pPr>
    </w:p>
    <w:p>
      <w:pPr>
        <w:jc w:val="both"/>
        <w:ind w:left="1300" w:hanging="323"/>
        <w:spacing w:after="0" w:line="255" w:lineRule="auto"/>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highlight w:val="white"/>
        </w:rPr>
        <w:t>Rachel Vaknin, CFO</w:t>
      </w:r>
      <w:r>
        <w:rPr>
          <w:rFonts w:ascii="Arial" w:cs="Arial" w:eastAsia="Arial" w:hAnsi="Arial"/>
          <w:sz w:val="18"/>
          <w:szCs w:val="18"/>
          <w:color w:val="auto"/>
          <w:highlight w:val="white"/>
        </w:rPr>
        <w:t>. Pursuant to an Addendum to Employment Agreement, Ms. Vaknin’s gross monthly salary was decreased to a</w:t>
      </w:r>
      <w:r>
        <w:rPr>
          <w:rFonts w:ascii="Arial" w:cs="Arial" w:eastAsia="Arial" w:hAnsi="Arial"/>
          <w:sz w:val="18"/>
          <w:szCs w:val="18"/>
          <w:i w:val="1"/>
          <w:iCs w:val="1"/>
          <w:color w:val="auto"/>
          <w:highlight w:val="white"/>
        </w:rPr>
        <w:t xml:space="preserve"> </w:t>
      </w:r>
      <w:r>
        <w:rPr>
          <w:rFonts w:ascii="Arial" w:cs="Arial" w:eastAsia="Arial" w:hAnsi="Arial"/>
          <w:sz w:val="18"/>
          <w:szCs w:val="18"/>
          <w:color w:val="auto"/>
          <w:highlight w:val="white"/>
        </w:rPr>
        <w:t>gross amount of NIS 35,000. Social and fringe benefits due to Ms. Vaknin shall be calculated based upon the updated salary, excluding sick days and vacation days which will continue to be accumulated per her existing employment agreement. Notwithstanding the foregoing, in the event of termination of Ms. Vaknin’s employment, either by us or by Ms. Vaknin, the redemption of accrued vacation days and the payment of prior notice period shall be calculated based on Ms. Vaknin’s salary prior to May 15, 2023.</w:t>
      </w:r>
    </w:p>
    <w:p>
      <w:pPr>
        <w:spacing w:after="0" w:line="192" w:lineRule="exact"/>
        <w:rPr>
          <w:rFonts w:ascii="Arial" w:cs="Arial" w:eastAsia="Arial" w:hAnsi="Arial"/>
          <w:sz w:val="18"/>
          <w:szCs w:val="18"/>
          <w:color w:val="auto"/>
        </w:rPr>
      </w:pPr>
    </w:p>
    <w:p>
      <w:pPr>
        <w:jc w:val="both"/>
        <w:ind w:left="1300" w:hanging="323"/>
        <w:spacing w:after="0" w:line="255" w:lineRule="auto"/>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highlight w:val="white"/>
        </w:rPr>
        <w:t>Simon Sharon, CTO and General Manager</w:t>
      </w:r>
      <w:r>
        <w:rPr>
          <w:rFonts w:ascii="Arial" w:cs="Arial" w:eastAsia="Arial" w:hAnsi="Arial"/>
          <w:sz w:val="18"/>
          <w:szCs w:val="18"/>
          <w:color w:val="auto"/>
          <w:highlight w:val="white"/>
        </w:rPr>
        <w:t>. Pursuant to an Addendum to Employment Agreement, Mr. Sharon’s gross monthly salary</w:t>
      </w:r>
      <w:r>
        <w:rPr>
          <w:rFonts w:ascii="Arial" w:cs="Arial" w:eastAsia="Arial" w:hAnsi="Arial"/>
          <w:sz w:val="18"/>
          <w:szCs w:val="18"/>
          <w:i w:val="1"/>
          <w:iCs w:val="1"/>
          <w:color w:val="auto"/>
          <w:highlight w:val="white"/>
        </w:rPr>
        <w:t xml:space="preserve"> </w:t>
      </w:r>
      <w:r>
        <w:rPr>
          <w:rFonts w:ascii="Arial" w:cs="Arial" w:eastAsia="Arial" w:hAnsi="Arial"/>
          <w:sz w:val="18"/>
          <w:szCs w:val="18"/>
          <w:color w:val="auto"/>
          <w:highlight w:val="white"/>
        </w:rPr>
        <w:t>was decreased to a gross amount of NIS 44,496. Social and fringe benefits due to Mr. Sharon shall be calculated based upon the updated salary, excluding sick days and vacation days which will continue to be accumulated per his existing employment agreement. Notwithstanding the foregoing, in the event of termination of Mr. Sharon’s employment, either by us or by Mr. Sharon, the redemption of accrued vacation days and the payment of prior notice period shall be calculated based on Mr. Sharon’s salary prior to May 15, 2023.</w:t>
      </w:r>
    </w:p>
    <w:p>
      <w:pPr>
        <w:spacing w:after="0" w:line="192" w:lineRule="exact"/>
        <w:rPr>
          <w:rFonts w:ascii="Arial" w:cs="Arial" w:eastAsia="Arial" w:hAnsi="Arial"/>
          <w:sz w:val="18"/>
          <w:szCs w:val="18"/>
          <w:color w:val="auto"/>
        </w:rPr>
      </w:pPr>
    </w:p>
    <w:p>
      <w:pPr>
        <w:jc w:val="both"/>
        <w:ind w:left="1300" w:hanging="323"/>
        <w:spacing w:after="0" w:line="254" w:lineRule="auto"/>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highlight w:val="white"/>
        </w:rPr>
        <w:t>Eyal Morag, CMO</w:t>
      </w:r>
      <w:r>
        <w:rPr>
          <w:rFonts w:ascii="Arial" w:cs="Arial" w:eastAsia="Arial" w:hAnsi="Arial"/>
          <w:sz w:val="18"/>
          <w:szCs w:val="18"/>
          <w:color w:val="auto"/>
          <w:highlight w:val="white"/>
        </w:rPr>
        <w:t>. Pursuant to an Addendum to Employment Agreement, Dr. Morag’s gross monthly salary was decreased to a gross</w:t>
      </w:r>
      <w:r>
        <w:rPr>
          <w:rFonts w:ascii="Arial" w:cs="Arial" w:eastAsia="Arial" w:hAnsi="Arial"/>
          <w:sz w:val="18"/>
          <w:szCs w:val="18"/>
          <w:i w:val="1"/>
          <w:iCs w:val="1"/>
          <w:color w:val="auto"/>
          <w:highlight w:val="white"/>
        </w:rPr>
        <w:t xml:space="preserve"> </w:t>
      </w:r>
      <w:r>
        <w:rPr>
          <w:rFonts w:ascii="Arial" w:cs="Arial" w:eastAsia="Arial" w:hAnsi="Arial"/>
          <w:sz w:val="18"/>
          <w:szCs w:val="18"/>
          <w:color w:val="auto"/>
          <w:highlight w:val="white"/>
        </w:rPr>
        <w:t>amount of NIS 49,440. Social and fringe benefits due to Dr. Morag shall be calculated based upon the updated salary, excluding sick days and vacation days which will continue to be accumulated per his existing employment agreement. Notwithstanding the foregoing, in the event of termination of Dr. Morag’s employment, either by us or by Dr. Morag, the redemption of accrued vacation days and the payment of prior notice period shall be calculated based on Dr. Morag’s salary prior to May 15, 2023. Pursuant to a separate Addendum to Employment Agreement, the advance notice period upon termination of Dr. Morag’s Employment Agreement was shortened to ninety days.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823" w:right="499" w:bottom="1440" w:gutter="0" w:footer="0" w:header="0"/>
        </w:sectPr>
      </w:pPr>
    </w:p>
    <w:bookmarkStart w:id="5" w:name="page6"/>
    <w:bookmarkEnd w:id="5"/>
    <w:p>
      <w:pPr>
        <w:ind w:left="660" w:hanging="331"/>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210185</wp:posOffset>
            </wp:positionH>
            <wp:positionV relativeFrom="page">
              <wp:posOffset>433705</wp:posOffset>
            </wp:positionV>
            <wp:extent cx="7127875" cy="99650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7875" cy="9965055"/>
                    </a:xfrm>
                    <a:prstGeom prst="rect">
                      <a:avLst/>
                    </a:prstGeom>
                    <a:noFill/>
                  </pic:spPr>
                </pic:pic>
              </a:graphicData>
            </a:graphic>
          </wp:anchor>
        </w:drawing>
        <w:t>The independent members of the Board of Directors have agreed to a suspension of their director fees, with reinstatement of such fees to be determined.</w:t>
      </w:r>
    </w:p>
    <w:p>
      <w:pPr>
        <w:spacing w:after="0" w:line="170" w:lineRule="exact"/>
        <w:rPr>
          <w:rFonts w:ascii="Arial" w:cs="Arial" w:eastAsia="Arial" w:hAnsi="Arial"/>
          <w:sz w:val="18"/>
          <w:szCs w:val="18"/>
          <w:color w:val="auto"/>
        </w:rPr>
      </w:pPr>
    </w:p>
    <w:p>
      <w:pPr>
        <w:ind w:left="660" w:hanging="331"/>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Freeze on new hires.</w:t>
      </w:r>
    </w:p>
    <w:p>
      <w:pPr>
        <w:spacing w:after="0" w:line="225" w:lineRule="exact"/>
        <w:rPr>
          <w:rFonts w:ascii="Arial" w:cs="Arial" w:eastAsia="Arial" w:hAnsi="Arial"/>
          <w:sz w:val="18"/>
          <w:szCs w:val="18"/>
          <w:color w:val="auto"/>
        </w:rPr>
      </w:pPr>
    </w:p>
    <w:p>
      <w:pPr>
        <w:jc w:val="both"/>
        <w:ind w:left="660" w:hanging="331"/>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Reduce employee headcount in both the US and Israel offices which are not directly involved in the research &amp; development and/or regulatory process of LIBERTY, while retaining research &amp; development and clinical-related employees to support the completion of the V&amp;V and production of LIBERTY systems.</w:t>
      </w:r>
    </w:p>
    <w:p>
      <w:pPr>
        <w:spacing w:after="0" w:line="183" w:lineRule="exact"/>
        <w:rPr>
          <w:rFonts w:ascii="Arial" w:cs="Arial" w:eastAsia="Arial" w:hAnsi="Arial"/>
          <w:sz w:val="18"/>
          <w:szCs w:val="18"/>
          <w:color w:val="auto"/>
        </w:rPr>
      </w:pPr>
    </w:p>
    <w:p>
      <w:pPr>
        <w:ind w:left="660" w:hanging="331"/>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Professor Moshe Shoham, a co-founder of the Company and currently a member of our Scientific Advisory Board (“SAB”), waived his SAB fees, with fees payable to the remaining SAB members to be restructured.</w:t>
      </w:r>
    </w:p>
    <w:p>
      <w:pPr>
        <w:spacing w:after="0" w:line="170" w:lineRule="exact"/>
        <w:rPr>
          <w:rFonts w:ascii="Arial" w:cs="Arial" w:eastAsia="Arial" w:hAnsi="Arial"/>
          <w:sz w:val="18"/>
          <w:szCs w:val="18"/>
          <w:color w:val="auto"/>
        </w:rPr>
      </w:pPr>
    </w:p>
    <w:p>
      <w:pPr>
        <w:ind w:left="660" w:hanging="331"/>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highlight w:val="white"/>
        </w:rPr>
        <w:t>Postpone CE activities for the LIBERTY device.</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expect that the savings generated from such cost-reduction activities will enable us to continue the V&amp;V and first-in-human cases planned in Brazil or elsewhere, through September 30, 2023, while we continue to seek new sources of financings to stabilize our finances.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highlight w:val="white"/>
        </w:rPr>
        <w:t>First-In-Human Clinical Cases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recently announced that we have initiated preparations for potential First-In-Human cases in Brazil, by engaging with interventional radiologist Prof. Francisco Cesar Carnevale. The engagement with Prof. Carnevale, from University of Sao Paulo Medical School Hospital, is expected to support our intention to conduct a first-in-human clinical trial in Brazil as part of our ongoing clinical and regulatory efforts. The potential clinical cases are expected to commence upon completion of the V&amp;V process of our LIBERTY Robotic system, as well as obtaining the necessary regulatory approvals to perform those cases.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highlight w:val="white"/>
        </w:rPr>
        <w:t>We are also exploring options to conduct First-In-Human trials or cases in other places where the regulatory laws allow.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highlight w:val="white"/>
        </w:rPr>
        <w:t>Catheterization Milestone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highlight w:val="white"/>
        </w:rPr>
        <w:t>On May 3, 2023, we announced that the LIBERTY Robotic system has surpassed its 100th catheterization during multiple pre-clinical studies, with a 95% success rate of reaching pre-determined vascular targets, such as distal branches of hepatic, gastric, splenic, mesenteric, renal and hypogastric arteries. Moreover, all of the procedures were completed without notable signs of intraoperative injury.</w:t>
      </w:r>
    </w:p>
    <w:p>
      <w:pPr>
        <w:spacing w:after="0" w:line="181"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highlight w:val="white"/>
        </w:rPr>
        <w:t>Relating to 48 of such catheterizations, a team of six leading European interventional radiologists used the LIBERTY</w:t>
      </w:r>
      <w:r>
        <w:rPr>
          <w:rFonts w:ascii="Arial" w:cs="Arial" w:eastAsia="Arial" w:hAnsi="Arial"/>
          <w:sz w:val="29"/>
          <w:szCs w:val="29"/>
          <w:color w:val="auto"/>
          <w:highlight w:val="white"/>
          <w:vertAlign w:val="superscript"/>
        </w:rPr>
        <w:t>®</w:t>
      </w:r>
      <w:r>
        <w:rPr>
          <w:rFonts w:ascii="Arial" w:cs="Arial" w:eastAsia="Arial" w:hAnsi="Arial"/>
          <w:sz w:val="18"/>
          <w:szCs w:val="18"/>
          <w:color w:val="auto"/>
          <w:highlight w:val="white"/>
        </w:rPr>
        <w:t xml:space="preserve"> Robotic system and achieved a 100% success rate in an extensive pre-clinical animal study, held at a leading European-based research lab. The team of radiologists utilized the system and performed a total of 48 catheterizations to pre-determined vascular targets including distal branches of hepatic, gastric, splenic, mesenteric, renal, and hypogastric arteries.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additional information related to our business and operations, please refer to the reports incorporated herein by reference, including our Annual Report on Form 10-K for the year ended December 31, 2022 as described under the caption “Incorporation of Documents by Reference” on page S-13 of this prospectus supplement.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highlight w:val="white"/>
        </w:rPr>
        <w:t>Our Company was incorporated on August 2, 1988 in the State of Delaware under the name Cellular Transplants, Inc. The original Certificate of Incorporation was restated on February 14, 1992 to change the name of the Company to CytoTheraputics, Inc. On May 24, 2000, the Certificate of Incorporation as restated was further amended to change the name of the Company to StemCells, Inc. On November 28, 2016, C&amp;RD Israel Ltd., a wholly-owned subsidiary of the Company, completed its merger with and into Microbot Medical Ltd., an Israeli corporation, with Microbot Israel Ltd. surviving as a wholly-owned subsidiary of the Company, or the Merger. Prior to the Merger, the Company was a biopharmaceutical company that operated in one segment: the research, development, and commercialization of stem cell therapeutics and related technologies. Immediately following the closing of the Merger, the business of Microbot Medical Ltd. became our sole focus. In connection with the Merger, we also changed our name from StemCells, Inc. to Microbot Medical Inc. On November 29, 2016, the stock of the Company began trading on the Nasdaq Capital Market under the symbol “MBOT”.</w:t>
      </w:r>
    </w:p>
    <w:p>
      <w:pPr>
        <w:spacing w:after="0" w:line="19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Our principal executive offices are located at 25 Recreation Park Drive, Unit 108, Hingham, Massachusetts 02043. Microbot also has an executive office at 6 Hayozma Street, Yoqneam, P.O.B. 242, Israel 2069204. Our telephone number is (781) 875-3605. We maintain an Internet website at </w:t>
      </w:r>
      <w:r>
        <w:rPr>
          <w:rFonts w:ascii="Arial" w:cs="Arial" w:eastAsia="Arial" w:hAnsi="Arial"/>
          <w:sz w:val="16"/>
          <w:szCs w:val="16"/>
          <w:i w:val="1"/>
          <w:iCs w:val="1"/>
          <w:color w:val="auto"/>
        </w:rPr>
        <w:t>www.microbotmedical.com</w:t>
      </w:r>
      <w:r>
        <w:rPr>
          <w:rFonts w:ascii="Arial" w:cs="Arial" w:eastAsia="Arial" w:hAnsi="Arial"/>
          <w:sz w:val="16"/>
          <w:szCs w:val="16"/>
          <w:color w:val="auto"/>
        </w:rPr>
        <w:t>. The information contained on, connected to or that can be accessed via our website is not part of this prospectus supplement. We have included our website address in this prospectus supplement as an inactive textual reference only and not as an active hyperlink.</w:t>
      </w:r>
    </w:p>
    <w:p>
      <w:pPr>
        <w:spacing w:after="0" w:line="15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Annual Reports on Form 10-K, Quarterly Reports on Form 10-Q, Current Reports on Form 8-K and all amendments to those reports filed or furnished pursuant to Section 13(a) or 15(d) of the Exchange Act, are available free of charge through the investor relations page of our internet website as soon as reasonably practicable after we electronically file such material with, or furnish it to, the SEC.</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 Smaller Reporting Company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 “smaller reporting company” as defined in the Exchange Act, and have elected to take advantage of certain of the scaled disclosures available to smaller reporting companies, including certain of the reduced disclosure obligations in the registration statement of which this prospectus supplement is a part. As a result, the information that we provide to our stockholders may be different than you might receive from other public reporting companies in which you hold equity interests.</w:t>
      </w:r>
    </w:p>
    <w:p>
      <w:pPr>
        <w:sectPr>
          <w:pgSz w:w="11900" w:h="16838" w:orient="portrait"/>
          <w:cols w:equalWidth="0" w:num="1">
            <w:col w:w="10920"/>
          </w:cols>
          <w:pgMar w:left="480" w:top="827" w:right="499" w:bottom="40" w:gutter="0" w:footer="0" w:header="0"/>
        </w:sectPr>
      </w:pPr>
    </w:p>
    <w:bookmarkStart w:id="6" w:name="page7"/>
    <w:bookmarkEnd w:id="6"/>
    <w:p>
      <w:pPr>
        <w:jc w:val="center"/>
        <w:ind w:right="19"/>
        <w:spacing w:after="0"/>
        <w:rPr>
          <w:sz w:val="20"/>
          <w:szCs w:val="20"/>
          <w:color w:val="auto"/>
        </w:rPr>
      </w:pPr>
      <w:r>
        <w:rPr>
          <w:rFonts w:ascii="Arial" w:cs="Arial" w:eastAsia="Arial" w:hAnsi="Arial"/>
          <w:sz w:val="15"/>
          <w:szCs w:val="15"/>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36830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433705</wp:posOffset>
            </wp:positionV>
            <wp:extent cx="7127875" cy="88677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7875" cy="8867775"/>
                    </a:xfrm>
                    <a:prstGeom prst="rect">
                      <a:avLst/>
                    </a:prstGeom>
                    <a:noFill/>
                  </pic:spPr>
                </pic:pic>
              </a:graphicData>
            </a:graphic>
          </wp:anchor>
        </w:drawing>
        <w:t>THE OFFERING</w:t>
      </w:r>
    </w:p>
    <w:p>
      <w:pPr>
        <w:sectPr>
          <w:pgSz w:w="11900" w:h="16838" w:orient="portrait"/>
          <w:cols w:equalWidth="0" w:num="1">
            <w:col w:w="10920"/>
          </w:cols>
          <w:pgMar w:left="480" w:top="823" w:right="49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Common Stock Offered in This Offering</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655,569 shares of our common stock, par value $0.01 per share</w:t>
      </w:r>
    </w:p>
    <w:p>
      <w:pPr>
        <w:spacing w:after="0" w:line="200" w:lineRule="exact"/>
        <w:rPr>
          <w:sz w:val="20"/>
          <w:szCs w:val="20"/>
          <w:color w:val="auto"/>
        </w:rPr>
      </w:pPr>
    </w:p>
    <w:p>
      <w:pPr>
        <w:sectPr>
          <w:pgSz w:w="11900" w:h="16838" w:orient="portrait"/>
          <w:cols w:equalWidth="0" w:num="2">
            <w:col w:w="4200" w:space="720"/>
            <w:col w:w="6000"/>
          </w:cols>
          <w:pgMar w:left="480" w:top="823" w:right="49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Common Stock Outstanding Before This Offering</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8,130,628 shares.</w:t>
      </w:r>
    </w:p>
    <w:p>
      <w:pPr>
        <w:spacing w:after="0" w:line="211" w:lineRule="exact"/>
        <w:rPr>
          <w:sz w:val="20"/>
          <w:szCs w:val="20"/>
          <w:color w:val="auto"/>
        </w:rPr>
      </w:pPr>
    </w:p>
    <w:p>
      <w:pPr>
        <w:sectPr>
          <w:pgSz w:w="11900" w:h="16838" w:orient="portrait"/>
          <w:cols w:equalWidth="0" w:num="2">
            <w:col w:w="4200" w:space="720"/>
            <w:col w:w="6000"/>
          </w:cols>
          <w:pgMar w:left="480" w:top="823" w:right="49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Common Stock to be Outstanding After This Offering</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8,786,197 shares.</w:t>
      </w:r>
    </w:p>
    <w:p>
      <w:pPr>
        <w:spacing w:after="0" w:line="211" w:lineRule="exact"/>
        <w:rPr>
          <w:sz w:val="20"/>
          <w:szCs w:val="20"/>
          <w:color w:val="auto"/>
        </w:rPr>
      </w:pPr>
    </w:p>
    <w:p>
      <w:pPr>
        <w:sectPr>
          <w:pgSz w:w="11900" w:h="16838" w:orient="portrait"/>
          <w:cols w:equalWidth="0" w:num="2">
            <w:col w:w="4200" w:space="720"/>
            <w:col w:w="6000"/>
          </w:cols>
          <w:pgMar w:left="480" w:top="823" w:right="49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estimate the net proceeds from this offering will be approximately $1.19 million after deducting estimated offering expenses payable by us. We currently intend to use the net proceeds from this offering for the continued development,</w:t>
      </w:r>
    </w:p>
    <w:p>
      <w:pPr>
        <w:spacing w:after="0" w:line="1" w:lineRule="exact"/>
        <w:rPr>
          <w:sz w:val="20"/>
          <w:szCs w:val="20"/>
          <w:color w:val="auto"/>
        </w:rPr>
      </w:pPr>
    </w:p>
    <w:p>
      <w:pPr>
        <w:sectPr>
          <w:pgSz w:w="11900" w:h="16838" w:orient="portrait"/>
          <w:cols w:equalWidth="0" w:num="2">
            <w:col w:w="4200" w:space="720"/>
            <w:col w:w="6000"/>
          </w:cols>
          <w:pgMar w:left="480" w:top="823" w:right="499" w:bottom="1440" w:gutter="0" w:footer="0" w:header="0"/>
          <w:type w:val="continuous"/>
        </w:sectPr>
      </w:pPr>
    </w:p>
    <w:p>
      <w:pPr>
        <w:jc w:val="both"/>
        <w:ind w:left="4920"/>
        <w:spacing w:after="0" w:line="292" w:lineRule="auto"/>
        <w:rPr>
          <w:sz w:val="20"/>
          <w:szCs w:val="20"/>
          <w:color w:val="auto"/>
        </w:rPr>
      </w:pPr>
      <w:r>
        <w:rPr>
          <w:rFonts w:ascii="Arial" w:cs="Arial" w:eastAsia="Arial" w:hAnsi="Arial"/>
          <w:sz w:val="16"/>
          <w:szCs w:val="16"/>
          <w:color w:val="auto"/>
        </w:rPr>
        <w:t>commercialization and regulatory activities for the LIBERTY</w:t>
      </w:r>
      <w:r>
        <w:rPr>
          <w:rFonts w:ascii="Arial" w:cs="Arial" w:eastAsia="Arial" w:hAnsi="Arial"/>
          <w:sz w:val="12"/>
          <w:szCs w:val="12"/>
          <w:color w:val="auto"/>
        </w:rPr>
        <w:t>®</w:t>
      </w:r>
      <w:r>
        <w:rPr>
          <w:rFonts w:ascii="Arial" w:cs="Arial" w:eastAsia="Arial" w:hAnsi="Arial"/>
          <w:sz w:val="16"/>
          <w:szCs w:val="16"/>
          <w:color w:val="auto"/>
        </w:rPr>
        <w:t xml:space="preserve"> Robotic System, expansion and development of additional applications derived from our existing intellectual property portfolio, and for working capital and other general corporate purposes. As a result, our management will retain broad discretion in the allocation and use of the net proceeds of this offering, and investors will be relying on the judgment of our management with regard to the use of these net proceeds. Pending application of the net proceeds for the purposes as described above, we expect to invest the net proceeds in short-term, interest-bearing securities, investment grade securities, certificates of deposit or direct or guaranteed obligations of the U.S. government. See “Use of Proceeds” on page S-8.</w:t>
      </w:r>
    </w:p>
    <w:p>
      <w:pPr>
        <w:sectPr>
          <w:pgSz w:w="11900" w:h="16838" w:orient="portrait"/>
          <w:cols w:equalWidth="0" w:num="1">
            <w:col w:w="10920"/>
          </w:cols>
          <w:pgMar w:left="480" w:top="823" w:right="499" w:bottom="1440" w:gutter="0" w:footer="0" w:header="0"/>
          <w:type w:val="continuous"/>
        </w:sectPr>
      </w:pP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Investing in our securities involves a high degree of risk. Before you decide to invest in our common stock, you should carefully read this prospectus supplement in its entirety and carefully consider the risks and uncertainties described in “Risk Factors” beginning on page S-6 of this prospectus supplement, beginning on page 4 of the accompanying base prospectus and in our Annual Report on Form 10-K for the fiscal year ended December 31, 2022, as such risk factors may be amended, updated or modified periodically in our reports filed with the SEC, and the financial data and related notes and the reports incorporated by reference herein and therein.</w:t>
      </w:r>
    </w:p>
    <w:p>
      <w:pPr>
        <w:spacing w:after="0" w:line="181" w:lineRule="exact"/>
        <w:rPr>
          <w:sz w:val="20"/>
          <w:szCs w:val="20"/>
          <w:color w:val="auto"/>
        </w:rPr>
      </w:pPr>
    </w:p>
    <w:p>
      <w:pPr>
        <w:sectPr>
          <w:pgSz w:w="11900" w:h="16838" w:orient="portrait"/>
          <w:cols w:equalWidth="0" w:num="2">
            <w:col w:w="4200" w:space="720"/>
            <w:col w:w="6000"/>
          </w:cols>
          <w:pgMar w:left="480" w:top="823" w:right="499" w:bottom="1440" w:gutter="0" w:footer="0" w:header="0"/>
          <w:type w:val="continuous"/>
        </w:sectPr>
      </w:pPr>
    </w:p>
    <w:p>
      <w:pPr>
        <w:spacing w:after="0"/>
        <w:rPr>
          <w:sz w:val="20"/>
          <w:szCs w:val="20"/>
          <w:color w:val="auto"/>
        </w:rPr>
      </w:pPr>
      <w:r>
        <w:rPr>
          <w:rFonts w:ascii="Arial" w:cs="Arial" w:eastAsia="Arial" w:hAnsi="Arial"/>
          <w:sz w:val="16"/>
          <w:szCs w:val="16"/>
          <w:color w:val="auto"/>
        </w:rPr>
        <w:t>Nasdaq Capital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“MBOT”.</w:t>
      </w:r>
    </w:p>
    <w:p>
      <w:pPr>
        <w:spacing w:after="0" w:line="200" w:lineRule="exact"/>
        <w:rPr>
          <w:sz w:val="20"/>
          <w:szCs w:val="20"/>
          <w:color w:val="auto"/>
        </w:rPr>
      </w:pPr>
    </w:p>
    <w:p>
      <w:pPr>
        <w:sectPr>
          <w:pgSz w:w="11900" w:h="16838" w:orient="portrait"/>
          <w:cols w:equalWidth="0" w:num="2">
            <w:col w:w="4200" w:space="720"/>
            <w:col w:w="6000"/>
          </w:cols>
          <w:pgMar w:left="480" w:top="823" w:right="499" w:bottom="1440" w:gutter="0" w:footer="0" w:header="0"/>
          <w:type w:val="continuous"/>
        </w:sectPr>
      </w:pPr>
    </w:p>
    <w:p>
      <w:pPr>
        <w:spacing w:after="0" w:line="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number of shares of common stock to be outstanding immediately after this offering is based on 8,130,628 shares of our common stock outstanding as of March 31, 2023 and excludes the following securities outstanding on March 31, 2023:</w:t>
      </w:r>
    </w:p>
    <w:p>
      <w:pPr>
        <w:spacing w:after="0" w:line="170" w:lineRule="exact"/>
        <w:rPr>
          <w:sz w:val="20"/>
          <w:szCs w:val="20"/>
          <w:color w:val="auto"/>
        </w:rPr>
      </w:pPr>
    </w:p>
    <w:p>
      <w:pPr>
        <w:ind w:left="1300" w:hanging="323"/>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1,556,179 shares of our common stock issuable upon the exercise of outstanding stock options, with exercise prices ranging from approximately $0.005 to $19.35 and having a weighted-average exercise price of $7.14 per share;</w:t>
      </w:r>
    </w:p>
    <w:p>
      <w:pPr>
        <w:spacing w:after="0" w:line="170" w:lineRule="exact"/>
        <w:rPr>
          <w:rFonts w:ascii="Arial" w:cs="Arial" w:eastAsia="Arial" w:hAnsi="Arial"/>
          <w:sz w:val="18"/>
          <w:szCs w:val="18"/>
          <w:color w:val="auto"/>
        </w:rPr>
      </w:pPr>
    </w:p>
    <w:p>
      <w:pPr>
        <w:ind w:left="1300" w:hanging="323"/>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113,335 shares of our common stock reserved for future grant under our 2017 Equity Incentive Plan;</w:t>
      </w:r>
    </w:p>
    <w:p>
      <w:pPr>
        <w:spacing w:after="0" w:line="225" w:lineRule="exact"/>
        <w:rPr>
          <w:rFonts w:ascii="Arial" w:cs="Arial" w:eastAsia="Arial" w:hAnsi="Arial"/>
          <w:sz w:val="18"/>
          <w:szCs w:val="18"/>
          <w:color w:val="auto"/>
        </w:rPr>
      </w:pPr>
    </w:p>
    <w:p>
      <w:pPr>
        <w:ind w:left="1300" w:hanging="323"/>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514,279 shares of our common stock reserved for future grant under our 2020 Omnibus Performance Award Plan;</w:t>
      </w:r>
    </w:p>
    <w:p>
      <w:pPr>
        <w:spacing w:after="0" w:line="225" w:lineRule="exact"/>
        <w:rPr>
          <w:rFonts w:ascii="Arial" w:cs="Arial" w:eastAsia="Arial" w:hAnsi="Arial"/>
          <w:sz w:val="18"/>
          <w:szCs w:val="18"/>
          <w:color w:val="auto"/>
        </w:rPr>
      </w:pPr>
    </w:p>
    <w:p>
      <w:pPr>
        <w:ind w:left="1300" w:hanging="323"/>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183 shares of our common stock issuable upon the exercise of outstanding warrants expiring in April 2023, at an exercise price per share of $2,754;</w:t>
      </w:r>
    </w:p>
    <w:p>
      <w:pPr>
        <w:spacing w:after="0" w:line="170" w:lineRule="exact"/>
        <w:rPr>
          <w:rFonts w:ascii="Arial" w:cs="Arial" w:eastAsia="Arial" w:hAnsi="Arial"/>
          <w:sz w:val="18"/>
          <w:szCs w:val="18"/>
          <w:color w:val="auto"/>
        </w:rPr>
      </w:pPr>
    </w:p>
    <w:p>
      <w:pPr>
        <w:ind w:left="1300" w:hanging="323"/>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1,022,495 shares of our common stock issuable upon the exercise of outstanding warrants expiring in October 2027, at an exercise price per share of $4.64;</w:t>
      </w:r>
    </w:p>
    <w:p>
      <w:pPr>
        <w:spacing w:after="0" w:line="170" w:lineRule="exact"/>
        <w:rPr>
          <w:rFonts w:ascii="Arial" w:cs="Arial" w:eastAsia="Arial" w:hAnsi="Arial"/>
          <w:sz w:val="18"/>
          <w:szCs w:val="18"/>
          <w:color w:val="auto"/>
        </w:rPr>
      </w:pPr>
    </w:p>
    <w:p>
      <w:pPr>
        <w:ind w:left="1300" w:hanging="323"/>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1,022,495 shares of our common stock issuable upon the exercise of outstanding warrants expiring in October 2024, at an exercise price per share of $4.64;</w:t>
      </w:r>
    </w:p>
    <w:p>
      <w:pPr>
        <w:spacing w:after="0" w:line="170" w:lineRule="exact"/>
        <w:rPr>
          <w:rFonts w:ascii="Arial" w:cs="Arial" w:eastAsia="Arial" w:hAnsi="Arial"/>
          <w:sz w:val="18"/>
          <w:szCs w:val="18"/>
          <w:color w:val="auto"/>
        </w:rPr>
      </w:pPr>
    </w:p>
    <w:p>
      <w:pPr>
        <w:ind w:left="1300" w:hanging="323"/>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93,262 shares of our common stock issuable upon the exercise of outstanding warrants expiring in June 2023, at an exercise price per share of $13.13;</w:t>
      </w:r>
    </w:p>
    <w:p>
      <w:pPr>
        <w:spacing w:after="0" w:line="170" w:lineRule="exact"/>
        <w:rPr>
          <w:rFonts w:ascii="Arial" w:cs="Arial" w:eastAsia="Arial" w:hAnsi="Arial"/>
          <w:sz w:val="18"/>
          <w:szCs w:val="18"/>
          <w:color w:val="auto"/>
        </w:rPr>
      </w:pPr>
    </w:p>
    <w:p>
      <w:pPr>
        <w:ind w:left="1300" w:hanging="323"/>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45,045 shares of our common stock issuable upon the exercise of outstanding warrants expiring in June 2023, at an exercise price per share of $13.88; and</w:t>
      </w:r>
    </w:p>
    <w:p>
      <w:pPr>
        <w:spacing w:after="0" w:line="170" w:lineRule="exact"/>
        <w:rPr>
          <w:rFonts w:ascii="Arial" w:cs="Arial" w:eastAsia="Arial" w:hAnsi="Arial"/>
          <w:sz w:val="18"/>
          <w:szCs w:val="18"/>
          <w:color w:val="auto"/>
        </w:rPr>
      </w:pPr>
    </w:p>
    <w:p>
      <w:pPr>
        <w:ind w:left="1300" w:hanging="323"/>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51,125 shares of our common stock issuable upon the exercise of outstanding warrants expiring in October 2027, at an exercise price per share of $6.11.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indicated, this prospectus supplement assumes no exercise of the placement agent warrants.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823" w:right="49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Investing in our shares of common stock involves a high degree of risk. You should carefully consider the risks, uncertainties and other factors described in our most recent Annual Report on Form 10-K, as supplemented and updated by subsequent Quarterly Reports on Form 10-Q and Current Reports on Form 8-K that we have filed or will filed with the SEC, and in other documents incorporated by reference to our filings with the SEC pursuant to Sections 13(a), 13(c), 14 or 15(d) of the Exchange Act and all other information contained or incorporated by reference in this prospectus supplement and the accompanying base prospectus, including our consolidated financial statements and the related notes, before investing in our common stock. If any of these risks materialize, our business, financial condition or results of operations could be materially harmed. In that case, the trading price of our common stock could decline, and you may lose some or all of your investment. The risks and uncertainties we describe are not the only ones facing us. Additional risks not presently known to us, or that we currently deem immaterial, may also impair our business operations. If any of these risks were to occur, our business, financial condition, or results of operations would likely suffer. In that event, the trading price of our common stock could decline, and you could lose all or part of your investment.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you purchase securities sold in this offering, you will incur immediate dilution.</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Since the price per share of our common stock being offered is higher than the net tangible book value per share of our common stock, you will suffer dilution with respect to the net tangible book value of the shares of common stock you purchase in this offering. Based on a public offering price of $2.20 per share and our net tangible book value as of March 31, 2023, if you purchase securities in this offering, you will suffer immediate dilution of $1.51 per share with respect to the net tangible book value of the common stock. You may experience additional dilution upon exercise of the outstanding stock options and other equity awards that may be granted under our equity incentive plans, exercise of outstanding warrants and when we otherwise issue additional shares of our common stock. For more information, see “Dilution.”</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have broad discretion in the use of the net proceeds from this offering and may not use them effectively, including in connection with pending litigation.</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management will have broad discretion in the application of the net proceeds from this offering,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may not apply the net proceeds from this offering in ways that ultimately increase the value of your investment. The failure by our management to apply these funds effectively could harm our business. Pending their use, we may invest the net proceeds from this offering in short-term, investment-grade, interest-bearing securities or as otherwise provided in our investment policies in effect from time to time. These investments may not yield a favorable return to our stockholders.</w:t>
      </w:r>
    </w:p>
    <w:p>
      <w:pPr>
        <w:spacing w:after="0" w:line="17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were named as the defendant in a lawsuit captioned Empery Asset Master Ltd., Empery Tax Efficient, LP, Empery Tax Efficient II, LP, Hudson Bay Master Fund Ltd., Plaintiffs, against Microbot Medical Inc., Defendant, in the Supreme Court of the State of New York, County of New York (Index No. 651182/2020). The complaint alleges, among other things, that we breached multiple representations and warranties contained in the securities purchase agreement (“SPA”) related to our June 8, 2017 equity financing (the “Financing”), of which the Plaintiffs participated, and fraudulently induced Plaintiffs into signing the SPA. The complaint seeks rescission of the SPA and return of the Plaintiffs’ $6.75 million purchase price with respect to the Financing. We are currently in the discovery phase. Management is unable to assess the likelihood that we will succeed at trial with respect to the SPA or the Financing, having previously lost another lawsuit with respect to the Financing. Our failure to apply the net proceeds from this offering effectively, including to any adverse outcome with respect to the defense or settlement of litigation, could have a material adverse effect on our business, delay our product development and cause the price of our common stock to decline.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may be future sales of our securities or other dilution of our equity, which may adversely affect the market price of our common stock.</w:t>
      </w:r>
    </w:p>
    <w:p>
      <w:pPr>
        <w:spacing w:after="0" w:line="24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are generally not restricted from issuing additional common stock, including any securities that are convertible into or exchangeable for, or that represent the right to receive, common stock; however, we agreed as part of this offering to not issue any common stock or common stock equivalents, or file any registration statement or amendments or supplements thereto, for a period of 45 days from the closing of this offering. The market price of our common stock could decline as a result of sales of common stock or securities that are convertible into or exchangeable for, or that represent the right to receive, common stock after this offering or the perception that such sales could occur.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 w:name="page10"/>
    <w:bookmarkEnd w:id="9"/>
    <w:p>
      <w:pPr>
        <w:spacing w:after="0" w:line="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Even if this offering is successful, we will need to raise additional capital in the future to remain a going concern, which may not be available on acceptable terms, or at all. Failure to obtain this necessary capital when needed may force us to delay, limit or terminate our product development efforts or other operations.</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had significant recurring losses from operations and we do not generate any cash from operations and must raise additional funds in order to continue operating our business. We expect to continue to fund our operations in the future primarily through equity and debt financings, grants from the Israel Innovation Authority and other sources. If additional capital is not available to us when needed or on acceptable terms, we may not be able to continue to operate our business pursuant to our business plan or we may have to discontinue our operations entirely. Based on our cash balance and recurring losses since inception and inadequacy of existing capital resources to fund planned operations during the next 12 months, we will require significant additional funding to continue operations. We will receive net proceeds of approximately $1.19 million from the sale of the securities offered by us in this offering, after deducting the placement agent fees and estimated offering expenses payable by us. We cannot provide assurances that our plans will not change or that changed circumstances will not result in the depletion of our capital resources more rapidly than we currently anticipate. Moreover, if we are unable to continue as a going concern, we may be forced to liquidate our assets and the values we receive for our assets in liquidation or dissolution could be significantly lower than the values reflected in our financial statements.</w:t>
      </w:r>
    </w:p>
    <w:p>
      <w:pPr>
        <w:spacing w:after="0" w:line="18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Any additional fundraising efforts may divert our management from their day-to-day activities, which may adversely affect our ability to develop and commercialize our product candidates. Our ability to raise additional funds will depend, in part, on the success of our product development activities, any clinical trials, regulatory events, our ability to identify and enter into in-licensing or other strategic arrangements, and other events or conditions that may affect our value or prospects, as well as factors related to financial, economic and market conditions, many of which are beyond our control. There can be no assurances that sufficient funds will be available to us when required or on acceptable terms, if at all.</w:t>
      </w:r>
    </w:p>
    <w:p>
      <w:pPr>
        <w:spacing w:after="0" w:line="17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If we are unable to secure additional funds when needed or on acceptable terms, we may be required to defer, reduce or eliminate significant planned expenditures, restructure, curtail or eliminate some or all of our development programs or other operations, dispose of technology or assets, pursue an acquisition of our company by a third party at a price that may result in a loss on investment for our stockholders, enter into arrangements that may require us to relinquish rights to certain of our product candidates, technologies or potential markets, file for bankruptcy or cease operations altogether. Any of these events could have a material adverse effect on our business, financial condition and results of operations. Moreover, if we are unable to obtain additional funds on a timely basis, there will be substantial doubt about our ability to continue as a going concern and increased risk of insolvency and up to a total loss of investment by our stockholders.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anticipate paying dividends on our common stock in the foreseeable future.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currently plan to invest all available funds, including the proceeds from this offering, and future earnings, if any, in the development and growth of our business. We currently do not anticipate paying any cash dividends on our common stock in the foreseeable future. As a result, a rise in the market price of our common stock, which is uncertain and unpredictable, will be your sole source of potential gain in the foreseeable future and you should not rely on an investment in our common stock for dividend income.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market price of our common stock is likely to be highly volatile and could fluctuate widely in price in response to various factors, many of which are beyond our control, including the following:</w:t>
      </w:r>
    </w:p>
    <w:p>
      <w:pPr>
        <w:spacing w:after="0" w:line="170" w:lineRule="exact"/>
        <w:rPr>
          <w:sz w:val="20"/>
          <w:szCs w:val="20"/>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results of our operations and product development efforts;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working capital financing;</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limited “public float” in the hands of a small number of persons whose sales or lack of sales could result in positive or negative pricing pressure on the market price for our common stock;</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execute our business plan;</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sales of our common stock and decline in demand for our common stock;</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regulatory developments;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economic and other external factors;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investor perception of our industry or our prospects;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period-to-period fluctuations in our financial results.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the securities markets have from time to time experienced significant price and volume fluctuations that are unrelated to the operating performance of particular companies. The COVID-19 pandemic has resulted in significant financial market volatility and uncertainty in the recent past. These market fluctuations may also materially and adversely affect the market price of our common stock. As a result, you may be unable to resell your shares of our common stock at a desired price.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selling the securities offered in this prospectus on a “best efforts” basis and may not be able to sell any of the securities offered herein.</w:t>
      </w:r>
    </w:p>
    <w:p>
      <w:pPr>
        <w:spacing w:after="0" w:line="24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have engaged Wainwright to act as placement agent in connection with this offering. While Wainwright will use its reasonable best efforts to arrange for the sale of the securities, they are under no obligation to purchase any of the securities. As a result, there are no firm commitments to purchase any of the securities in this offering. Consequently, there is no guarantee that we will be capable of selling all, or any, of the securities being offered hereby.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41" w:orient="portrait"/>
          <w:cols w:equalWidth="0" w:num="1">
            <w:col w:w="11240"/>
          </w:cols>
          <w:pgMar w:left="320" w:top="665" w:right="339" w:bottom="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estimate the net proceeds to us from the sale of our common stock in this offering, if any, will be approximately $1.19 million after deducting the placement agent fees and estimated offering expenses payable by us.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currently intend to use the net proceeds from this offering for the continued development, commercialization and regulatory activities for the</w:t>
      </w:r>
    </w:p>
    <w:p>
      <w:pPr>
        <w:spacing w:after="0" w:line="42"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LIBERTY</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Robotic System, expansion and development of additional applications derived from our existing intellectual property portfolio, and for working capital and other general corporate purposes. As a result, our management will retain broad discretion in the allocation and use of the net proceeds of this offering, and investors will be relying on the judgment of our management with regard to the use of these net proceeds. Pending application of the net proceeds for the purposes as described above, we expect to invest the net proceeds in short-term, interest-bearing securities, investment grade securities, certificates of deposit or direct or guaranteed obligations of the U.S. government.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you invest in our securities, you will experience immediate and substantial dilution to the extent of the difference between the amount per share paid in this offering and the net tangible book value per share of our common stock immediately after the offering.</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net tangible book value per share is determined by subtracting our total liabilities from our total tangible assets, which is total assets less intangible assets, and dividing this amount by the number of shares of common stock outstanding. The historical net tangible book value of our common stock as of March 31, 2023 was approximately $4,848,000, or $0.60 per share, based on 8,130,628 shares of our common stock outstanding at March 31, 2023.</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After giving effect to the issuance and sale in this offering of 655,569 shares of common stock at the offering price of $2.20 per share, after deducting the estimated placement agent’s fees and estimated offering expenses payable by us, our as adjusted net tangible book value on March 31, 2023, would have been approximately $6,038,912, or $0.69 per share. This represents an immediate increase in the net tangible book value of $0.09 per share attributable to this offering and an immediate dilution of $1.51 per share to the new investors in this offering.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40" w:type="dxa"/>
            <w:vAlign w:val="bottom"/>
          </w:tcPr>
          <w:p>
            <w:pPr>
              <w:ind w:left="660"/>
              <w:spacing w:after="0"/>
              <w:rPr>
                <w:sz w:val="20"/>
                <w:szCs w:val="20"/>
                <w:color w:val="auto"/>
              </w:rPr>
            </w:pPr>
            <w:r>
              <w:rPr>
                <w:rFonts w:ascii="Arial" w:cs="Arial" w:eastAsia="Arial" w:hAnsi="Arial"/>
                <w:sz w:val="18"/>
                <w:szCs w:val="18"/>
                <w:color w:val="auto"/>
              </w:rPr>
              <w:t>The following table illustrates the immediate dilution to the new investors:</w:t>
            </w:r>
          </w:p>
        </w:tc>
        <w:tc>
          <w:tcPr>
            <w:tcW w:w="9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16"/>
        </w:trPr>
        <w:tc>
          <w:tcPr>
            <w:tcW w:w="6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 per share</w:t>
            </w:r>
          </w:p>
        </w:tc>
        <w:tc>
          <w:tcPr>
            <w:tcW w:w="980" w:type="dxa"/>
            <w:vAlign w:val="bottom"/>
            <w:shd w:val="clear" w:color="auto" w:fill="CCEEFF"/>
          </w:tcPr>
          <w:p>
            <w:pPr>
              <w:spacing w:after="0"/>
              <w:rPr>
                <w:sz w:val="18"/>
                <w:szCs w:val="18"/>
                <w:color w:val="auto"/>
              </w:rPr>
            </w:pPr>
          </w:p>
        </w:tc>
        <w:tc>
          <w:tcPr>
            <w:tcW w:w="224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2.20</w:t>
            </w:r>
          </w:p>
        </w:tc>
      </w:tr>
      <w:tr>
        <w:trPr>
          <w:trHeight w:val="216"/>
        </w:trPr>
        <w:tc>
          <w:tcPr>
            <w:tcW w:w="6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Historical net tangible book value per share on March 31, 2023</w:t>
            </w:r>
          </w:p>
        </w:tc>
        <w:tc>
          <w:tcPr>
            <w:tcW w:w="9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224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rPr>
              <w:t>0.60</w:t>
            </w:r>
          </w:p>
        </w:tc>
        <w:tc>
          <w:tcPr>
            <w:tcW w:w="118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tangible book value per share attributable to this offering</w:t>
            </w:r>
          </w:p>
        </w:tc>
        <w:tc>
          <w:tcPr>
            <w:tcW w:w="980" w:type="dxa"/>
            <w:vAlign w:val="bottom"/>
            <w:shd w:val="clear" w:color="auto" w:fill="CCEEFF"/>
          </w:tcPr>
          <w:p>
            <w:pPr>
              <w:spacing w:after="0"/>
              <w:rPr>
                <w:sz w:val="18"/>
                <w:szCs w:val="18"/>
                <w:color w:val="auto"/>
              </w:rPr>
            </w:pPr>
          </w:p>
        </w:tc>
        <w:tc>
          <w:tcPr>
            <w:tcW w:w="224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rPr>
              <w:t>0.09</w:t>
            </w:r>
          </w:p>
        </w:tc>
        <w:tc>
          <w:tcPr>
            <w:tcW w:w="118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2"/>
        </w:trPr>
        <w:tc>
          <w:tcPr>
            <w:tcW w:w="6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As adjusted net tangible book value per share as of March 31, 2023, after giving effect to this</w:t>
            </w:r>
          </w:p>
        </w:tc>
        <w:tc>
          <w:tcPr>
            <w:tcW w:w="98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offering</w:t>
            </w:r>
          </w:p>
        </w:tc>
        <w:tc>
          <w:tcPr>
            <w:tcW w:w="98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0.69</w:t>
            </w:r>
          </w:p>
        </w:tc>
      </w:tr>
      <w:tr>
        <w:trPr>
          <w:trHeight w:val="216"/>
        </w:trPr>
        <w:tc>
          <w:tcPr>
            <w:tcW w:w="6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in this offering</w:t>
            </w:r>
          </w:p>
        </w:tc>
        <w:tc>
          <w:tcPr>
            <w:tcW w:w="980" w:type="dxa"/>
            <w:vAlign w:val="bottom"/>
            <w:shd w:val="clear" w:color="auto" w:fill="CCEEFF"/>
          </w:tcPr>
          <w:p>
            <w:pPr>
              <w:spacing w:after="0"/>
              <w:rPr>
                <w:sz w:val="18"/>
                <w:szCs w:val="18"/>
                <w:color w:val="auto"/>
              </w:rPr>
            </w:pPr>
          </w:p>
        </w:tc>
        <w:tc>
          <w:tcPr>
            <w:tcW w:w="224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1.51</w:t>
            </w: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foregoing discussion and table do not take into account further dilution to new investors that could occur upon the exercise of outstanding options or warrants.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above discussion and table are based on 8,130,628 shares of our common stock outstanding as of March 31, 2023 and excludes the following securities outstanding on March 31, 2023:</w:t>
      </w:r>
    </w:p>
    <w:p>
      <w:pPr>
        <w:spacing w:after="0" w:line="170" w:lineRule="exact"/>
        <w:rPr>
          <w:sz w:val="20"/>
          <w:szCs w:val="20"/>
          <w:color w:val="auto"/>
        </w:rPr>
      </w:pPr>
    </w:p>
    <w:p>
      <w:pPr>
        <w:ind w:left="1300" w:hanging="320"/>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1,556,179 shares of our common stock issuable upon the exercise of outstanding stock options, with exercise prices ranging from approximately $0.005 to $19.35 and having a weighted-average exercise price of $7.14 per share;</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113,335 shares of our common stock reserved for future grant under our 2017 Equity Incentive Plan;</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514,279 shares of our common stock reserved for future grant under our 2020 Omnibus Performance Award Plan;</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183 shares of our common stock issuable upon the exercise of outstanding warrants expiring in April 2023, at an exercise price per share of $2,754;</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1,022,495 shares of our common stock issuable upon the exercise of outstanding warrants expiring in October 2027, at an exercise price per share of $4.64;</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1,022,495 shares of our common stock issuable upon the exercise of outstanding warrants expiring in October 2024, at an exercise price per share of $4.64;</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93,262 shares of our common stock issuable upon the exercise of outstanding warrants expiring in June 2023, at an exercise price per share of $13.13;</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45,045 shares of our common stock issuable upon the exercise of outstanding warrants expiring in June 2023, at an exercise price per share of $13.88; and</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51,125 shares of our common stock issuable upon the exercise of outstanding warrants expiring in October 2027, at an exercise price per share of $6.11.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indicated, this prospectus supplement assumes no exercise of the placement agent warrants.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DESCRIPTION OF THE SECURITIES WE ARE OFFERING</w:t>
      </w:r>
    </w:p>
    <w:p>
      <w:pPr>
        <w:spacing w:after="0" w:line="22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We are offering shares of common stock. The following description of our shares of common stock summarizes the material terms and provisions thereof, including the material terms of the shares of common stock we are offering under this prospectus supplement and the accompanying prospectus.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For a description of the rights associated with the common stock, see “Description of Common Stock” in the accompanying prospectus. Our common stock is listed on The Nasdaq Capital Market under the symbol “MBOT.” Our transfer agent is Computershare Trust Company, N.A.</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Pursuant to an engagement letter agreement dated May 16, 2023, we have engaged H.C. Wainwright &amp; Co., LLC, referred to herein as Wainwright or the placement agent, to act as our exclusive placement agent in connection with this offering. Under the terms of the engagement letter, Wainwright is not purchasing the securities offered by us in this offering, and is not required to sell any specific number or dollar amount of securities, but will assist us in this offering on a reasonable best efforts basis. The terms of this offering were subject to market conditions and negotiations between us, Wainwright and prospective investors. Wainwright will have no authority to bind us by virtue of the engagement letter. Wainwright may engage sub-agents or selected dealers to assist with this offering. We may not sell the entire amount of our shares of Common Stock offered pursuant to this prospectus supplement.</w:t>
      </w:r>
    </w:p>
    <w:p>
      <w:pPr>
        <w:spacing w:after="0" w:line="16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placement agent proposes to arrange for the sale of the securities we are offering pursuant to this prospectus supplement and accompanying prospectus to one or more institutional or accredited investors through securities purchase agreements directly between the purchaser and us. We will only sell to such investors who have entered into the securities purchase agreement with us.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Delivery of the securities offered hereby is expected to take place on or about May 23, 2023, subject to satisfaction of customary closing conditions.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agreed to pay the placement agent a cash fee of 7.0% of the aggregate gross proceeds raised in the offering, as well as a management fee equal to 1.0% of the gross proceeds raised in this offering. The following table shows the per share and total cash fees we will pay to the placement agent in connection with the sale of our securities offered pursuant to this prospectus supplement and the accompanying prospectus, assuming the purchase of all of the securities offered hereby.</w:t>
      </w:r>
    </w:p>
    <w:p>
      <w:pPr>
        <w:spacing w:after="0" w:line="196" w:lineRule="exact"/>
        <w:rPr>
          <w:sz w:val="20"/>
          <w:szCs w:val="20"/>
          <w:color w:val="auto"/>
        </w:rPr>
      </w:pPr>
    </w:p>
    <w:tbl>
      <w:tblPr>
        <w:tblLayout w:type="fixed"/>
        <w:tblInd w:w="1120" w:type="dxa"/>
        <w:tblCellMar>
          <w:top w:w="0" w:type="dxa"/>
          <w:left w:w="0" w:type="dxa"/>
          <w:bottom w:w="0" w:type="dxa"/>
          <w:right w:w="0" w:type="dxa"/>
        </w:tblCellMar>
      </w:tblPr>
      <w:tr>
        <w:trPr>
          <w:trHeight w:val="241"/>
        </w:trPr>
        <w:tc>
          <w:tcPr>
            <w:tcW w:w="40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Per Share</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Total</w:t>
            </w:r>
          </w:p>
        </w:tc>
      </w:tr>
      <w:tr>
        <w:trPr>
          <w:trHeight w:val="216"/>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Offering price</w:t>
            </w:r>
          </w:p>
        </w:tc>
        <w:tc>
          <w:tcPr>
            <w:tcW w:w="15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1,442,251.80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tcPr>
          <w:p>
            <w:pPr>
              <w:ind w:left="20"/>
              <w:spacing w:after="0"/>
              <w:rPr>
                <w:sz w:val="20"/>
                <w:szCs w:val="20"/>
                <w:color w:val="auto"/>
              </w:rPr>
            </w:pPr>
            <w:r>
              <w:rPr>
                <w:rFonts w:ascii="Arial" w:cs="Arial" w:eastAsia="Arial" w:hAnsi="Arial"/>
                <w:sz w:val="18"/>
                <w:szCs w:val="18"/>
                <w:color w:val="auto"/>
              </w:rPr>
              <w:t>Placement agent’s fees (1)</w:t>
            </w:r>
          </w:p>
        </w:tc>
        <w:tc>
          <w:tcPr>
            <w:tcW w:w="17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0.154</w:t>
            </w:r>
          </w:p>
        </w:tc>
        <w:tc>
          <w:tcPr>
            <w:tcW w:w="46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100,957.63</w:t>
            </w:r>
          </w:p>
        </w:tc>
      </w:tr>
      <w:tr>
        <w:trPr>
          <w:trHeight w:val="216"/>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before expenses, to us (2)</w:t>
            </w:r>
          </w:p>
        </w:tc>
        <w:tc>
          <w:tcPr>
            <w:tcW w:w="17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2.046</w:t>
            </w:r>
          </w:p>
        </w:tc>
        <w:tc>
          <w:tcPr>
            <w:tcW w:w="46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1,341,294.17</w:t>
            </w:r>
          </w:p>
        </w:tc>
      </w:tr>
    </w:tbl>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we have agreed to reimburse the placement agent for its non-accountable expenses in the amount of $25,000, for its fees and expenses of legal counsel in the amount of up to $35,000, and for its clearing expenses in the amount of $15,950. We estimate the total offering expenses of this offering that will be payable by us, excluding the placement agent’s fees and expenses, will be approximately $60,000.</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we will issue to the placement agent, or its designees, warrants to purchase up to 32,778 shares of Common Stock. The placement agent warrants will be exercisable six months following issuance, will have an exercise price equal to $2.75 and will have a term of three and a half years from the commencement of sales in this offering.</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securities purchase agreement that we entered into with certain investors prohibits, with certain limited exceptions, us: (i) for five (5) trading days following the closing date from issuing any shares of Common Stock or Common Stock Equivalents (as defined in the securities purchase agreement) or filing any registration statement (other than a Form S-8), and (ii) for twelve (12) months following the closing date from issuing any shares of Common Stock or Common Stock Equivalents in a Variable Rate Transaction (as defined in the securities purchase agreement).</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granted Wainwright, subject to certain exceptions, a right of first refusal for a period of twelve (12) months following the consummation of this offering to act as our exclusive underwriter or placement agent for any further capital raising transactions undertaken by us or any of our subsidiaries.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event that any investor whom the placement agent had contacted during the term of its engagement or introduced to the Company during the term of our engagement of the placement agent provides any capital to us, in a public or private offering or other financing or capital-raising transaction of any kind, within the six (6) months following the expiration of termination of the engagement of the placement agent, we shall pay the placement agent the cash compensation provided above, calculated in the same manner.</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agreed to indemnify the placement agent and specified other persons against certain liabilities relating to or arising out of the placement agent’s activities under its engagement letter, including liabilities under the Securities Act, and to contribute to payments that the placement agent may be required to make in respect of such liabilities.</w:t>
      </w:r>
    </w:p>
    <w:p>
      <w:pPr>
        <w:spacing w:after="0" w:line="1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placement agent may be deemed to be an underwriter within the meaning of Section 2(a)(11) of the Securities Act, and any commissions received by it and any profit realized on the sale of our securities offered hereby by it while acting as principal might be deemed to be underwriting discounts or commissions under the Securities Act. The placement agent will be required to comply with the requirements of the Securities Act and the Exchange Act, including, without limitation, Rule 10b-5 and Regulation M under the Exchange Act. These rules and regulations may limit the timing of purchases and sales of our securities by the placement agent. Under these rules and regulations, the placement agent may not (i) engage in any stabilization activity in connection with our securities; and (ii) bid for or purchase any of our securities or attempt to induce any person to purchase any of our securities, other than as permitted under the Exchange Act, until they have completed their participation in the distribution.</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time to time, the placement agent or its affiliates may provide in the future various advisory, investment and commercial banking and other services to us in the ordinary course of business, for which they have received and may continue to receive customary fees and commissions. However, except as disclosed in this prospectus supplement, we have no present arrangements with the placement agent for any further services.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shares of Common Stock trade on the Nasdaq Capital Market under the ticker symbol “MBOT.”</w:t>
      </w:r>
    </w:p>
    <w:p>
      <w:pPr>
        <w:sectPr>
          <w:pgSz w:w="11900" w:h="16838" w:orient="portrait"/>
          <w:cols w:equalWidth="0" w:num="1">
            <w:col w:w="11240"/>
          </w:cols>
          <w:pgMar w:left="320" w:top="661" w:right="339" w:bottom="0" w:gutter="0" w:footer="0" w:header="0"/>
        </w:sectPr>
      </w:pPr>
    </w:p>
    <w:bookmarkStart w:id="14" w:name="page15"/>
    <w:bookmarkEnd w:id="14"/>
    <w:p>
      <w:pPr>
        <w:jc w:val="center"/>
        <w:spacing w:after="0"/>
        <w:rPr>
          <w:sz w:val="20"/>
          <w:szCs w:val="20"/>
          <w:color w:val="auto"/>
        </w:rPr>
      </w:pPr>
      <w:r>
        <w:rPr>
          <w:rFonts w:ascii="Arial" w:cs="Arial" w:eastAsia="Arial" w:hAnsi="Arial"/>
          <w:sz w:val="16"/>
          <w:szCs w:val="16"/>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validity of the shares being offered under this prospectus supplement by us will be passed upon for us by Mintz, Levin, Cohn, Ferris, Glovsky and Popeo, P.C., Boston, Massachusetts. Ellenoff Grossman &amp; Schole LLP, New York, New York is counsel to the placement agent in connection with this offering.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consolidated financial statements of Microbot Medical Inc. as of December 31, 2022, and for the year then ended, incorporated by reference in this prospectus supplement and the registration statement of which this prospectus forms a part have been audited by Brightman Almagor Zohar &amp; Co., a Member of Deloitte Touche Tohmatsu Limited, independent registered public accounting firm, as set forth in its report thereon incorporated by reference herein, and are included in reliance upon such reports given on the authority of such firms as experts in accounting and auditing.</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We are subject to the reporting requirements of the Exchange Act and file annual, quarterly and current reports, proxy statements and other information with the SEC. You may read and copy these reports, proxy statements and other information at the SEC’s public reference facilities at 100 F Street, N.E., Room 1580, Washington, D.C. 20549. You can request copies of these documents by writing to the SEC and paying a fee for the copying cost. Please call the SEC at 1-800-SEC-0330 for more information about the operation of the public reference facilities. SEC filings are also available at the SEC’s website at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prospectus supplement and the accompanying prospectus are only part of a registration statement on Form S-3 that we have filed with the SEC under the Securities Act and therefore omit certain information contained in the registration statement. We have also filed exhibits and schedules with the registration statement that are excluded from this prospectus supplement and the accompanying prospectus, and you should refer to the applicable exhibit or schedule for a complete description of any statement referring to any contract or other document. You may inspect a copy of the registration statement, including the exhibits and schedules, without charge, at the public reference room or obtain a copy from the SEC upon payment of the fees prescribed by the SEC.</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We also maintain a website at </w:t>
      </w:r>
      <w:r>
        <w:rPr>
          <w:rFonts w:ascii="Arial" w:cs="Arial" w:eastAsia="Arial" w:hAnsi="Arial"/>
          <w:sz w:val="18"/>
          <w:szCs w:val="18"/>
          <w:i w:val="1"/>
          <w:iCs w:val="1"/>
          <w:color w:val="auto"/>
        </w:rPr>
        <w:t>www.microbotmedical.com</w:t>
      </w:r>
      <w:r>
        <w:rPr>
          <w:rFonts w:ascii="Arial" w:cs="Arial" w:eastAsia="Arial" w:hAnsi="Arial"/>
          <w:sz w:val="18"/>
          <w:szCs w:val="18"/>
          <w:color w:val="auto"/>
        </w:rPr>
        <w:t>, through which you can access our SEC filings. The information set forth on our website is not part of this prospectus supplement or the accompanying prospectus.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incorporate by reference into this prospectus and the registration statement of which this prospectus is a part the information or documents listed below that we have filed with the SEC (Commission File No. 001-19871):</w:t>
      </w:r>
    </w:p>
    <w:p>
      <w:pPr>
        <w:spacing w:after="0" w:line="170" w:lineRule="exact"/>
        <w:rPr>
          <w:sz w:val="20"/>
          <w:szCs w:val="20"/>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28">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2022 filed with the SEC on March 31, 2023;</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29">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March 31, 2023 filed with the SEC on May 17, 2023;</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30">
        <w:r>
          <w:rPr>
            <w:rFonts w:ascii="Arial" w:cs="Arial" w:eastAsia="Arial" w:hAnsi="Arial"/>
            <w:sz w:val="18"/>
            <w:szCs w:val="18"/>
            <w:u w:val="single" w:color="auto"/>
            <w:color w:val="0000EE"/>
          </w:rPr>
          <w:t>January 23, 2023</w:t>
        </w:r>
      </w:hyperlink>
      <w:r>
        <w:rPr>
          <w:rFonts w:ascii="Arial" w:cs="Arial" w:eastAsia="Arial" w:hAnsi="Arial"/>
          <w:sz w:val="18"/>
          <w:szCs w:val="18"/>
          <w:color w:val="auto"/>
        </w:rPr>
        <w:t xml:space="preserve">, </w:t>
      </w:r>
      <w:hyperlink r:id="rId31">
        <w:r>
          <w:rPr>
            <w:rFonts w:ascii="Arial" w:cs="Arial" w:eastAsia="Arial" w:hAnsi="Arial"/>
            <w:sz w:val="18"/>
            <w:szCs w:val="18"/>
            <w:u w:val="single" w:color="auto"/>
            <w:color w:val="0000EE"/>
          </w:rPr>
          <w:t>May 18,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32">
        <w:r>
          <w:rPr>
            <w:rFonts w:ascii="Arial" w:cs="Arial" w:eastAsia="Arial" w:hAnsi="Arial"/>
            <w:sz w:val="18"/>
            <w:szCs w:val="18"/>
            <w:u w:val="single" w:color="auto"/>
            <w:color w:val="0000EE"/>
          </w:rPr>
          <w:t>May 22,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(except in each case for information contained therein which is furnished rather than filed); and</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with the SEC on August 3, 1998, including all amendments and reports filed for the purpose of updating such description.</w:t>
      </w:r>
    </w:p>
    <w:p>
      <w:pPr>
        <w:spacing w:after="0" w:line="170" w:lineRule="exact"/>
        <w:rPr>
          <w:rFonts w:ascii="Arial" w:cs="Arial" w:eastAsia="Arial" w:hAnsi="Arial"/>
          <w:sz w:val="18"/>
          <w:szCs w:val="18"/>
          <w:color w:val="auto"/>
        </w:rPr>
      </w:pPr>
    </w:p>
    <w:p>
      <w:pPr>
        <w:jc w:val="both"/>
        <w:ind w:firstLine="648"/>
        <w:spacing w:after="0" w:line="259" w:lineRule="auto"/>
        <w:rPr>
          <w:sz w:val="20"/>
          <w:szCs w:val="20"/>
          <w:color w:val="auto"/>
        </w:rPr>
      </w:pPr>
      <w:r>
        <w:rPr>
          <w:rFonts w:ascii="Arial" w:cs="Arial" w:eastAsia="Arial" w:hAnsi="Arial"/>
          <w:sz w:val="18"/>
          <w:szCs w:val="18"/>
          <w:color w:val="auto"/>
        </w:rPr>
        <w:t>All documents we file with the SEC pursuant to Sections 13(a), 13(c), 14 or 15(d) of the Exchange Act, except as to any portion of any report or documents that is not deemed filed under such provisions, on or after the date of this prospectus supplement until the termination of this offering shall be deemed incorporated by reference in this prospectus supplement and the accompanying prospectus and to be a part of this prospectus supplement from the date of filing of those documents.</w:t>
      </w:r>
    </w:p>
    <w:p>
      <w:pPr>
        <w:spacing w:after="0" w:line="187" w:lineRule="exact"/>
        <w:rPr>
          <w:rFonts w:ascii="Arial" w:cs="Arial" w:eastAsia="Arial" w:hAnsi="Arial"/>
          <w:sz w:val="18"/>
          <w:szCs w:val="18"/>
          <w:color w:val="auto"/>
        </w:rPr>
      </w:pPr>
    </w:p>
    <w:p>
      <w:pPr>
        <w:jc w:val="both"/>
        <w:ind w:firstLine="648"/>
        <w:spacing w:after="0" w:line="257" w:lineRule="auto"/>
        <w:rPr>
          <w:sz w:val="20"/>
          <w:szCs w:val="20"/>
          <w:color w:val="auto"/>
        </w:rPr>
      </w:pPr>
      <w:r>
        <w:rPr>
          <w:rFonts w:ascii="Arial" w:cs="Arial" w:eastAsia="Arial" w:hAnsi="Arial"/>
          <w:sz w:val="18"/>
          <w:szCs w:val="18"/>
          <w:color w:val="auto"/>
        </w:rPr>
        <w:t>We will provide to each person, including any beneficial owner, to whom a copy of this prospectus supplement is delivered, a copy of any or all of the information that has been incorporated by reference in this prospectus supplement but not delivered with this prospectus supplement (other than the exhibits to such documents which are not specifically incorporated by reference therein); we will provide this information at no cost to the requester upon written or oral request to: Microbot Medical Inc. Attn: Chief Financial Officer, 25 Recreation Park Drive, Unit 108, Hingham, Massachusetts 02043. You may also telephone us at (781) 875-3605.</w:t>
      </w:r>
    </w:p>
    <w:p>
      <w:pPr>
        <w:spacing w:after="0" w:line="188" w:lineRule="exact"/>
        <w:rPr>
          <w:rFonts w:ascii="Arial" w:cs="Arial" w:eastAsia="Arial" w:hAnsi="Arial"/>
          <w:sz w:val="18"/>
          <w:szCs w:val="18"/>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accordance with Rule 412 of the Securities Act, any statement contained in a document incorporated by reference herein shall be deemed modified or superseded to the extent that a statement contained herein or in any other subsequently filed document which also is or is deemed to be incorporated by reference herein modifies or supersedes such statement.</w:t>
      </w:r>
    </w:p>
    <w:p>
      <w:pPr>
        <w:spacing w:after="0" w:line="184"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S-13</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154305</wp:posOffset>
            </wp:positionV>
            <wp:extent cx="2571750" cy="9429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2571750"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$75,000,000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prospectus will allow us to issue, from time to time at prices and on terms to be determined at or prior to the time of the offering, up to $75,000,000 of any combination of the securities described in this prospectus, either individually or in units. We may also offer common stock or preferred stock upon conversion of or exchange for the debt securities; common stock upon conversion of or exchange for the preferred stock; or common stock, preferred stock or debt securities upon the exercise of warrants or rights.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prospectus describes the general terms of these securities and the general manner in which these securities will be offered. We will provide you with the specific terms of any offering in one or more supplements to this prospectus. The prospectus supplements will also describe the specific manner in which these securities will be offered and may also supplement, update or amend information contained in this document. You should read this prospectus and any prospectus supplement, as well as any documents incorporated by reference into this prospectus or any prospectus supplement, carefully before you invest.</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securities may be sold directly by us to you, through agents designated from time to time or to or through underwriters or dealers. For additional information on the methods of sale, you should refer to the section entitled “Plan of Distribution” in this prospectus and in the applicable prospectus supplement. If any underwriters or agents are involved in the sale of our securities with respect to which this prospectus is being delivered, the names of such underwriters or agents and any applicable fees, commissions or discounts and over-allotment options will be set forth in a prospectus supplement. The price to the public of such securities and the net proceeds that we expect to receive from such sale will also be set forth in a prospectus supplement.</w:t>
      </w:r>
    </w:p>
    <w:p>
      <w:pPr>
        <w:spacing w:after="0" w:line="19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Our common stock is listed on The Nasdaq Capital Market under the symbol “MBOT.” On November 24, 2020, the last reported sale price of our common stock on The Nasdaq Capital Market was $7.25 per share. The applicable prospectus supplement will contain information, where applicable, as to any other listing, if any, on The Nasdaq Capital Market or any securities market or other securities exchange of the securities covered by the prospectus supplement. Prospective purchasers of our securities are urged to obtain current information as to the market prices of our securities, where applicable.</w:t>
      </w:r>
    </w:p>
    <w:p>
      <w:pPr>
        <w:spacing w:after="0" w:line="15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Investing in our securities involves a high degree of risk. Before deciding whether to invest in our securities, you should consider carefully the risks that we have described on page 4 of this prospectus under the caption “Risk Factors.” We may include specific risk factors in supplements to this prospectus under the caption “Risk Factors.” This prospectus may not be used to sell our securities unless accompanied by a prospectus supplement.</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date of this prospectus is December 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80" w:type="dxa"/>
            <w:vAlign w:val="bottom"/>
            <w:gridSpan w:val="4"/>
          </w:tcPr>
          <w:p>
            <w:pPr>
              <w:ind w:left="14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17"/>
                <w:szCs w:val="17"/>
                <w:color w:val="auto"/>
              </w:rPr>
            </w:pPr>
          </w:p>
        </w:tc>
      </w:tr>
      <w:tr>
        <w:trPr>
          <w:trHeight w:val="473"/>
        </w:trPr>
        <w:tc>
          <w:tcPr>
            <w:tcW w:w="84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00" w:type="dxa"/>
            <w:vAlign w:val="bottom"/>
            <w:tcBorders>
              <w:top w:val="single" w:sz="8" w:color="auto"/>
              <w:bottom w:val="single" w:sz="8" w:color="CCEEFF"/>
            </w:tcBorders>
          </w:tcPr>
          <w:p>
            <w:pPr>
              <w:spacing w:after="0"/>
              <w:rPr>
                <w:sz w:val="24"/>
                <w:szCs w:val="24"/>
                <w:color w:val="auto"/>
              </w:rPr>
            </w:pPr>
          </w:p>
        </w:tc>
        <w:tc>
          <w:tcPr>
            <w:tcW w:w="920" w:type="dxa"/>
            <w:vAlign w:val="bottom"/>
            <w:tcBorders>
              <w:top w:val="single" w:sz="8" w:color="auto"/>
              <w:bottom w:val="single" w:sz="8" w:color="CCEEFF"/>
            </w:tcBorders>
          </w:tcPr>
          <w:p>
            <w:pPr>
              <w:spacing w:after="0"/>
              <w:rPr>
                <w:sz w:val="24"/>
                <w:szCs w:val="24"/>
                <w:color w:val="auto"/>
              </w:rPr>
            </w:pPr>
          </w:p>
        </w:tc>
        <w:tc>
          <w:tcPr>
            <w:tcW w:w="402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7"/>
              </w:rPr>
              <w:t>Pages</w:t>
            </w:r>
          </w:p>
        </w:tc>
      </w:tr>
      <w:tr>
        <w:trPr>
          <w:trHeight w:val="196"/>
        </w:trPr>
        <w:tc>
          <w:tcPr>
            <w:tcW w:w="2200" w:type="dxa"/>
            <w:vAlign w:val="bottom"/>
            <w:tcBorders>
              <w:bottom w:val="single" w:sz="8" w:color="0000EE"/>
            </w:tcBorders>
            <w:gridSpan w:val="7"/>
            <w:shd w:val="clear" w:color="auto" w:fill="CCEEFF"/>
          </w:tcPr>
          <w:p>
            <w:pPr>
              <w:spacing w:after="0" w:line="142" w:lineRule="exact"/>
              <w:rPr>
                <w:sz w:val="20"/>
                <w:szCs w:val="20"/>
                <w:color w:val="auto"/>
              </w:rPr>
            </w:pPr>
            <w:r>
              <w:rPr>
                <w:rFonts w:ascii="Arial" w:cs="Arial" w:eastAsia="Arial" w:hAnsi="Arial"/>
                <w:sz w:val="16"/>
                <w:szCs w:val="16"/>
                <w:b w:val="1"/>
                <w:bCs w:val="1"/>
                <w:color w:val="0000EE"/>
              </w:rPr>
              <w:t>PROSPECTUS SUMMARY</w:t>
            </w:r>
          </w:p>
        </w:tc>
        <w:tc>
          <w:tcPr>
            <w:tcW w:w="8400" w:type="dxa"/>
            <w:vAlign w:val="bottom"/>
            <w:tcBorders>
              <w:bottom w:val="single" w:sz="8" w:color="CCEEFF"/>
            </w:tcBorders>
            <w:gridSpan w:val="1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42" w:lineRule="exact"/>
              <w:rPr>
                <w:sz w:val="20"/>
                <w:szCs w:val="20"/>
                <w:color w:val="auto"/>
              </w:rPr>
            </w:pPr>
            <w:r>
              <w:rPr>
                <w:rFonts w:ascii="Arial" w:cs="Arial" w:eastAsia="Arial" w:hAnsi="Arial"/>
                <w:sz w:val="16"/>
                <w:szCs w:val="16"/>
                <w:color w:val="auto"/>
                <w:w w:val="89"/>
              </w:rPr>
              <w:t>1</w:t>
            </w:r>
          </w:p>
        </w:tc>
      </w:tr>
      <w:tr>
        <w:trPr>
          <w:trHeight w:val="175"/>
        </w:trPr>
        <w:tc>
          <w:tcPr>
            <w:tcW w:w="10600" w:type="dxa"/>
            <w:vAlign w:val="bottom"/>
            <w:gridSpan w:val="18"/>
          </w:tcPr>
          <w:p>
            <w:pPr>
              <w:spacing w:after="0" w:line="176" w:lineRule="exact"/>
              <w:rPr>
                <w:sz w:val="20"/>
                <w:szCs w:val="20"/>
                <w:color w:val="auto"/>
              </w:rPr>
            </w:pPr>
            <w:r>
              <w:rPr>
                <w:rFonts w:ascii="Arial" w:cs="Arial" w:eastAsia="Arial" w:hAnsi="Arial"/>
                <w:sz w:val="18"/>
                <w:szCs w:val="18"/>
                <w:b w:val="1"/>
                <w:bCs w:val="1"/>
                <w:color w:val="0000EE"/>
              </w:rPr>
              <w:t>RISK FACTORS</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4</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5660" w:type="dxa"/>
            <w:vAlign w:val="bottom"/>
            <w:tcBorders>
              <w:bottom w:val="single" w:sz="8" w:color="0000EE"/>
            </w:tcBorders>
            <w:gridSpan w:val="16"/>
            <w:shd w:val="clear" w:color="auto" w:fill="CCEEFF"/>
          </w:tcPr>
          <w:p>
            <w:pPr>
              <w:spacing w:after="0" w:line="176" w:lineRule="exact"/>
              <w:rPr>
                <w:sz w:val="20"/>
                <w:szCs w:val="20"/>
                <w:color w:val="auto"/>
              </w:rPr>
            </w:pPr>
            <w:r>
              <w:rPr>
                <w:rFonts w:ascii="Arial" w:cs="Arial" w:eastAsia="Arial" w:hAnsi="Arial"/>
                <w:sz w:val="18"/>
                <w:szCs w:val="18"/>
                <w:b w:val="1"/>
                <w:bCs w:val="1"/>
                <w:color w:val="0000EE"/>
                <w:w w:val="99"/>
              </w:rPr>
              <w:t>SPECIAL NOTE REGARDING FORWARD-LOOKING STATEMENTS</w:t>
            </w:r>
          </w:p>
        </w:tc>
        <w:tc>
          <w:tcPr>
            <w:tcW w:w="4940" w:type="dxa"/>
            <w:vAlign w:val="bottom"/>
            <w:tcBorders>
              <w:bottom w:val="single" w:sz="8" w:color="CCEEFF"/>
            </w:tcBorders>
            <w:gridSpan w:val="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5</w:t>
            </w:r>
          </w:p>
        </w:tc>
      </w:tr>
      <w:tr>
        <w:trPr>
          <w:trHeight w:val="176"/>
        </w:trPr>
        <w:tc>
          <w:tcPr>
            <w:tcW w:w="10600" w:type="dxa"/>
            <w:vAlign w:val="bottom"/>
            <w:gridSpan w:val="18"/>
          </w:tcPr>
          <w:p>
            <w:pPr>
              <w:spacing w:after="0" w:line="176" w:lineRule="exact"/>
              <w:rPr>
                <w:sz w:val="20"/>
                <w:szCs w:val="20"/>
                <w:color w:val="auto"/>
              </w:rPr>
            </w:pPr>
            <w:r>
              <w:rPr>
                <w:rFonts w:ascii="Arial" w:cs="Arial" w:eastAsia="Arial" w:hAnsi="Arial"/>
                <w:sz w:val="18"/>
                <w:szCs w:val="18"/>
                <w:b w:val="1"/>
                <w:bCs w:val="1"/>
                <w:color w:val="0000EE"/>
              </w:rPr>
              <w:t>USE OF PROCEEDS</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6</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PLAN OF DISTRIBUTION</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7</w:t>
            </w:r>
          </w:p>
        </w:tc>
      </w:tr>
      <w:tr>
        <w:trPr>
          <w:trHeight w:val="20"/>
        </w:trPr>
        <w:tc>
          <w:tcPr>
            <w:tcW w:w="8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18"/>
          </w:tcPr>
          <w:p>
            <w:pPr>
              <w:spacing w:after="0" w:line="176" w:lineRule="exact"/>
              <w:rPr>
                <w:sz w:val="20"/>
                <w:szCs w:val="20"/>
                <w:color w:val="auto"/>
              </w:rPr>
            </w:pPr>
            <w:r>
              <w:rPr>
                <w:rFonts w:ascii="Arial" w:cs="Arial" w:eastAsia="Arial" w:hAnsi="Arial"/>
                <w:sz w:val="18"/>
                <w:szCs w:val="18"/>
                <w:b w:val="1"/>
                <w:bCs w:val="1"/>
                <w:color w:val="0000EE"/>
              </w:rPr>
              <w:t>DESCRIPTION OF COMMON STOCK</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9</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DESCRIPTION OF PREFERRED STOCK</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10</w:t>
            </w:r>
          </w:p>
        </w:tc>
      </w:tr>
      <w:tr>
        <w:trPr>
          <w:trHeight w:val="175"/>
        </w:trPr>
        <w:tc>
          <w:tcPr>
            <w:tcW w:w="3360" w:type="dxa"/>
            <w:vAlign w:val="bottom"/>
            <w:tcBorders>
              <w:top w:val="single" w:sz="8" w:color="0000EE"/>
            </w:tcBorders>
            <w:gridSpan w:val="12"/>
          </w:tcPr>
          <w:p>
            <w:pPr>
              <w:spacing w:after="0" w:line="176" w:lineRule="exact"/>
              <w:rPr>
                <w:sz w:val="20"/>
                <w:szCs w:val="20"/>
                <w:color w:val="auto"/>
              </w:rPr>
            </w:pPr>
            <w:r>
              <w:rPr>
                <w:rFonts w:ascii="Arial" w:cs="Arial" w:eastAsia="Arial" w:hAnsi="Arial"/>
                <w:sz w:val="18"/>
                <w:szCs w:val="18"/>
                <w:b w:val="1"/>
                <w:bCs w:val="1"/>
                <w:color w:val="0000EE"/>
              </w:rPr>
              <w:t>DESCRIPTION OF WARRANTS</w:t>
            </w:r>
          </w:p>
        </w:tc>
        <w:tc>
          <w:tcPr>
            <w:tcW w:w="7240" w:type="dxa"/>
            <w:vAlign w:val="bottom"/>
            <w:tcBorders>
              <w:top w:val="single" w:sz="8" w:color="CCEEFF"/>
            </w:tcBorders>
            <w:gridSpan w:val="6"/>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11</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3220" w:type="dxa"/>
            <w:vAlign w:val="bottom"/>
            <w:tcBorders>
              <w:bottom w:val="single" w:sz="8" w:color="0000EE"/>
            </w:tcBorders>
            <w:gridSpan w:val="11"/>
            <w:shd w:val="clear" w:color="auto" w:fill="CCEEFF"/>
          </w:tcPr>
          <w:p>
            <w:pPr>
              <w:spacing w:after="0" w:line="176" w:lineRule="exact"/>
              <w:rPr>
                <w:sz w:val="20"/>
                <w:szCs w:val="20"/>
                <w:color w:val="auto"/>
              </w:rPr>
            </w:pPr>
            <w:r>
              <w:rPr>
                <w:rFonts w:ascii="Arial" w:cs="Arial" w:eastAsia="Arial" w:hAnsi="Arial"/>
                <w:sz w:val="18"/>
                <w:szCs w:val="18"/>
                <w:b w:val="1"/>
                <w:bCs w:val="1"/>
                <w:color w:val="0000EE"/>
                <w:w w:val="99"/>
              </w:rPr>
              <w:t>DESCRIPTION OF DEBT SECURITIES</w:t>
            </w:r>
          </w:p>
        </w:tc>
        <w:tc>
          <w:tcPr>
            <w:tcW w:w="7380" w:type="dxa"/>
            <w:vAlign w:val="bottom"/>
            <w:tcBorders>
              <w:bottom w:val="single" w:sz="8" w:color="CCEEFF"/>
            </w:tcBorders>
            <w:gridSpan w:val="7"/>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13</w:t>
            </w:r>
          </w:p>
        </w:tc>
      </w:tr>
      <w:tr>
        <w:trPr>
          <w:trHeight w:val="176"/>
        </w:trPr>
        <w:tc>
          <w:tcPr>
            <w:tcW w:w="10600" w:type="dxa"/>
            <w:vAlign w:val="bottom"/>
            <w:gridSpan w:val="18"/>
          </w:tcPr>
          <w:p>
            <w:pPr>
              <w:spacing w:after="0" w:line="176" w:lineRule="exact"/>
              <w:rPr>
                <w:sz w:val="20"/>
                <w:szCs w:val="20"/>
                <w:color w:val="auto"/>
              </w:rPr>
            </w:pPr>
            <w:r>
              <w:rPr>
                <w:rFonts w:ascii="Arial" w:cs="Arial" w:eastAsia="Arial" w:hAnsi="Arial"/>
                <w:sz w:val="18"/>
                <w:szCs w:val="18"/>
                <w:b w:val="1"/>
                <w:bCs w:val="1"/>
                <w:color w:val="0000EE"/>
              </w:rPr>
              <w:t>DESCRIPTION OF RIGHTS</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19</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DESCRIPTION OF UNITS</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20</w:t>
            </w:r>
          </w:p>
        </w:tc>
      </w:tr>
      <w:tr>
        <w:trPr>
          <w:trHeight w:val="175"/>
        </w:trPr>
        <w:tc>
          <w:tcPr>
            <w:tcW w:w="2140" w:type="dxa"/>
            <w:vAlign w:val="bottom"/>
            <w:tcBorders>
              <w:top w:val="single" w:sz="8" w:color="0000EE"/>
            </w:tcBorders>
            <w:gridSpan w:val="5"/>
          </w:tcPr>
          <w:p>
            <w:pPr>
              <w:spacing w:after="0" w:line="176" w:lineRule="exact"/>
              <w:rPr>
                <w:sz w:val="20"/>
                <w:szCs w:val="20"/>
                <w:color w:val="auto"/>
              </w:rPr>
            </w:pPr>
            <w:r>
              <w:rPr>
                <w:rFonts w:ascii="Arial" w:cs="Arial" w:eastAsia="Arial" w:hAnsi="Arial"/>
                <w:sz w:val="18"/>
                <w:szCs w:val="18"/>
                <w:b w:val="1"/>
                <w:bCs w:val="1"/>
                <w:color w:val="0000EE"/>
              </w:rPr>
              <w:t>LEGAL MATTERS</w:t>
            </w:r>
          </w:p>
        </w:tc>
        <w:tc>
          <w:tcPr>
            <w:tcW w:w="8460" w:type="dxa"/>
            <w:vAlign w:val="bottom"/>
            <w:tcBorders>
              <w:top w:val="single" w:sz="8" w:color="CCEEFF"/>
            </w:tcBorders>
            <w:gridSpan w:val="13"/>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23</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40" w:type="dxa"/>
            <w:vAlign w:val="bottom"/>
            <w:tcBorders>
              <w:bottom w:val="single" w:sz="8" w:color="0000EE"/>
            </w:tcBorders>
            <w:shd w:val="clear" w:color="auto" w:fill="CCEEFF"/>
          </w:tcPr>
          <w:p>
            <w:pPr>
              <w:spacing w:after="0" w:line="176" w:lineRule="exact"/>
              <w:rPr>
                <w:sz w:val="20"/>
                <w:szCs w:val="20"/>
                <w:color w:val="auto"/>
              </w:rPr>
            </w:pPr>
            <w:r>
              <w:rPr>
                <w:rFonts w:ascii="Arial" w:cs="Arial" w:eastAsia="Arial" w:hAnsi="Arial"/>
                <w:sz w:val="18"/>
                <w:szCs w:val="18"/>
                <w:b w:val="1"/>
                <w:bCs w:val="1"/>
                <w:color w:val="0000EE"/>
                <w:w w:val="97"/>
              </w:rPr>
              <w:t>EXPERTS</w:t>
            </w:r>
          </w:p>
        </w:tc>
        <w:tc>
          <w:tcPr>
            <w:tcW w:w="9760" w:type="dxa"/>
            <w:vAlign w:val="bottom"/>
            <w:tcBorders>
              <w:bottom w:val="single" w:sz="8" w:color="CCEEFF"/>
            </w:tcBorders>
            <w:gridSpan w:val="17"/>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23</w:t>
            </w:r>
          </w:p>
        </w:tc>
      </w:tr>
      <w:tr>
        <w:trPr>
          <w:trHeight w:val="176"/>
        </w:trPr>
        <w:tc>
          <w:tcPr>
            <w:tcW w:w="10600" w:type="dxa"/>
            <w:vAlign w:val="bottom"/>
            <w:gridSpan w:val="18"/>
          </w:tcPr>
          <w:p>
            <w:pPr>
              <w:spacing w:after="0" w:line="176" w:lineRule="exact"/>
              <w:rPr>
                <w:sz w:val="20"/>
                <w:szCs w:val="20"/>
                <w:color w:val="auto"/>
              </w:rPr>
            </w:pPr>
            <w:r>
              <w:rPr>
                <w:rFonts w:ascii="Arial" w:cs="Arial" w:eastAsia="Arial" w:hAnsi="Arial"/>
                <w:sz w:val="18"/>
                <w:szCs w:val="18"/>
                <w:b w:val="1"/>
                <w:bCs w:val="1"/>
                <w:color w:val="0000EE"/>
              </w:rPr>
              <w:t>WHERE YOU CAN FIND MORE INFORMATION</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23</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INCORPORATION OF DOCUMENTS BY REFERENCE</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23</w:t>
            </w:r>
          </w:p>
        </w:tc>
      </w:tr>
      <w:tr>
        <w:trPr>
          <w:trHeight w:val="20"/>
        </w:trPr>
        <w:tc>
          <w:tcPr>
            <w:tcW w:w="8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This prospectus is part of a registration statement that we filed with the Securities and Exchange Commission, or SEC, utilizing a “shelf” registration process. Under this shelf registration process, we may offer shares of our common stock or preferred stock, various series of debt securities and/or warrants or rights to purchase any of such securities, either individually or in units, in one or more offerings, with a total value of up to $75,000,000. This prospectus provides you with a general description of the securities we may offer. Each time we offer a type or series of securities under this prospectus, we will provide a prospectus supplement that will contain specific information about the terms of that offering.</w:t>
      </w:r>
    </w:p>
    <w:p>
      <w:pPr>
        <w:spacing w:after="0" w:line="17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This prospectus does not contain all of the information included in the registration statement. For a more complete understanding of the offering of the securities, you should refer to the registration statement, including its exhibits. The prospectus supplement may also add, update or change information contained or incorporated by reference in this prospectus. However, no prospectus supplement will offer a security that is not registered and described in this prospectus at the time of its effectiveness. This prospectus, together with the applicable prospectus supplements and the documents incorporated by reference into this prospectus, includes all material information relating to the offering of securities under this prospectus. You should carefully read this prospectus, the applicable prospectus supplement, the information and documents incorporated herein by reference and the additional information under the headings “Where You Can Find More Information” and “Incorporation of Documents by Reference” before making an investment decision.</w:t>
      </w:r>
    </w:p>
    <w:p>
      <w:pPr>
        <w:spacing w:after="0" w:line="16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You should rely only on the information we have provided or incorporated by reference in this prospectus or any prospectus supplement. We have not authorized anyone to provide you with information different from that contained or incorporated by reference in this prospectus. No dealer, salesperson or other person is authorized to give any information or to represent anything not contained or incorporated by reference in this prospectus. You must not rely on any unauthorized information or representation. This prospectus is an offer to sell only the securities offered hereby, but only under circumstances and in jurisdictions where it is lawful to do so. You should assume that the information in this prospectus or any prospectus supplement is accurate only as of the date on the front of the document and that any information we have incorporated herein by reference is accurate only as of the date of the document incorporated by reference, regardless of the time of delivery of this prospectus or any sale of a security.</w:t>
      </w:r>
    </w:p>
    <w:p>
      <w:pPr>
        <w:spacing w:after="0" w:line="16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prospectus may not be used to consummate sales of our securities unless it is accompanied by a prospectus supplement. To the extent there are inconsistencies between any prospectus supplement, this prospectus and any documents incorporated by reference, the document with the most recent date will control.</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the context indicates otherwise in this prospectus, the terms “Microbot,” the “Company,” “we,” “our” or “us” in this prospectus refer to Microbot Medical Inc. and its wholly-owned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This summary highlights selected information about our Company, the offering of our securities under this prospectus and information appearing elsewhere in this prospectus and in the documents we incorporate by reference. This summary is not complete and does not contain all the information that you should consider before investing in our securities. You should read this entire prospectus carefully, including “Risk Factors” contained in this prospectus beginning on page 4, and the more detailed financial statements, notes to the consolidated financial statements and other information incorporated by reference from our filings with the SEC or included in any applicable prospectus supplement. Investing in our securities involves risks. Therefore, carefully consider the risk factors set forth in any prospectus supplement and in our most recent annual and quarterly filings with the SEC, as well as other information in this prospectus and any prospectus supplements and the documents incorporated by reference herein or therein, before purchasing our securities. Each of the risk factors could adversely affect our business, operating results and financial condition, as well as adversely affect the value of an investment in our securities.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micro-robotic technologies with the goal of redefining surgical robotics while improving surgical outcomes for patients.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Microbot’s current technological platforms, ViRob</w:t>
      </w:r>
      <w:r>
        <w:rPr>
          <w:rFonts w:ascii="Arial" w:cs="Arial" w:eastAsia="Arial" w:hAnsi="Arial"/>
          <w:sz w:val="28"/>
          <w:szCs w:val="28"/>
          <w:color w:val="auto"/>
          <w:vertAlign w:val="superscript"/>
        </w:rPr>
        <w:t>TM</w:t>
      </w:r>
      <w:r>
        <w:rPr>
          <w:rFonts w:ascii="Arial" w:cs="Arial" w:eastAsia="Arial" w:hAnsi="Arial"/>
          <w:sz w:val="17"/>
          <w:szCs w:val="17"/>
          <w:color w:val="auto"/>
        </w:rPr>
        <w:t>, TipCAT</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and Liberty™ (including certain CardioSert assets), are comprised of</w:t>
      </w:r>
    </w:p>
    <w:p>
      <w:pPr>
        <w:jc w:val="both"/>
        <w:spacing w:after="0" w:line="228" w:lineRule="auto"/>
        <w:rPr>
          <w:sz w:val="20"/>
          <w:szCs w:val="20"/>
          <w:color w:val="auto"/>
        </w:rPr>
      </w:pPr>
      <w:r>
        <w:rPr>
          <w:rFonts w:ascii="Arial" w:cs="Arial" w:eastAsia="Arial" w:hAnsi="Arial"/>
          <w:sz w:val="18"/>
          <w:szCs w:val="18"/>
          <w:color w:val="auto"/>
        </w:rPr>
        <w:t>proprietary innovative technologies. Using the ViRob platform, Microbot is currently developing the Self Cleaning Shunt, or SCS</w:t>
      </w:r>
      <w:r>
        <w:rPr>
          <w:rFonts w:ascii="Arial" w:cs="Arial" w:eastAsia="Arial" w:hAnsi="Arial"/>
          <w:sz w:val="29"/>
          <w:szCs w:val="29"/>
          <w:color w:val="auto"/>
          <w:vertAlign w:val="superscript"/>
        </w:rPr>
        <w:t>TM</w:t>
      </w:r>
      <w:r>
        <w:rPr>
          <w:rFonts w:ascii="Arial" w:cs="Arial" w:eastAsia="Arial" w:hAnsi="Arial"/>
          <w:sz w:val="18"/>
          <w:szCs w:val="18"/>
          <w:color w:val="auto"/>
        </w:rPr>
        <w:t>, for the treatment of hydrocephalus and Normal Pressure Hydrocephalus, or NPH. Utilizing the Liberty and CardioSert platforms, Microbot is developing the first ever fully disposable robot for various endovascular interventional procedures. In addition, the Company is focused on the development of a Multi Generation Pipeline Portfolio utilizing all of its proprietary technologies.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Microbot has a patent portfolio of 40 issued/allowed patents and 23 patent applications pending worldwide.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Technological Platforms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ViRob</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ViRob is an autonomous crawling micro-robot which can be controlled remotely or within the body. Its miniature dimensions are expected to allow it to navigate and crawl in different natural spaces within the human body, including blood vessels, the digestive tract and the respiratory system as well as artificial spaces such as shunts, catheters, ports, etc. Its unique structure is expected to give it the ability to move in tight spaces and curved passages as well as the ability to remain within the human body for prolonged time. The SCS product was developed using the ViRob technology.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TipCAT</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TipCAT is a disposable self-propelled locomotive device that is specially designed to advance in tubular anatomies. The TipCAT is a mechanism comprising a series of interconnected balloons at the device’s tip that provides the TipCAT with its forward locomotion capability. The device can self-propel within natural tubular lumens such as the blood vessels, respiratory and the urinary and GI tracts. A single channel of air/fluid supply sequentially inflates and deflates a series of balloons creating an inchworm like forward motion. The TipCAT maintains a standard working channel for treatments. Unlike standard access devices such as guidewires, catheters for vascular access and endoscopes, the TipCAT does not need to be pushed into the patient’s lumen using external pressure; rather, it will gently advance itself through the organ’s anatomy. As a result, the TipCAT is designed to be able to reach every part of the lumen under examination regardless of the topography, be less operator dependent, and greatly reduce the likelihood of damage to lumen structure. The TipCAT thus offers functionality features equivalent to modern tubular access devices, along with advantages associated with its physiologically adapted self-propelling mechanism, flexibility, and design.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CardioSert</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May 25, 2018, Microbot acquired a patent-protected technology from CardioSert Ltd., a privately-held medical device company based in Israel that was part of a technological incubator supported by the Israel Innovation Authorities. The CardioSert technology contemplates a combination of a guidewire and microcatheter, technologies that are broadly used for surgery within a tubular organ or structure such as a blood vessel or duct. The CardioSert technology features a unique guidewire delivery system with steering and stiffness control capabilities which when developed is expected to give the physician the ability to control the tip curvature, to adjust tip load to varying degrees of stiffness in a gradually continuous manner. The CardioSert technology was originally developed to support interventional cardiologists in crossing chronic total occlusions (CTO) during percutaneous coronary intervention (PCI) procedures and has the potential to be used in other spaces and applications, such as peripheral intervention, and neurosurgery.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Liberty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January 13, 2020, Microbot unveiled what it believes is the world’s first fully disposable robotic system for use in Endovascular Interventional procedures, such as cardiovascular, peripheral and neurovascular. The Liberty robotic system features a unique compact design with the capability to be operated remotely, reduce radiation exposure and physical strain to the physician, as well as the potential to eliminate the use of multiple consumables through its “One &amp; Done” capabilities, based in part on the CardioSert platform.</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Liberty is designed to maneuver guidewires and over-the-wire devices (such as microcatheters) within the body’s vasculature. It eliminates the need for extensive capital equipment requiring dedicated Cath-lab rooms as well as dedicated staff. In addition, it is being designed to streamline Cath-lab procedures with our proprietary “One &amp; Done” tool that combines guidewire and microcatheter into a single device. With control over tip curvature and stiffness for maneuverability and access and without the need for constant tool exchanges – the “One &amp; Done” feature of Liberty may drastically reduce procedure time and costs while enhancing the operator experience.</w:t>
      </w:r>
    </w:p>
    <w:p>
      <w:pPr>
        <w:spacing w:after="0" w:line="18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On August 17, 2020, Microbot announced the successful conclusion of its feasibility animal study using the Liberty robotic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continuously exploring and evaluating additional innovative guidewire/microcatheter technologies to be integrated and combined with the Liberty robotic platform.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additional information related to our business and operations, please refer to the reports incorporated herein by reference, including our Annual Report on Form 10-K for the year ended December 31, 2019 as described under the caption “Incorporation of Documents by Reference” on page 23 of this prospectus.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Company was incorporated on August 2, 1988 in the State of Delaware under the name Cellular Transplants, Inc. The original Certificate of Incorporation was restated on February 14, 1992 to change the name of the Company to CytoTheraputics, Inc. On May 24, 2000, the Certificate of Incorporation as restated was further amended to change the name of the Company to StemCells, Inc. On November 28, 2016, C&amp;RD Israel Ltd., a wholly-owned subsidiary of the Company, completed its merger with and into Microbot Medical Ltd., an Israeli corporation, with Microbot Israel Ltd. surviving as a wholly-owned subsidiary of the Company, or the Merger. Prior to the Merger, the Company was a biopharmaceutical company that operated in one segment: the research, development, and commercialization of stem cell therapeutics and related technologies. Immediately following the closing of the Merger, the business of Microbot Medical Ltd. became our sole focus. In connection with the Merger, we also changed our name from StemCells, Inc. to Microbot Medical Inc. On November 29, 2016, the stock of the Company began trading on the Nasdaq Capital Market under the symbol “MBOT”.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1" w:name="page22"/>
    <w:bookmarkEnd w:id="21"/>
    <w:p>
      <w:pPr>
        <w:jc w:val="both"/>
        <w:ind w:firstLine="648"/>
        <w:spacing w:after="0" w:line="279" w:lineRule="auto"/>
        <w:rPr>
          <w:sz w:val="20"/>
          <w:szCs w:val="20"/>
          <w:color w:val="auto"/>
        </w:rPr>
      </w:pPr>
      <w:r>
        <w:rPr>
          <w:rFonts w:ascii="Arial" w:cs="Arial" w:eastAsia="Arial" w:hAnsi="Arial"/>
          <w:sz w:val="17"/>
          <w:szCs w:val="17"/>
          <w:color w:val="auto"/>
        </w:rPr>
        <w:t>Our principal executive offices are located at 25 Recreation Park Drive, Unit 108, Hingham, Massachusetts 02043. Microbot also has an executive office at 6 Hayozma Street, Yoqneam, P.O.B. 242, Israel 2069204. Our telephone number is (781) 875-3605. We maintain an Internet website at www.microbotmedical.com. The information contained on, connected to or that can be accessed via our website is not part of this prospectus. We have included our website address in this prospectus as an inactive textual reference only and not as an active hyperlink.</w:t>
      </w:r>
    </w:p>
    <w:p>
      <w:pPr>
        <w:spacing w:after="0" w:line="17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Annual Reports on Form 10-K, Quarterly Reports on Form 10-Q, Current Reports on Form 8-K and all amendments to those reports filed or furnished pursuant to Section 13(a) or 15(d) of the Securities Exchange Act of 1934, as amended, or the Exchange Act, are available free of charge through the investor relations page of our internet website as soon as reasonably practicable after we electronically file such material with, or furnish it to, the SEC.</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Offerings Under This Prospectus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this prospectus, we may offer shares of our common stock or preferred stock, various series of debt securities and/or warrants or rights to purchase any such securities, either individually or in units, with a total value of up to $75,000,000, from time to time at prices and on terms to be determined by market conditions at the time of the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188"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designation or classification;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principal amount or aggregate offering price;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maturity, if applicable;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rates and times of payment of interest or dividends,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redemption or conversion terms,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voting or other rights, if any;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conversion or exercise prices, if any.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prospectus supplement also may add, update or change information contained in this prospectus or in documents we have incorporated by reference into this prospectus. However, no prospectus supplement will fundamentally change the terms that are set forth in this prospectus or offer a security that is not registered and described in this prospectus at the time of its effectiveness.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may sell the securities directly to investors or to or through agents, underwriters or dealers. We, and our agents or underwriters, reserve the right to accept or reject all or part of any proposed purchase of securities. If we offer securities through agents or underwriters, we will include in the applicable prospectus supplement:</w:t>
      </w:r>
    </w:p>
    <w:p>
      <w:pPr>
        <w:spacing w:after="0" w:line="184"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names of those agents or underwriters;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applicable fees, discounts and commissions to be paid to them;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details regarding over-allotment options, if any;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net proceeds to us.</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THIS PROSPECTUS MAY NOT BE USED TO CONSUMMATE A SALE OF ANY SECURITIES UNLESS IT IS ACCOMPANIED BY A PROSPECTUS SUPPLEMENT.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Investing in our securities involves significant risk. The prospectus supplement applicable to each offering of our securities may contain a discussion of the risks applicable to an investment in Microbot. Prior to making a decision about investing in our securities, you should consider the “Risk Factors” included and incorporated by reference in this prospectus and any applicable prospectus supplement, including the risk factors incorporated by reference from our most recent Annual Report on Form 10-K, as updated by our Quarterly Reports on Form 10-Q and our other filings with the SEC pursuant to Sections 13(a), 13(c), 14 or 15(d) of the Exchange Act filed after such annual report. The risks and uncertainties we describe are not the only ones facing us. Additional risks not presently known to us, or that we currently deem immaterial, may also impair our business operations. If any of these risks were to occur, our business, financial condition, or results of operations would likely suffer. In that event, the trading price of our common stock could decline, and you could lose all or part of your investment.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This prospectus and the documents incorporated by reference in this prospectus include forward-looking statements within the meaning of Section 27A of the Securities Act of 1933, as amended, or the Securities Act, and Section 21E of the Exchange Act that relate to future events or our future operations or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In some cases, you can identify forward-looking statements by terminology such as “may”, “should”, “intends”, “expects”, “plans”, “targets”, “anticipates”, “believes”, “estimates”, “will”, “would”, “predicts”, “potential”, or “continue” or the negative of these terms or other comparable terminology. These statements are only predictions and involve known and unknown risks, uncertainties and other factors. The Private Securities Litigation Reform Act of 1995 provides a “safe harbor” for such forward-looking statements. In order to comply with the terms of the safe harbor, we note that a variety of factors could cause actual results and experience to differ materially from the anticipated results or other expectations expressed in the forward-looking statements.</w:t>
      </w:r>
    </w:p>
    <w:p>
      <w:pPr>
        <w:spacing w:after="0" w:line="18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manufacturing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including the fact that additional trials will be required to confirm the safety and demonstrate the efficacy of our planned products; uncertainty as to whether the U.S. Food and Drug Administration, or the FDA, or other regulatory authorities will clear our proposed products for commercialization and sale; the risk that our planned clinical trials or studies could be substantially delayed beyond their expected dates or cause us to incur substantial unanticipated costs; uncertainties in our ability to obtain the capital resources needed to continue our current research and development operations and to conduct the research, preclinical development and clinical trials necessary for regulatory approvals; the uncertainty regarding the outcome of our clinical trials or studies we may conduct in the future; the uncertainty regarding the validity and enforceability of the patents underlying our proposed products; the uncertainty as to whether the Company’s preclinical studies will be replicated in humans; the uncertainty whether any of our proposed products will prove clinically safe and effective; the uncertainty of whether we will achieve significant revenue from product sales or become profitable; obsolescence of our technologies; competition from third parties; intellectual property rights of third parties; litigation risks; legal and regulatory developments in Israel; and other risks to which we are subject.</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based these forward-looking statements on our current expectations and projections about future events. We believe that the assumptions and expectations reflected in such forward-looking statements are reasonable, based on information available to us on the date hereof, but we cannot assure you that these assumptions and expectations will prove to have been correct or that we will take any action that we may presently be planning. These forward-looking statements are inherently subject to known and unknown risks and uncertainties. We have included important cautionary statements in this prospectus, in the documents incorporated by reference in this prospectus, and in the sections in our periodic reports, including our most recent Annual Report on Form 10-K, entitled “Business,” “Risk Factors,” and “Management’s Discussion and Analysis of Financial Condition and Results of Operations,” as supplemented by our subsequent Quarterly Reports on Form 10-Q or our Current Reports on Form 8-K, discussing some of the factors that we believe could cause actual results or events to differ materially from the forward-looking statements that we are making including, but are not limited to, research and product development uncertainties, regulatory policies and approval requirements, competition from other similar businesses, market and general economic factors.</w:t>
      </w:r>
    </w:p>
    <w:p>
      <w:pPr>
        <w:spacing w:after="0" w:line="18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cannot assure you that we will receive any proceeds in connection with securities which may be offered pursuant to this prospectus. Unless otherwise indicated in the applicable prospectus supplement, we intend to use any net proceeds from the sale of securities under this prospectus for our operations, our further development and commercialization of our product candidates, other general corporate purposes, which may include, but are not limited to, working capital, intellectual property protection and enforcement, capital expenditures, repayment of indebtedness and collaborations, and the costs of acquiring, licensing or investing in new and existing businesses, product candidates and technologies. We have not determined the amounts we plan to spend on any of the areas listed above or the timing of these expenditures. As a result, our management will have broad discretion to allocate the net proceeds, if any, we receive in connection with securities offered pursuant to this prospectus for any purpose. Pending application of the net proceeds as described above, we may initially invest the net proceeds in short-term, investment-grade or interest-bearing securities in accordance with our cash-management policies. Additional information on the use of proceeds from the sale of securities offered by this prospectus may be set forth in the prospectus supplement relating to that offering.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offer securities under this prospectus from time to time pursuant to public offerings through one or more placement agents or underwriters, negotiated transactions, block trades or a combination of these methods. We may sell the securities (1) through underwriters or dealers, (2) through agents or (3) directly to one or more purchasers, or through a combination of such methods. We may distribute the securities from time to time in one or more transactions at:</w:t>
      </w:r>
    </w:p>
    <w:p>
      <w:pPr>
        <w:spacing w:after="0" w:line="18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fixed price or prices, which may be changed from time to time;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 prices prevailing at the time of sale;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prices related to the prevailing market prices;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may directly solicit offers to purchase the securities being offered by this prospectus. We may also designate agents to solicit offers to purchase the securities from time to time, and may enter into arrangements for “at the market,” equity line or similar transactions. We will name in a prospectus supplement any underwriter or agent involved in the offer or sale of the securities.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we utilize a dealer in the sale of the securities being offered by this prospectus, we will sell the securities to the dealer, as principal. The dealer may then resell the securities to the public at varying prices to be determined by the dealer at the time of resale.</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If we utilize an underwriter in the sale of the securities being offered by this prospectus, we will execute an underwriting agreement with the underwriter at the time of sale, and we will provide the name of any underwriter in the prospectus supplement which the underwriter will use to make resales of the securities to the public. In connection with the sale of the securities, we,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w:t>
      </w:r>
    </w:p>
    <w:p>
      <w:pPr>
        <w:spacing w:after="0" w:line="17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With respect to underwritten public offerings, negotiated transactions and block trades, we will provide in the applicable prospectus supplement information regarding any compensation we pay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w:t>
      </w:r>
    </w:p>
    <w:p>
      <w:pPr>
        <w:spacing w:after="0" w:line="19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so indicated in the applicable prospectus supplement, we will authorize underwriters, dealers or other persons acting as our agents to solicit offers by certain institutions to purchase securities from us pursuant to delayed delivery contracts providing for payment and delivery on the date stated in each applicable prospectus supplement. Each contract will be for an amount not less than, and the aggregate amount of securities sold pursuant to such contracts shall not be less nor more than, the respective amounts stated in each applicable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95" w:lineRule="exact"/>
        <w:rPr>
          <w:sz w:val="20"/>
          <w:szCs w:val="20"/>
          <w:color w:val="auto"/>
        </w:rPr>
      </w:pPr>
    </w:p>
    <w:p>
      <w:pPr>
        <w:ind w:left="660" w:hanging="328"/>
        <w:spacing w:after="0" w:line="25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6" w:name="page27"/>
    <w:bookmarkEnd w:id="26"/>
    <w:p>
      <w:pPr>
        <w:jc w:val="both"/>
        <w:ind w:firstLine="648"/>
        <w:spacing w:after="0" w:line="254" w:lineRule="auto"/>
        <w:rPr>
          <w:sz w:val="20"/>
          <w:szCs w:val="20"/>
          <w:color w:val="auto"/>
        </w:rPr>
      </w:pPr>
      <w:r>
        <w:rPr>
          <w:rFonts w:ascii="Arial" w:cs="Arial" w:eastAsia="Arial" w:hAnsi="Arial"/>
          <w:sz w:val="18"/>
          <w:szCs w:val="18"/>
          <w:color w:val="auto"/>
        </w:rPr>
        <w:t>One or more firms, referred to as “remarketing firms,” may also offer or sell the securities, if a prospectus supplement so indicates, in connection with a remarketing arrangement upon their purchase. Remarketing firms will act as principals for their own accounts or as our agents. These remarketing firms will offer or sell the securities in accordance with the terms of the securities. Each prospectus supplement will identify and describe any remarketing firm and the terms of its agreement, if any, with us and will describe the remarketing firm’s compensation. Remarketing firms may be deemed to be underwriters in connection with the securities they remarket. Remarketing firms may be entitled under agreements that may be entered into with us to indemnification by us against certain civil liabilities, including liabilities under the Securities Act, and may be customers of, engage in transactions with or perform services for us in the ordinary course of business.</w:t>
      </w:r>
    </w:p>
    <w:p>
      <w:pPr>
        <w:spacing w:after="0" w:line="19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Certain underwriters may use this prospectus and any accompanying prospectus supplement for offers and sales related to market-making transactions in the securities. These underwriters may act as principal or agent in these transactions, and the sales will be made at prices related to prevailing market prices at the time of sale. Any underwriters involved in the sale of the securities may qualify as “underwriters” within the meaning of Section 2(a)(11) of the Securities Act. In addition, the underwriters’ commissions, discounts or concessions may qualify as underwriters’ compensation under the Securities Act and the rules of the Financial Industry Regulatory Authority, Inc., or FINRA.</w:t>
      </w:r>
    </w:p>
    <w:p>
      <w:pPr>
        <w:spacing w:after="0" w:line="17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Shares of our common stock sold pursuant to the registration statement of which this prospectus is a part will be authorized for listing and trading on The Nasdaq Capital Market. The applicable prospectus supplement will contain information, where applicable, as to any other listing, if any, on The Nasdaq Capital Market or any securities market or other securities exchange of the securities covered by the prospectus supplement. Underwriters may make a market in our common stock, but will not be obligated to do so and may discontinue any market making at any time without notice. We can make no assurance as to the liquidity of or the existence, development or maintenance of trading markets for any of the securities.</w:t>
      </w:r>
    </w:p>
    <w:p>
      <w:pPr>
        <w:spacing w:after="0" w:line="17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order to facilitate the offering of the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 sold to them. In these circumstances, these persons would cover such over-allotments or short positions by making purchases in the open market or by exercising their over-allotment option. In addition, these persons may stabilize or maintain the price of the securities by bidding for or purchasing the applicable security in the open market or by imposing penalty bids, whereby selling concessions allowed to dealers participating in the offering may be reclaimed if the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7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The underwriters, dealers and agents may engage in other transactions with us, or perform other services for us, in the ordinary course of their business.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authorized to issue 60,000,000 shares of common stock, par value $0.01 per share. As of September 30, 2020 we had 7,108,133 shares of common stock issued and outstanding and approximately 139 common stockholders of record. The following summary of certain provisions of our common stock does not purport to be complete. You should refer to our certificate of incorporation and our bylaws, copies of which are on file with the SEC as exhibits to previous SEC filings. Please refer to “Where You Can Find More Information” below for directions on obtaining these documents. The summary below is also qualified by provisions of applicable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Holders of common stock are entitled to one vote for each share held on all matters submitted to a vote of stockholders and do not have cumulative voting rights. Holders of common stock are entitled to receive proportionately any dividends as may be declared by our board of directors, out of funds that we may legally use to pay dividends, subject to any preferential dividend rights of any outstanding series of preferred stock or series of preferred stock that we may designate and issue in the future. All shares of common stock outstanding as of the date of this prospectus and, upon issuance and sale, all shares of common stock that we may offer pursuant to this prospectus, will be fully paid and nonassessable.</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Capital Market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for quotation on the Nasdaq Capital Market under the symbol “MBOT.”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authority to issue 1,000,000 shares of preferred stock, par value $0.01 per share. As of the date of this prospectus, no shares of our preferred stock were outstanding or designated.</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following summary of certain provisions of our preferred stock does not purport to be complete. You should refer to our certificate of incorporation and by-laws, as amended to date, copies of which are on file with the SEC as exhibits to previous SEC filings. Please refer to “Where You Can Find More Information” below for directions on obtaining these documents. The summary below is also qualified by provisions of applicable law.</w:t>
      </w:r>
    </w:p>
    <w:p>
      <w:pPr>
        <w:spacing w:after="0" w:line="14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board of directors is authorized, without stockholder approval, from time to time, to issue shares of preferred stock in series and may, at the time of issuance, subject to Delaware law and our certificate of incorporation and by-laws, determine the rights, preferences and limitations of each series, including voting rights, dividend rights and redemption and liquidation preferences.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common stock.</w:t>
      </w:r>
    </w:p>
    <w:p>
      <w:pPr>
        <w:spacing w:after="0" w:line="18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we offer a specific series of preferred stock under this prospectus, we will describe the terms of the preferred stock in the prospectus supplement for such offering and will file a copy of the certificate establishing the terms of the preferred stock with the SEC. To the extent required, this description will include:</w:t>
      </w:r>
    </w:p>
    <w:p>
      <w:pPr>
        <w:spacing w:after="0" w:line="184"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title and stated value;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shares offered, the liquidation preference per share and the purchase price;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dividend rate(s), period(s) and/or payment date(s), or method(s) of calculation for such dividends;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dividends will be cumulative or non-cumulative and, if cumulative, the date from which dividends will accumulate;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provisions for a sinking fund,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provisions for redemption, if applicable;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 or market;</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the preferred stock will be convertible into our common stock, and, if applicable, the conversion price (or how it will be calculated) and conversion period;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the preferred stock will be exchangeable into debt securities, and, if applicable, the exchange price (or how it will be calculated) and exchange period;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voting rights, if any, of the preferred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discussion of any material and/or special U.S. federal income tax considerations applicable to the preferred stock;</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relative ranking and preferences of the preferred stock as to dividend rights and rights upon liquidation, dissolution or winding up of the affairs of the Company;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material limitations on issuance of any class or series of preferred stock ranking senior to or on a parity with the series of preferred stock as to dividend rights and rights upon liquidation, dissolution or winding up of the Company.</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preferred stock offered by this prospectus will, when issued, be fully paid and nonassessable and will not have, or be subject to, any preemptive or similar rights.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any series or class of preferred stock will be set forth in the applicable prospectus supplement.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may issue warrants to purchase shares of our common stock, preferred stock and/or debt securities in one or more series together with other securities or separately, as described in the applicable prospectus supplement. Below is a description of certain general terms and provisions of the warrants that we may offer. Particular terms of the warrants will be described in the warrant agreements and the prospectus supplement to the warrants.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applicable prospectus supplement will contain, where applicable, the following terms of, and other information relating to, the warrants:</w:t>
      </w:r>
    </w:p>
    <w:p>
      <w:pPr>
        <w:spacing w:after="0" w:line="23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specific designation and aggregate number of, and the price at which we will issue, the warrants;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designation, amount and terms of the securities purchasable upon exercise of the warrants;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applicable, the exercise price for shares of our common stock and the number of shares of common stock to be received upon exercise of the warrants;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applicable, the exercise price for shares of our preferred stock, the number of shares of preferred stock to be received upon exercise, and a description of that series of our preferred stock;</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applicable, the exercise price for our debt securities, the amount of debt securities to be received upon exercise, and a description of that series of debt securities;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17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consequences;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identity of the warrant agent for the warrants and of any other depositaries, execution or paying agents, transfer agents, registrars or other agents;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proposed listing, if any, of the warrants or any securities purchasable upon exercise of the warrants on any securities exchange;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applicable, the date from and after which the warrants and the common stock, preferred stock and/or debt securities will be separately transferable;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anti-dilution provisions of the warrants,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redemption or call provisions;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the warrants are to be sold separately or with other securities as parts of units;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any additional terms of the warrants, including terms, procedures and limitations relating to the exchange and exercise of the warrants.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Outstanding Warrants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2020, we had outstanding:</w:t>
      </w:r>
    </w:p>
    <w:p>
      <w:pPr>
        <w:spacing w:after="0" w:line="22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warrants to purchase 183 shares of our common stock at an exercise price of $2,754.00 per share, which are exercisable through April 9, 2023;</w:t>
      </w:r>
    </w:p>
    <w:p>
      <w:pPr>
        <w:spacing w:after="0" w:line="46" w:lineRule="exact"/>
        <w:rPr>
          <w:rFonts w:ascii="Arial" w:cs="Arial" w:eastAsia="Arial" w:hAnsi="Arial"/>
          <w:sz w:val="16"/>
          <w:szCs w:val="16"/>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warrants to purchase 2,770 shares of our common stock at an exercise price of $40.50 per share, which are exercisable through March 14, 2022;</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warrants to purchase 8,082 shares of our common stock at an exercise price of $8.13 per share, which are exercisable through July 14, 2022;</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warrants to purchase 29,500 shares of our common stock at an exercise price of $12.50 per share, which are exercisable through July 15, 2022;</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warrants to purchase 45,643 shares of our common stock at an exercise price of $13.13 per share, which are exercisable through June 25, 2023;</w:t>
      </w:r>
    </w:p>
    <w:p>
      <w:pPr>
        <w:spacing w:after="0" w:line="32"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warrants to purchase 47,619 shares of our common stock at an exercise price of $13.13 per share, which are exercisable through June 27, 2023; and</w:t>
      </w: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warrants to purchase 45,045 shares of our common stock at an exercise price of $13.88 per share, which are exercisable through June 30, 2023.</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transfer agent and registrar for any warrants will be set forth in the applicable prospectus supplement.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following description, together with the additional information we include in any applicable prospectus supplements, summarizes the material terms and provisions of the debt securities that we may offer under this prospectus. While the terms we have summarized below will apply generally to any future debt securities we may offer pursuant to this prospectus, we will describe the particular terms of any debt securities that we may offer in more detail in the applicable prospectus supplement. If we so indicate in a prospectus supplement, the terms of any debt securities offered under such prospectus supplement may differ from the terms we describe below, and to the extent the terms set forth in a prospectus supplement differ from the terms described below, the terms set forth in the prospectus supplement shall control.</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may sell from time to time, in one or more offerings under this prospectus, debt securities, which may be senior or subordinated. We will issue any such senior debt securities under a senior indenture that we will enter into with a trustee to be named in the senior indenture. We will issue any such subordinated debt securities under a subordinated indenture, which we will enter into with a trustee to be named in the subordinated indenture. We have filed forms of these documents as exhibits to the registration statement, of which this prospectus is a part. We use the term “indentures” to refer to either the senior indenture or the subordinated indenture, as applicable. The indentures will be qualified under the Trust Indenture Act of 1939, or the Trust Indenture Act, as in effect on the date of the indenture. We use the term “debenture trustee” to refer to either the trustee under the senior indenture or the trustee under the subordinated indenture, as applicable.</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summaries of material provisions of the senior debt securities, the subordinated debt securities and the indentures are subject to, and qualified in their entirety by reference to, all the provisions of the indenture applicable to a particular series of debt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Each indenture provides that debt securities may be issued from time to time in one or more series and may be denominated and payable in foreign currencies or units based on or relating to foreign currencies. Neither the senior indenture nor any subordinated indenture limits the amount of debt securities that may be issued thereunder, and each indenture provides that the specific terms of any series of debt securities shall be set forth in, or determined pursuant to, an authorizing resolution and/or a supplemental indenture, if any, relating to such series.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will describe in each prospectus supplement the following terms relating to a series of debt securities:</w:t>
      </w:r>
    </w:p>
    <w:p>
      <w:pPr>
        <w:spacing w:after="0" w:line="22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title or designation;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aggregate principal amount and any limit on the amount that may be issued;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currency or units based on or relating to currencies in which debt securities of such series are denominated and the currency or units in which principal or interest or both will or may be payable;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we will issue the series of debt securities in global form, the terms of any global securities and who the depositary will be;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maturity date and the date or dates on which principal will be payable;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interest rate, which may be fixed or variable, or the method for determining the rate and the date interest will begin to accrue, the date or dates interest will be payable and the record dates for interest payment dates or the method for determining such 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terms of the subordination of any series of subordinated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place or places where payments will be payable;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2" w:name="page33"/>
    <w:bookmarkEnd w:id="32"/>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right, if any, to defer payment of interest and the maximum length of any such deferral period;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date, if any, after which, and the price at which, we may, at our option, redeem the series of debt securities pursuant to any optional redemption provisions;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date, if any, on which, and the price at which we are obligated, pursuant to any mandatory sinking fund provisions or otherwise, to redeem, or at the holder’s option to purchase, the series of debt securities;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the indenture will restrict our ability to pay dividends, or will require us to maintain any asset ratios or reserves;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we will be restricted from incurring any additional indebtedness;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discussion on any material or special U.S. federal income tax considerations applicable to a series of debt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denominations in which we will issue the series of debt securities, if other than denominations of $1,000 and any integral multiple thereof;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debt securities.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or Exchange Rights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will set forth in the prospectus supplement the terms, if any, on which a series of debt securities may be convertible into or exchangeable for our common stock or our other securities. We will include provisions as to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No Protection in Event of a Change of Control or Highly Leveraged Transaction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indentures do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that may afford holders of the debt securities protection in the event we have a change of control or in the event of a highly leveraged transaction (whether or not such transaction results in a change of control), which could adversely affect holders of debt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Under the Indenture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events of default under the indentures with respect to any series of debt securities that we may issue:</w:t>
      </w:r>
    </w:p>
    <w:p>
      <w:pPr>
        <w:spacing w:after="0" w:line="22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we fail to pay interest when due and our failure continues for 90 days and the time for payment has not been extended or deferred;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we fail to pay the principal, or premium, if any, when due and the time for payment has not been extended or delayed;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3" w:name="page34"/>
    <w:bookmarkEnd w:id="33"/>
    <w:p>
      <w:pPr>
        <w:jc w:val="both"/>
        <w:ind w:left="660" w:hanging="328"/>
        <w:spacing w:after="0" w:line="25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we fail to observe or perform any other covenant set forth in the debt securities of such series or the applicable indentures, other than a covenant specifically relating to and for the benefit of holders of another series of debt securities, and our failure continues for 90 days after we receive written notice from the debenture trustee or holders of not less than a majority in aggregate principal amount of the outstanding debt securities of the applicable series; and</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specified events of bankruptcy, insolvency or reorganization occur as to us.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any bank credit agreements we may have in existence from time to time. In addition, the occurrence of certain events of default or acceleration under the indenture may constitute an event of default under certain of our other indebtedness outstanding from time to time.</w:t>
      </w:r>
    </w:p>
    <w:p>
      <w:pPr>
        <w:spacing w:after="0" w:line="15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If an event of default with respect to debt securities of any series at the time outstanding occurs and is continuing, then the trustee or the holders of not less than a majority in principal amount of the outstanding debt securities of that series may, by a notice in writing to us (and to the debenture trustee if given by the holders), declare to be due and payable immediately the principal (or, if the debt securities of that series are discount securities, that portion of the principal amount as may be specified in the terms of that series) of and premium and accrued and unpaid interest, if any, on all debt securities of that series. Before a judgment or decree for payment of the money due has been obtained with respect to debt securities of any series, the holders of a majority in principal amount of the outstanding debt securities of that series (or, at a meeting of holders of such series at which a quorum is present, the holders of a majority in principal amount of the debt securities of such series represented at such meeting) may rescind and annul the acceleration if all events of default, other than the non-payment of accelerated principal, premium, if any, and interest, if any, with respect to debt securities of that series, have been cured or waived as provided in the applicable indenture (including payments or deposits in respect of principal, premium or interest that had become due other than as a result of such acceleration).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7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debt securities, unless such holders have offered the debenture trustee reasonable indemnity. The holders of a majority in principal amount of the outstanding debt securities of any series will have the right to direct the time, method and place of conducting any proceeding for any remedy available to the debenture trustee, or exercising any trust or power conferred on the debenture trustee, with respect to the debt securities of that series, provided that:</w:t>
      </w:r>
    </w:p>
    <w:p>
      <w:pPr>
        <w:spacing w:after="0" w:line="16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direction so given by the holder is not in conflict with any law or the applicable indenture;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subject to its duties under the Trust Indenture Act, the debenture trustee need not take any action that might involve it in personal liability or might be unduly prejudicial to the holders not involved in the proceeding.</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 holder of the debt securities of any series will only have the right to institute a proceeding under the indentures or to appoint a receiver or trustee, or to seek other remedies if:</w:t>
      </w:r>
    </w:p>
    <w:p>
      <w:pPr>
        <w:spacing w:after="0" w:line="170"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holder previously has given written notice to the debenture trustee of a continuing event of default with respect to that series;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holders of at least a majority in aggregate principal amount of the outstanding debt securities of that series have made written request, and such holders have offered reasonable indemnity to the debenture trustee to institute the proceeding as trustee; and</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debenture trustee does not institute the proceeding, and does not receive from the holders of a majority in aggregate principal amount of the outstanding debt securities of that series (or at a meeting of holders of such series at which a quorum is present, the holders of a majority in principal amount of the debt securities of such series represented at such meeting) other conflicting directions within 60 days after the notice, request and offer.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4" w:name="page35"/>
    <w:bookmarkEnd w:id="34"/>
    <w:p>
      <w:pPr>
        <w:ind w:firstLine="648"/>
        <w:spacing w:after="0" w:line="277" w:lineRule="auto"/>
        <w:rPr>
          <w:sz w:val="20"/>
          <w:szCs w:val="20"/>
          <w:color w:val="auto"/>
        </w:rPr>
      </w:pPr>
      <w:r>
        <w:rPr>
          <w:rFonts w:ascii="Arial" w:cs="Arial" w:eastAsia="Arial" w:hAnsi="Arial"/>
          <w:sz w:val="18"/>
          <w:szCs w:val="18"/>
          <w:color w:val="auto"/>
        </w:rPr>
        <w:t>These limitations do not apply to a suit instituted by a holder of debt securities if we default in the payment of the principal, premium, if any, or interest on, the debt securities.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will periodically file statements with the applicable debenture trustee regarding our compliance with specified covenants in the applicable indenture.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Indenture; Waiver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debenture trustee and we may change the applicable indenture without the consent of any holders with respect to specific matters, including:</w:t>
      </w:r>
    </w:p>
    <w:p>
      <w:pPr>
        <w:spacing w:after="0" w:line="248"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fix any ambiguity, defect or inconsistency in the indenture;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change anything that does not materially adversely affect the interests of any holder of debt securities of any series issued pursuant to such indenture.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under the indentures, the rights of holders of a series of debt securities may be changed by us and the debenture trustee with the written consent of the holders of at least a majority in aggregate principal amount of the outstanding debt securities of each series (or, at a meeting of holders of such series at which a quorum is present, the holders of a majority in principal amount of the debt securities of such series represented at such meeting) that is affected. However, the debenture trustee and we may make the following changes only with the consent of each holder of any outstanding debt securities affected:</w:t>
      </w:r>
    </w:p>
    <w:p>
      <w:pPr>
        <w:spacing w:after="0" w:line="188"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extending the fixed maturity of the series of debt securities;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reducing the principal amount, reducing the rate of or extending the time of payment of interest, or any premium payable upon the redemption of any debt securities;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reducing the principal amount of discount securities payable upon acceleration of maturity;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making the principal of or premium or interest on any debt security payable in currency other than that stated in the debt security;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reducing the percentage of debt securities, the holders of which are required to consent to any amendment or waiver.</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Except for certain specified provisions, the holders of at least a majority in principal amount of the outstanding debt securities of any series (or, at a meeting of holders of such series at which a quorum is present, the holders of a majority in principal amount of the debt securities of such series represented at such meeting)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or in respect of a covenant or provision, which cannot be modified or amended without the consent of the holder of each outstanding debt security of the series affected; provided, however, that the holders of a majority in principal amount of the outstanding debt securities of any series may rescind an acceleration and its consequences, including any related payment default that resulted from the acceleration.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Discharge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Each indenture provides that we can elect to be discharged from our obligations with respect to one or more series of debt securities, except for obligations to:</w:t>
      </w:r>
    </w:p>
    <w:p>
      <w:pPr>
        <w:spacing w:after="0" w:line="170"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register the transfer or exchange of debt securities of the series;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replace stolen, lost or mutilated debt securities of the series;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 paying agencies;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hold monies for payment in trust;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compensate and indemnify the trustee;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appoint any successor trustee.</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order to exercise our rights to be discharged with respect to a series, we must deposit with the trustee money or government obligations sufficient to pay all the principal of, the premium, if any, and interest on, the debt securities of the series on the dates payments are due.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8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or in the applicable indenture, we will make no service charge for any registration of transfer or exchange, but we may require payment of any taxes or other governmental charges.</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we elect to redeem the debt securities of any series, we will not be required to:</w:t>
      </w:r>
    </w:p>
    <w:p>
      <w:pPr>
        <w:spacing w:after="0" w:line="225" w:lineRule="exact"/>
        <w:rPr>
          <w:sz w:val="20"/>
          <w:szCs w:val="20"/>
          <w:color w:val="auto"/>
        </w:rPr>
      </w:pPr>
    </w:p>
    <w:p>
      <w:pPr>
        <w:jc w:val="both"/>
        <w:ind w:left="660" w:hanging="328"/>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securities so selected for redemption, in whole or in part, except the unredeemed portion of any debt securities we are redeeming in part.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Information Concerning the Debenture Trustee</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debenture trustee, other than during the occurrence and continuance of an event of default under the applicable indenture, undertakes to perform only those duties as are specifically set forth in the applicable indenture. Upon an event of default under an indenture, the debenture trustee under such indenture must use the same degree of care as a prudent person would exercise or use in the conduct of his or her own affairs. Subject to this provision, the debenture trustee is under no obligation to exercise any of the powers given it by the indentures at the request of any holder of debt securities unless it is offered reasonable security and indemnity against the costs, expenses and liabilities that it might incur.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which we will mail to the holder. Unless we otherwise indicate in a prospectus supplement, we will designate the corporate trust office of the debenture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All money we pay to a paying agent or the debenture trustee for the payment of the principal of or any premium or interest on any debt securities which remains unclaimed at the end of two years after such principal, premium or interest has become due and payable will be repaid to us, and the holder of the security thereafter may look only to us for payment thereof.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indentures and the debt securities will be governed by and construed in accordance with the laws of the State of New York, except to the extent that the Trust Indenture Act is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 of Subordinated Debt Securities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obligations pursuant to any subordinated debt securities will be unsecured and will be subordinate and junior in priority of payment to certain of our other indebtedness to the extent described in a prospectus supplement. The subordinated indenture does not limit the amount of senior indebtedness we may incur. It also does not limit us from issuing any other secured or unsecured debt.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DESCRIPTION OF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may issue rights to our stockholders to purchase shares of our common stock, preferred stock or the other securities described in this prospectus. We may offer rights separately or together with one or more additional rights, debt securities, preferred stock, common stock or warrants, or any combination of those securities in the form of units, as described in the applicable prospectus supplement. Each series of rights will be issued under a separate rights agreement to be entered into between us and a bank or trust company, as rights agent. The rights agent will act solely as our agent in connection with the certificates relating to the rights of the series of certificates and will not assume any obligation or relationship of agency or trust for or with any holders of rights certificates or beneficial owners of rights. The following description sets forth certain general terms and provisions of the rights to which any prospectus supplement may relate. The particular terms of the rights to which any prospectus supplement may relate and the extent, if any, to which the general provisions may apply to the rights so offered will be described in the applicable prospectus supplement. To the extent that any particular terms of the rights, rights agreement or rights certificates described in a prospectus supplement differ from any of the terms described below, then the terms described below will be deemed to have been superseded by that prospectus supplement. We encourage you to read the applicable rights agreement and rights certificate for additional information before you decide whether to purchase any of our rights.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provide in a prospectus supplement the following terms of the rights being issued:</w:t>
      </w:r>
    </w:p>
    <w:p>
      <w:pPr>
        <w:spacing w:after="0" w:line="225"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 of determining the stockholders entitled to the rights distribution;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aggregate number of shares of common stock, preferred stock or other securities purchasable upon exercise of the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exercise price;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aggregate number of rights issued;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the rights are transferrable and the date, if any, on and after which the rights may be separately transferred;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 on which the right to exercise the rights will commence, and the date on which the right to exercise the rights will expire;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method by which holders of rights will be entitled to exercise;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conditions to the completion of the offering,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withdrawal, termination and cancellation rights,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there are any backstop or standby purchaser or purchasers and the terms of their commitment,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stockholders are entitled to oversubscription rights,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considerations;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other terms of the rights, including terms, procedures and limitations relating to the distribution, exchange and exercise of the rights, as applicable.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Each right will entitle the holder of rights to purchase for cash the principal amount of shares of common stock, preferred stock or other securities at the exercise price provided in the applicable prospectus supplement. Rights may be exercised at any time up to the close of business on the expiration date for the rights provided in the applicable prospectus supplement.</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shares of common stock, preferred stock or other securities, as applicable, purchasable upon exercise of the rights. If less than all of the rights issued in any rights offering are exercised, we may offer any unsubscribed securities directly to persons other than stockholders, to or through agents, underwriters or dealers or through a combination of such methods, including pursuant to standby arrangements, as described in the applicable prospectus supplement.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Agent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rights agent for any rights we offer will be set forth in the applicable prospectus supplement.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following description, together with the additional information that we include in any applicable prospectus supplements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will incorporate by reference from reports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may offer under this prospectus, as well as any related free writing prospectuses and the complete unit agreement and any supplemental agreements that contain the terms of the units.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may issue units consisting of common stock, preferred stock, one or more debt securities, warrants, rights for the purchase of common stock, preferred stock and/or debt securities in one or more series, in any combination. Each unit will be issued so that the holder of the unit is also the holder of each security included in the unit. Thus, the holder of a unit will have the rights and obligations of a holder of each security included in the unit. The unit agreement under which a unit is issued may provide that the securities included in the unit may not be held or transferred separately, at any time or at any time before a specified date.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describe in the applicable prospectus supplement the terms of the series of units being offered, including:</w:t>
      </w:r>
    </w:p>
    <w:p>
      <w:pPr>
        <w:spacing w:after="0" w:line="225" w:lineRule="exact"/>
        <w:rPr>
          <w:sz w:val="20"/>
          <w:szCs w:val="20"/>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provisions of the governing unit agreement that differ from those described below;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provisions for the issuance, payment, settlement, transfer or exchange of the units or of the securities comprising the units.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provisions described in this section, as well as those set forth in any prospectus supplement or as described under “Description of Common Stock,” “Description of Preferred Stock,” “Description of Debt Securities,” “Description of Warrants” and “Description of Rights” will apply to each unit, as applicable, and to any common stock, preferred stock, debt security, warrant or right included in each unit, as applicable.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 Agent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and address of the unit agent for any units we offer will be set forth in the applicable prospectus supplement.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in Series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issue units in such amounts and in such numerous distinct series as we determine.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Enforceability of Rights by Holders of Units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CERTAIN PROVISIONS OF DELAWARE LAW AND OF THE COMPANY’S CERTIFICATE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AND BYLAWS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Anti-Takeover Provisions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Delaware Law</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231F20"/>
        </w:rPr>
        <w:t>We are subject to the anti-takeover provisions of Section 203 of the Delaware General Corporation Law, or DGCL. Section 203 prohibits a publicly-held Delaware corporation from engaging in a “business combination” with an “interested stockholder” for a period of three years after the date of the transaction in which the person became an interested stockholder, unless the business combination is, or the transaction in which the person became an interested stockholder was, approved in a prescribed manner or another prescribed exception applies. For purposes of Section 203, a “business combination” is defined broadly to include a merger, asset sale or other transaction resulting in a financial benefit to the interested stockholder, and, subject to certain exceptions, an “interested stockholder” is a person who, together with his or her affiliates and associates, owns, or within three years prior, did own, 15% or more of the corporation’s voting stock.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Staggered Board</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restated certificate of incorporation and restated by-laws provide for the Board of Directors to be divided into three classes serving staggered terms. At each annual meeting of stockholders, directors elected to succeed those directors whose terms expire are elected for a three-year term of office. All directors elected to our classified Board of Directors will serve until the election and qualification of their respective successors or their earlier resignation or removal. The Board of Directors is authorized to create new directorships and to fill such positions so created and is permitted to specify the class to which any such new position is assigned. The person filling such position would serve for the term applicable to that class. The Board of Directors (or its remaining members, even if less than a quorum) is also empowered to fill vacancies on the Board of Directors occurring for any reason for the remainder of the term of the class of directors in which the vacancy occurred. Members of the Board of Directors may only be removed for cause and only by the affirmative vote of 80% of the outstanding voting stock. These provisions are likely to increase the time required for stockholders to change the composition of the Board of Directors. For example, in general, at least two annual meetings will be necessary for stockholders to effect a change in a majority of the members of the Board of Directors. The provision for a classified board could prevent a party who acquires control of a majority of our outstanding common stock from obtaining control of our Board of Directors until our second annual stockholders meeting following the date the acquirer obtains the controlling stock interest. The classified board provision could have the effect of discouraging a potential acquirer from making a tender offer or otherwise attempting to obtain control of us and could increase the likelihood that incumbent directors will retain their positions.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provisions for stockholder proposals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restated by-laws establish an advance notice procedure for stockholder nominations of candidates for election to our Board of Directors, as well as procedures for including proposed nominations at special meetings at which directors are to be elected. Stockholders at our annual meeting may only consider proposals or nominations specified in the notice of meeting or brought before the meeting by or at the direction of our board or by a stockholder who was a stockholder of record on the record date for the meeting, who is entitled to vote at the meeting and who has given to our secretary timely written notice, in proper form, of the stockholder’s intention to bring that business before the meeting, and who has complied with the procedures and requirements set forth in the by-laws. Although the by-laws do not give the Board of Directors the power to approve or disapprove stockholder nominations of candidates or proposals regarding other business to be conducted at a special or annual meeting, these by-laws may have the effect of precluding the conduct of some business at a meeting if the proper procedures are not followed or may discourage or defer a potential acquirer from conducting a solicitation of proxies to elect its own slate of directors or otherwise attempting to obtain control of Microbot.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Special meetings of the stockholders may be called only by the Board of Directors, president or secretary upon the application of a majority of the directors. Stockholders are not permitted to call a special meeting or to require our Board of Directors to call a special meeting.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stockholder action by written consent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restated certificate of incorporation and restated by-laws do not permit our stockholders to act by written consent. As a result, any action to be effected by our stockholders must be effected at a duly called annual or special meeting of the stockholders.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Super-majority stockholder vote required for certain actions.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DGCL provides generally that the affirmative vote of a majority of the shares entitled to vote on any matter is required to amend a corporation’s certificate of incorporation or by-laws, unless the corporation’s certificate of incorporation or by-laws, as the case may be, requires a greater percentage. Our restated certificate of incorporation requires the affirmative vote of the holders of at least 80% of our outstanding voting stock to amend or repeal certain provisions of our restated certificate of incorporation. This 80% stockholder vote would be in addition to any separate class vote that might in the future be required pursuant to the terms of any preferred stock that might then be outstanding. In addition, an 80% vote is also required for any amendment to, or repeal of, our restated by-laws by the stockholders. Our restated by-laws may be amended or repealed by a vote of a majority of the total number of authorized directors.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Limitation of Liability and Indemnification</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restated certificate of incorporation and our amended and restated bylaws provide that each person who was or is made a party or is threatened to be made a party to or is otherwise involved (including, without limitation, as a witness) in any action, suit or proceeding, whether civil, criminal, administrative or investigative, by reason of the fact that he or she is or was one of our directors or officers or is or was serving at our request as a director, officer, or trustee of another corporation, or of a partnership, joint venture, trust or other enterprise, including service with respect to an employee benefit plan, whether the basis of such proceeding is alleged action in an official capacity as a director, officer or trustee or in any other capacity while serving as a director, officer or trustee, shall be indemnified and held harmless by us to the fullest extent authorized by the DGCL against all expense, liability and loss (including attorneys’ fees, judgments, fines, ERISA excise taxes or penalties and amounts paid in settlement) reasonably incurred or suffered by such.</w:t>
      </w:r>
    </w:p>
    <w:p>
      <w:pPr>
        <w:spacing w:after="0" w:line="1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Section 145 of the DGCL permits a corporation to indemnify any director or officer of the corporation against expenses (including attorneys’ fees), judgments, fines and amounts paid in settlement actually and reasonably incurred in connection with any action, suit or proceeding brought by reason of the fact that such person is or was a director or officer of the corporation, if such person acted in good faith and in a manner that he or she reasonably believed to be in, or not opposed to, the best interests of the corporation, and, with respect to any criminal action or proceeding, if he or she had no reasonable cause to believe his or her conduct was unlawful. In a derivative action (i.e., one brought by or on behalf of the corporation), indemnification may be provided only for expenses actually and reasonably incurred by any director or officer in connection with the defense or settlement of such an action or suit if such person acted in good faith and in a manner that he or she reasonably believed to be in, or not opposed to, the best interests of the corporation, except that no indemnification shall be provided if such person shall have been adjudged to be liable to the corporation, unless and only to the extent that the Delaware Chancery Court or the court in which the action or suit was brought shall determine that such person is fairly and reasonably entitled to indemnity for such expenses despite such adjudication of liability.</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Section 102(b)(7) of the DGCL, Article Ninth of our restated certificate of incorporation eliminates the liability of a director to us or our stockholders for monetary damages for such a breach of fiduciary duty as a director, except for liabilities arising:</w:t>
      </w:r>
    </w:p>
    <w:p>
      <w:pPr>
        <w:spacing w:after="0" w:line="170" w:lineRule="exact"/>
        <w:rPr>
          <w:sz w:val="20"/>
          <w:szCs w:val="20"/>
          <w:color w:val="auto"/>
        </w:rPr>
      </w:pPr>
    </w:p>
    <w:p>
      <w:pPr>
        <w:ind w:left="5540" w:right="4920" w:hanging="4884"/>
        <w:spacing w:after="0" w:line="623" w:lineRule="auto"/>
        <w:tabs>
          <w:tab w:leader="none" w:pos="986" w:val="left"/>
        </w:tabs>
        <w:numPr>
          <w:ilvl w:val="0"/>
          <w:numId w:val="27"/>
        </w:numPr>
        <w:rPr>
          <w:rFonts w:ascii="Arial" w:cs="Arial" w:eastAsia="Arial" w:hAnsi="Arial"/>
          <w:sz w:val="16"/>
          <w:szCs w:val="16"/>
          <w:color w:val="auto"/>
        </w:rPr>
      </w:pPr>
      <w:r>
        <w:rPr>
          <w:rFonts w:ascii="Arial" w:cs="Arial" w:eastAsia="Arial" w:hAnsi="Arial"/>
          <w:sz w:val="16"/>
          <w:szCs w:val="16"/>
          <w:color w:val="auto"/>
        </w:rPr>
        <w:t>from any breach of the director’s duty of loyalty to us or our stockholders;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1" w:name="page42"/>
    <w:bookmarkEnd w:id="41"/>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from acts or omissions not in good faith or which involve intentional misconduct or a knowing violation of law;</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under Section 174 of the DGCL;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from any transaction from which the director derived an improper personal benefit.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231F20"/>
        </w:rPr>
        <w:t>We have entered into indemnification agreements with our directors and certain officers, in addition to the indemnification provided in our restated certificate of incorporation and our amended and restated bylaws, and intend to enter into indemnification agreements with any new directors and executive officers in the future. We have purchased and intend to maintain insurance on behalf of any person who is or was a director or officer against any loss arising from any claim asserted against him or her and incurred by him or her in any such capacity, subject to certain exclusions.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231F20"/>
        </w:rPr>
        <w:t>The foregoing discussion of our restated certificate of incorporation, amended and restated bylaws, indemnification agreements, indemnity agreement, and Delaware law is not intended to be exhaustive and is qualified in its entirety by such restated certificate of incorporation, amended and restated bylaws, indemnification agreements, indemnity agreement, or law.</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validity of the shares being offered under this prospectus by us will be passed upon for us by Mintz, Levin, Cohn, Ferris, Glovsky and Popeo, P.C., Boston, Massachusetts.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consolidated financial statements of Microbot Medical Inc. appearing it its Annual Report on Form 10-K for the year ended December 31, 2019, have been audited by Brightman Almagor Zohar &amp; Co., a firm in the Deloitte Global Network, independent registered public accounting firm, as set forth in their report thereon, including therein, and incorporated herein by reference. Such consolidated financial statements are incorporated herein by reference in reliance upon such report given on the authority of such firm as experts in accounting and auditing.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subject to the reporting requirements of the Exchange Act and file annual, quarterly and current reports, proxy statements and other information with the SEC. SEC filings are available at the SEC’s website at http://www.sec.gov.</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registration statement and the documents referred to below under “Incorporation of Certain Information by Reference” are also available on our website at http://www.microbotmedical.com. We have not incorporated by reference into this prospectus the information on our website, and you should not consider it to be a part of this prospectus.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S-3 under the Securities Act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are available at the SEC’s website at http://www.sec.gov. The documents we are incorporating by reference are: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2" w:name="page43"/>
    <w:bookmarkEnd w:id="42"/>
    <w:p>
      <w:pPr>
        <w:ind w:left="98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2019 filed with the SEC on April 14, 2020 and Amendment No. 1 to our Annual Report on Form 10-K for the year ended December 31, 2019 filed on April 29, 2020;</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March 31, 2020, June 30, 2020 and September 30, 2020 that we filed with the SEC on May 15, 2020, August 14, 2020 and November 16, 2020.</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(except for the information furnished under Items 2.02 or 7.01 and the exhibits furnished thereto) on: February 25, 2020, February 28, 2020, March 3, 2020, April 1, 2020, May 7, 2020, June 19, 2020, August 3, 2020 and September 4, 2020;</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August 3, 1998, under the Exchange Act, including any amendment or report filed for the purpose of updating such description;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reports and other documents subsequently filed by us pursuant to Sections 13(a), 13(c), 14 and 15(d) of the Exchange Act after the date of this prospectus and prior to the termination of this offering.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SEC file number for each of the documents listed above is 000-19871</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all reports and other documents filed by us pursuant to the Exchange Act after the date of the initial registration statement and prior to effectiveness of the registration statement shall be deemed to be incorporated by reference into this prospectus.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will provide, upon written or oral request, without charge to each person, including any beneficial owner, to whom a copy of this prospectus is delivered, a copy of any or all of the information incorporated herein by reference (exclusive of exhibits to such documents unless such exhibits are specifically incorporated by reference herein). You may request a copy of any or all of these filings, at no cost, by writing or telephoning us at: Microbot Medical Inc., 25 Recreation Park Drive, Unit 108, Hingham, MA 02043; Attention: Harel Gadot; telephone number (908) 938-5561.</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You should rely only on information contained in, or incorporated by reference into, this prospectus and any prospectus supplement.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t>655,569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1574165</wp:posOffset>
            </wp:positionH>
            <wp:positionV relativeFrom="paragraph">
              <wp:posOffset>428625</wp:posOffset>
            </wp:positionV>
            <wp:extent cx="2571750" cy="9429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2571750"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7"/>
          <w:szCs w:val="27"/>
          <w:b w:val="1"/>
          <w:bCs w:val="1"/>
          <w:color w:val="auto"/>
        </w:rPr>
        <w:t>H.C. Wainwright &amp; Co.</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May 22,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6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decimal"/>
      <w:start w:val="1"/>
    </w:lvl>
  </w:abstractNum>
  <w:abstractNum w:abstractNumId="1">
    <w:nsid w:val="41A7C4C9"/>
    <w:multiLevelType w:val="hybridMultilevel"/>
    <w:lvl w:ilvl="0">
      <w:lvlJc w:val="left"/>
      <w:lvlText w:val="●"/>
      <w:numFmt w:val="bullet"/>
      <w:start w:val="1"/>
    </w:lvl>
    <w:lvl w:ilvl="1">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
      <w:numFmt w:val="bullet"/>
      <w:start w:val="1"/>
    </w:lvl>
  </w:abstractNum>
  <w:abstractNum w:abstractNumId="27">
    <w:nsid w:val="836C40E"/>
    <w:multiLevelType w:val="hybridMultilevel"/>
    <w:lvl w:ilvl="0">
      <w:lvlJc w:val="left"/>
      <w:lvlText w:val="●"/>
      <w:numFmt w:val="bullet"/>
      <w:start w:val="1"/>
    </w:lvl>
  </w:abstractNum>
  <w:abstractNum w:abstractNumId="28">
    <w:nsid w:val="2901D8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jpe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jpeg"/><Relationship Id="rId62" Type="http://schemas.openxmlformats.org/officeDocument/2006/relationships/image" Target="media/image50.png"/><Relationship Id="rId28" Type="http://schemas.openxmlformats.org/officeDocument/2006/relationships/hyperlink" Target="https://www.sec.gov/Archives/edgar/data/883975/000149315223010223/form10-k.htm" TargetMode="External"/><Relationship Id="rId29" Type="http://schemas.openxmlformats.org/officeDocument/2006/relationships/hyperlink" Target="https://www.sec.gov/Archives/edgar/data/883975/000149315223017966/form10-q.htm" TargetMode="External"/><Relationship Id="rId30" Type="http://schemas.openxmlformats.org/officeDocument/2006/relationships/hyperlink" Target="https://www.sec.gov/Archives/edgar/data/883975/000149315223002202/form8-k.htm" TargetMode="External"/><Relationship Id="rId31" Type="http://schemas.openxmlformats.org/officeDocument/2006/relationships/hyperlink" Target="https://www.sec.gov/Archives/edgar/data/883975/000149315223018050/form8-k.htm" TargetMode="External"/><Relationship Id="rId32" Type="http://schemas.openxmlformats.org/officeDocument/2006/relationships/hyperlink" Target="https://www.sec.gov/Archives/edgar/data/883975/000149315223018456/form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2023-05-23T11:59:21Z</dcterms:created>
  <dcterms:modified xsi:type="dcterms:W3CDTF">2023-05-23T11:59:21Z</dcterms:modified>
</cp:coreProperties>
</file>