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10,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00" w:type="dxa"/>
            <w:vAlign w:val="bottom"/>
          </w:tcPr>
          <w:p>
            <w:pPr>
              <w:spacing w:after="0"/>
              <w:rPr>
                <w:sz w:val="19"/>
                <w:szCs w:val="19"/>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“we” or “us”) is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in the peripheral vasculature.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 and Concurrent 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7, 2025, after taking into account the issuance of all of the shares sold under the ATM Agreement and all of the shares sold to the investors in the January 2025 Offerings (excluding shares underlying the series G preferred investment options), we had 24,242,120 shares of our common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Current Report on Form 8-K, although a cease fire with Hamas was declared on January 15, 2025 and there is currently a ceasefire with Hezbollah in Lebanon.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Current Report on Form 8-K, we have determined that there have not been any materially adverse effects on our business or operations, but we continue to monitor the situation, as any collapse of the cease-fire with Hamas or Hezbollah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September 30, 2024, Microbot had a net working capital of approximately $3.6 million, consisting primarily of cash and cash equivalents and marketable securities. This compares to net working capital of approximately $4.1 million as of December 31, 2023. This does not include or take into account any of the approximately $20.6 million we raised subsequent to September 30, 2024, discussed further below. Microbot anticipates that it will continue to incur net losses for the foreseeable future as it continues research and development efforts and ramps up commercialization of its primary product candidate and continues to incur costs associated with being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January 31, 2025, Microbot has raised cash proceeds of approximately $93.4 million. Since inception (November 2010) through September 30, 2024, Microbot incurred a total cumulative loss of approximately $87.5 million.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September 30, 2024 in the total amount of approximately $1.9 million. This amount includes amounts received of approximately $378,000, which are a portion of an additional grant from the IIA in the amount of approximately NIS 1.6 million (approximately $447,000) approved by the IIA on June 1, 2023,</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as well as to assume CardioSert’s grants from the IIA</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the aggregate amount of approximately $530,000. During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quarter of 2024, Microbot Israel transferred such technology back to CardioSert, for nominal consideration and, as a result, Microbot Israel’s liability to repay CardioSert’s IIA grants in the aggregate amount of approximately $530,000 was also transferred back to CardioSert.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 Endovascular Robotic Surgical System in the U.S. market. In relation to the Ministry of Economy grant, the Company is obligated to pay royalties amounting to 3% of future sales of the LIBERTY® Endovascular Robotic Surgical System up to the grant amount plus interest.</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through January 31, 2025, we have raised the following amounts:</w:t>
      </w:r>
    </w:p>
    <w:p>
      <w:pPr>
        <w:spacing w:after="0" w:line="201"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and June 2023, Microbot raised aggregate gross proceeds of approximately $7.6 million, before fees and expenses of approximately $1.1 million, from investors;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$5.08 million in gross proceeds, before fees and expenses of approximately $661,000, from financing activities through June 30,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approximately $4.8 million in gross proceeds, before fees and expenses of $167,292, through our ATM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Microbot raised aggregate gross proceeds of approximately $15.6 million, before fees and expenses of approximately $1.4 million, from investors;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Microbot raised approximately 915,000 in gross proceeds from the exercise of outstanding preferred investment options.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To the extent available, Microbot intends to continue to raise capital through future public and private issuances of debt and/or equity securities, to fund its commercial activities and working capital and general business purposes.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 and will need additional funds to continue the commercialization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As of the date of this Current Report on Form 8-K, management believes we have sufficient funds for our operations for in excess of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believe the main competitor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NMPA, South Africa for PCI only), and we believe there are many other competitors in the endovascular robotics space. We believe these systems of our competitors that we have identified have drawbacks, such as limited maneuverability, the requirement to exchange and use multiple expensive surgical tools, being cumbersome to set-up and operate, and/or requiring significant upfront capital expenditures. We also expect that we could be competing with other technologies that are in different stages of development, including preclinical, clinical and without CE/FDA approvals, such as LN Robotics (approved in Korea for coronary interventions) Nanoflex Robotics, UAB Inovatyvi medicina and Endoways, of which additional competitive data will be required to better determine their respective positioning in the competitive landscape.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0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6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 xml:space="preserve">Bonus </w:t>
            </w: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40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4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0"/>
        </w:trPr>
        <w:tc>
          <w:tcPr>
            <w:tcW w:w="2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520,249</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149,189(5)</w:t>
            </w:r>
          </w:p>
        </w:tc>
        <w:tc>
          <w:tcPr>
            <w:tcW w:w="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501,304(9)</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57,900(3)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1,228,642</w:t>
            </w:r>
          </w:p>
        </w:tc>
      </w:tr>
      <w:tr>
        <w:trPr>
          <w:trHeight w:val="198"/>
        </w:trPr>
        <w:tc>
          <w:tcPr>
            <w:tcW w:w="2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CEO, President &amp;</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372,521</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386,000(2)</w:t>
            </w:r>
          </w:p>
        </w:tc>
        <w:tc>
          <w:tcPr>
            <w:tcW w:w="6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470,302</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55,300(3)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1,284,123</w:t>
            </w: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241,455</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84,754(4)</w:t>
            </w:r>
          </w:p>
        </w:tc>
        <w:tc>
          <w:tcPr>
            <w:tcW w:w="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114,425(9)</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89,435(6)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530,069</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195,901</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87,022(2)</w:t>
            </w:r>
          </w:p>
        </w:tc>
        <w:tc>
          <w:tcPr>
            <w:tcW w:w="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88,418</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98,589(6)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Juan Diaz-Cartelle</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350,000</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15,246(9)</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365,246</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 (7)</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14,808</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720</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15,528</w:t>
            </w: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162,793</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40,816(4)</w:t>
            </w:r>
          </w:p>
        </w:tc>
        <w:tc>
          <w:tcPr>
            <w:tcW w:w="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101,182(9)</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53,694(8)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358,485</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139,601</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27,626(2)</w:t>
            </w:r>
          </w:p>
        </w:tc>
        <w:tc>
          <w:tcPr>
            <w:tcW w:w="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76,533</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45,743(8)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the Company’s Annual Report on Form 10-K for the fiscal year ended December 31, 2023.</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 and a yearly automobile allowance.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 For the 2023 fiscal year, Mr. Gadot received in 2024 $149,188.50 of a possible maximum of $298,377, and a bonus in the form of 79,567 stock options.</w:t>
      </w: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and yearly automobile allowance.</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Diaz-Cartelle commenced employment on December 1, 2023.</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w:t>
      </w:r>
    </w:p>
    <w:p>
      <w:pPr>
        <w:ind w:left="34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value of certain performance-based options granted to the executive in 2024 which until February 5, 2025 remained subject to confirmation of performance vesting by the Company’s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or Payout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or Units of</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Units of</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38"/>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 Vested</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Not Vested</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09"/>
        </w:trPr>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77,846</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1/01/2025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120,847</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9/14/2027</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166,666</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2/25/2030</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02/01/2031</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01/26/2032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12/21/2032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08/01/2033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02/22/2034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02/22/2034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02/26/2034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02/26/2034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380" w:type="dxa"/>
            <w:vAlign w:val="bottom"/>
            <w:gridSpan w:val="3"/>
          </w:tcPr>
          <w:p>
            <w:pPr>
              <w:spacing w:after="0"/>
              <w:rPr>
                <w:sz w:val="18"/>
                <w:szCs w:val="18"/>
                <w:color w:val="auto"/>
              </w:rPr>
            </w:pPr>
          </w:p>
        </w:tc>
        <w:tc>
          <w:tcPr>
            <w:tcW w:w="14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08/13/2028</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14,170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08/12/2029</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23,125</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01/26/2032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12/21/2032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08/01/2033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02/22/2034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02/22/2034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02/26/2034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380" w:type="dxa"/>
            <w:vAlign w:val="bottom"/>
            <w:gridSpan w:val="3"/>
          </w:tcPr>
          <w:p>
            <w:pPr>
              <w:spacing w:after="0"/>
              <w:rPr>
                <w:sz w:val="18"/>
                <w:szCs w:val="18"/>
                <w:color w:val="auto"/>
              </w:rPr>
            </w:pPr>
          </w:p>
        </w:tc>
        <w:tc>
          <w:tcPr>
            <w:tcW w:w="14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01/26/2032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7,750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07/18/2032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9,100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12/21/2032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08/01/2033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02/22/2034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02/22/2034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02/26/2034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Juan Diaz-</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Cartelle</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01/12/2033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5,687</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02/22/2034</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02/26/2034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Harel Gadot Employment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as amended most recently on January 26, 2022, to serve as the Company’s Chairman of the Board of Directors and Chief Executive Officer, on an indefinite basis subject to the termination provisions described in the Agreement. The salary is reviewed on an annual basis by the Compensation Committee of the Company to determine potential increases taking into account such performance metrics and criteria as established by Mr. Gadot and the Company. For the fiscal year ending December 31, 2025, Mr. Gadot’s annual salary is $556,972.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which maximum amount of $397,837 was paid in 2025 for the 2024 fiscal year. For the 2023 fiscal year, Mr. Gadot received in 2024 $149,188.50 of a possible maximum of $298,377, and a bonus in the form of 79,567 stock options. In January 2025, the Compensation Committee authorized the payment to Mr. Gadot of a special bonus in the amount of approximately $150,000.</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w:t>
      </w:r>
    </w:p>
    <w:p>
      <w:pPr>
        <w:sectPr>
          <w:pgSz w:w="11900" w:h="16838" w:orient="portrait"/>
          <w:cols w:equalWidth="0" w:num="1">
            <w:col w:w="11240"/>
          </w:cols>
          <w:pgMar w:left="320" w:top="684" w:right="339" w:bottom="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Company. Since then, the Compensation Committee of the Board of Directors considers the granting to Mr. Gadot of additional compensatory options on an annual basis. In February 2024, the Company granted Mr. Gadot an aggregate of 240,000 options (exclusive of the bonus options described above), of which 80,000 were performance-based options and of which 12,000 vested in accordance with their terms as of February 5,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Rachel Vaknin Employment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dated November 22, 2021, amended as of May 15, 2023 and February 5, 2025 (as amended, the “Vaknin Agreement”), with Ms. Vaknin,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For the fiscal year ending December 31, 2025, Ms. Vaknin’s annual salary is 720,000 NIS.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35% (increased from 25% in February 2024) of her annual salary. For the 2024 fiscal year, Ms. Vaknin received a cash bonus of 210,000 NIS (approximately $58,000).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In February 2024, the Company granted Ms. Vaknin an aggregate of 52,500 options, of which 17,500 were performance-based options and of which 4,375 vested in accordance with their terms as of February 5,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Simon Sharon Employment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further amended as of May 15, 2023 and on February 5, 2025 (as so amended, the “Sharon Agreement”), with Mr. Sharon, to serve as the Company’s Chief Technology Officer and the General Manager of Microbot Israel, on an indefinite basis subject to the termination provisions described in the Sharon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Sharon Agreement, for the fiscal year ending December 31, 2025, Mr. Sharon’s annual salary is 960,000.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Sharon shall also be entitled to receive a target annual cash bonus, based on certain milestones, of up to a maximum amount of 35% of him annual salary. For the 2024 fiscal year, Mr. Sharon received a cash bonus of approximately $85,000.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In February 2024, the Company granted Mr. Sharon an aggregate of 52,500 options, of which 17,500 were performance-based options and of which 8,750 vested in accordance with their terms as of February 5,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effective as of December 1, 2023 and as amended on February 5, 2025 (as so amended, the “Diaz-Cartelle Agreement”), with Dr. Diaz-Cartelle, to serve as Chief Medical Officer on an indefinite basis subject to the termination provisions described in the Diaz-Cartelle Agreement. Pursuant to the terms of the Agreement, Dr. Diaz-Cartelle shall receive an annual base salary, which shall be reviewed on an annual basis by the Company’s Compensation Committee, which may provide for increases as it may determine, taking into account such performance metrics and criteria of Dr. Diaz-Cartelle and the Company in its sole discretion. Pursuant to the terms of the Diaz-Cartelle Agreement, for the fiscal year ending December 31, 2025, Dr. Diaz-Cartelle’s annual salary is $367,500.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35% (up from 30%) of his annual base salary, provided that he is employed by the Company as of December 31st of the year to which the Target Bonus relates in order to receive the Target Bonus. For the 2024 fiscal year, Dr. Diaz-Cartelle’s received a cash bonus of approximately $105,000.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 of which 17,500 were performance-based options and of which 10,500 vested in accordance with their terms as of February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stock options with an additional grant of stock options each year thereafter. The Company had recently amended the director’s compensation package to remove the requirement that the option grants be based on a specific dollar value of $95,000 (or $190,000 for new directors) as a result of the decrease in value of the Company’s stock price and the corresponding increase in the number of options the directors would have each received. Instead, the number of options shall be determined by the Compensation Committee or the Board based on, among other factors, a market competitive percentage of the Corporation’s issued and outstanding shares of common stock from time to time. For the 2024 fiscal year, in January 2025 the independent members of the Board were each granted 10,000 options with Mr. Wilson, as a newly elected director, being granted an additional 10,000 options. Additionally, as a result of the Company’s May 2023 cost reduction plan, the independent members of the Board agreed to a suspension of their quarterly director fees, with reinstatement of such fees effective 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earned</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6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 paid</w:t>
            </w: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04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0"/>
                <w:szCs w:val="20"/>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80" w:type="dxa"/>
            <w:vAlign w:val="bottom"/>
          </w:tcPr>
          <w:p>
            <w:pPr>
              <w:spacing w:after="0"/>
              <w:rPr>
                <w:sz w:val="20"/>
                <w:szCs w:val="20"/>
                <w:color w:val="auto"/>
              </w:rPr>
            </w:pPr>
          </w:p>
        </w:tc>
        <w:tc>
          <w:tcPr>
            <w:tcW w:w="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0"/>
                <w:szCs w:val="20"/>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 (2)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39,375</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66,891</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106,266</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45,000</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66,891</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111,891</w:t>
            </w: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45,000</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66,891</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111,891</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33,750</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66,891</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100,641</w:t>
            </w: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31,875</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66,891</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98,766</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30,000</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66,891</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96,891</w:t>
            </w: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2023.</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Bornstein’s term as a director expired in December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2024.</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60" w:type="dxa"/>
            <w:vAlign w:val="bottom"/>
          </w:tcPr>
          <w:p>
            <w:pPr>
              <w:spacing w:after="0"/>
              <w:rPr>
                <w:sz w:val="18"/>
                <w:szCs w:val="18"/>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60" w:type="dxa"/>
            <w:vAlign w:val="bottom"/>
          </w:tcPr>
          <w:p>
            <w:pPr>
              <w:spacing w:after="0"/>
              <w:rPr>
                <w:sz w:val="18"/>
                <w:szCs w:val="18"/>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38"/>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future issuance</w:t>
            </w:r>
          </w:p>
        </w:tc>
      </w:tr>
      <w:tr>
        <w:trPr>
          <w:trHeight w:val="623"/>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467,133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156,585</w:t>
            </w:r>
          </w:p>
        </w:tc>
      </w:tr>
      <w:tr>
        <w:trPr>
          <w:trHeight w:val="234"/>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1,978,435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642,217</w:t>
            </w:r>
          </w:p>
        </w:tc>
      </w:tr>
      <w:tr>
        <w:trPr>
          <w:trHeight w:val="414"/>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61,577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77, 846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2,584,991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798,802</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-1156970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-873760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-599440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-325120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60"/>
          </w:cols>
          <w:pgMar w:left="320" w:top="688" w:right="339" w:bottom="1440" w:gutter="0" w:footer="0" w:header="0"/>
          <w:type w:val="continuous"/>
        </w:sectPr>
      </w:pPr>
    </w:p>
    <w:p>
      <w:pPr>
        <w:spacing w:after="0" w:line="38" w:lineRule="exact"/>
        <w:rPr>
          <w:sz w:val="20"/>
          <w:szCs w:val="20"/>
          <w:color w:val="auto"/>
        </w:rPr>
      </w:pPr>
    </w:p>
    <w:p>
      <w:pPr>
        <w:jc w:val="both"/>
        <w:ind w:left="340" w:hanging="332"/>
        <w:spacing w:after="0" w:line="25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January 31, 2025,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January 31, 2025. We calculated percentage ownership in accordance with the rules of the SEC. The percentage of common stock beneficially owned is based on 28,641,187 shares outstanding as of January 31, 2025. In addition, shares issuable pursuant to options or other convertible securities that may be acquired within 60 days of January 31, 2025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 Beneficially</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38"/>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c>
          <w:tcPr>
            <w:tcW w:w="160" w:type="dxa"/>
            <w:vAlign w:val="bottom"/>
            <w:tcBorders>
              <w:bottom w:val="single" w:sz="8" w:color="CCEEFF"/>
            </w:tcBorders>
          </w:tcPr>
          <w:p>
            <w:pPr>
              <w:spacing w:after="0"/>
              <w:rPr>
                <w:sz w:val="20"/>
                <w:szCs w:val="20"/>
                <w:color w:val="auto"/>
              </w:rPr>
            </w:pPr>
          </w:p>
        </w:tc>
      </w:tr>
      <w:tr>
        <w:trPr>
          <w:trHeight w:val="250"/>
        </w:trPr>
        <w:tc>
          <w:tcPr>
            <w:tcW w:w="71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Harel Gadot</w:t>
            </w:r>
            <w:r>
              <w:rPr>
                <w:rFonts w:ascii="Times New Roman" w:cs="Times New Roman" w:eastAsia="Times New Roman" w:hAnsi="Times New Roman"/>
                <w:sz w:val="28"/>
                <w:szCs w:val="28"/>
                <w:color w:val="auto"/>
                <w:vertAlign w:val="superscript"/>
              </w:rPr>
              <w:t>(1)(2)</w:t>
            </w:r>
          </w:p>
        </w:tc>
        <w:tc>
          <w:tcPr>
            <w:tcW w:w="22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1,073,927</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74,554</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74,554</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74,554</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69,458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(2)(3)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107,795</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67,867</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(2)(3)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72,700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(2)(3)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18,875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1,634,284</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and (ii) 937,080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performance-based options, the vesting of which remains subject to confirmation by the Company’s Compensation Committee. See “Executive Compensation—Executive Employment Agreements” above.</w:t>
      </w: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15, 2025, we had:</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2,584,991 shares of our common stock issuable upon the exercise of outstanding stock options granted to employees, directors and consultants, with exercise prices ranging from approximately $0.005 to $15.75 and having a weighted-average exercise price of $4.58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642,217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15,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$2.8375.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Roman"/>
      <w:start w:val="2"/>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2025-02-10T05:10:20Z</dcterms:created>
  <dcterms:modified xsi:type="dcterms:W3CDTF">2025-02-10T05:10:20Z</dcterms:modified>
</cp:coreProperties>
</file>