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4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April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6"/>
      <w:bookmarkEnd w:id="4"/>
      <w:r>
        <w:rPr>
          <w:rFonts w:ascii="Times New Roman;Times;Serif" w:hAnsi="Times New Roman;Times;Serif"/>
          <w:b/>
          <w:i w:val="false"/>
          <w:caps w:val="false"/>
          <w:smallCaps w:val="false"/>
          <w:sz w:val="36"/>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28" w:type="dxa"/>
          <w:right w:w="0" w:type="dxa"/>
        </w:tblCellMar>
      </w:tblPr>
      <w:tblGrid>
        <w:gridCol w:w="2270"/>
        <w:gridCol w:w="60"/>
        <w:gridCol w:w="1145"/>
        <w:gridCol w:w="60"/>
        <w:gridCol w:w="1565"/>
      </w:tblGrid>
      <w:tr>
        <w:trPr/>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9_edei--EntityFileNumber_c20260410"/>
            <w:bookmarkEnd w:id="6"/>
            <w:r>
              <w:rPr>
                <w:rFonts w:ascii="Times New Roman;Times;Serif" w:hAnsi="Times New Roman;Times;Serif"/>
                <w:b/>
                <w:i w:val="false"/>
                <w:caps w:val="false"/>
                <w:smallCaps w:val="false"/>
                <w:sz w:val="20"/>
              </w:rPr>
              <w:t>000-19871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94-3078125</w:t>
            </w:r>
          </w:p>
        </w:tc>
      </w:tr>
      <w:tr>
        <w:trPr/>
        <w:tc>
          <w:tcPr>
            <w:tcW w:w="22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175 Derby St., </w:t>
      </w:r>
      <w:bookmarkStart w:id="9" w:name="xdx_90D_edei--EntityAddressAddressLine2_"/>
      <w:bookmarkEnd w:id="9"/>
      <w:r>
        <w:rPr>
          <w:rFonts w:ascii="Times New Roman;Times;Serif" w:hAnsi="Times New Roman;Times;Serif"/>
          <w:b/>
          <w:i w:val="false"/>
          <w:caps w:val="false"/>
          <w:smallCaps w:val="false"/>
          <w:sz w:val="20"/>
        </w:rPr>
        <w:t>Bld. 27</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6_edei--EntityAddressCityOrTown_c2"/>
      <w:bookmarkEnd w:id="10"/>
      <w:r>
        <w:rPr>
          <w:rFonts w:ascii="Times New Roman;Times;Serif" w:hAnsi="Times New Roman;Times;Serif"/>
          <w:b/>
          <w:i w:val="false"/>
          <w:caps w:val="false"/>
          <w:smallCaps w:val="false"/>
          <w:sz w:val="20"/>
        </w:rPr>
        <w:t xml:space="preserve">Hingham, </w:t>
      </w:r>
      <w:bookmarkStart w:id="11" w:name="xdx_900_edei--EntityAddressStateOrProvin"/>
      <w:bookmarkEnd w:id="11"/>
      <w:r>
        <w:rPr>
          <w:rFonts w:ascii="Times New Roman;Times;Serif" w:hAnsi="Times New Roman;Times;Serif"/>
          <w:b/>
          <w:i w:val="false"/>
          <w:caps w:val="false"/>
          <w:smallCaps w:val="false"/>
          <w:sz w:val="20"/>
        </w:rPr>
        <w:t xml:space="preserve">MA </w:t>
      </w:r>
      <w:bookmarkStart w:id="12" w:name="xdx_903_edei--EntityAddressPostalZipCode"/>
      <w:bookmarkEnd w:id="12"/>
      <w:r>
        <w:rPr>
          <w:rFonts w:ascii="Times New Roman;Times;Serif" w:hAnsi="Times New Roman;Times;Serif"/>
          <w:b/>
          <w:i w:val="false"/>
          <w:caps w:val="false"/>
          <w:smallCaps w:val="false"/>
          <w:sz w:val="20"/>
        </w:rPr>
        <w:t>02043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6_edei--CityAreaCode_c20260410__20"/>
      <w:bookmarkEnd w:id="13"/>
      <w:r>
        <w:rPr>
          <w:rFonts w:ascii="Times New Roman;Times;Serif" w:hAnsi="Times New Roman;Times;Serif"/>
          <w:b/>
          <w:i w:val="false"/>
          <w:caps w:val="false"/>
          <w:smallCaps w:val="false"/>
          <w:sz w:val="20"/>
        </w:rPr>
        <w:t xml:space="preserve">(781) </w:t>
      </w:r>
      <w:bookmarkStart w:id="14" w:name="xdx_90F_edei--LocalPhoneNumber_c20260410"/>
      <w:bookmarkEnd w:id="14"/>
      <w:r>
        <w:rPr>
          <w:rFonts w:ascii="Times New Roman;Times;Serif" w:hAnsi="Times New Roman;Times;Serif"/>
          <w:b/>
          <w:i w:val="false"/>
          <w:caps w:val="false"/>
          <w:smallCaps w:val="false"/>
          <w:sz w:val="20"/>
        </w:rPr>
        <w:t>875-3605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3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9_edei--SolicitingMaterial_c202604"/>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0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5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c>
      </w:tr>
    </w:tbl>
    <w:p>
      <w:pPr>
        <w:pStyle w:val="TextBody"/>
        <w:bidi w:val="0"/>
        <w:spacing w:before="0" w:after="0"/>
        <w:ind w:left="0" w:right="0" w:hanging="0"/>
        <w:jc w:val="both"/>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2645"/>
        <w:gridCol w:w="60"/>
        <w:gridCol w:w="1610"/>
        <w:gridCol w:w="60"/>
        <w:gridCol w:w="3710"/>
      </w:tblGrid>
      <w:tr>
        <w:trPr/>
        <w:tc>
          <w:tcPr>
            <w:tcW w:w="26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Security12bTitle_c20260410"/>
            <w:bookmarkEnd w:id="19"/>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9_edei--TradingSymbol_c20260410__2"/>
            <w:bookmarkEnd w:id="20"/>
            <w:r>
              <w:rPr>
                <w:rFonts w:ascii="Times New Roman;Times;Serif" w:hAnsi="Times New Roman;Times;Serif"/>
                <w:b w:val="false"/>
                <w:i w:val="false"/>
                <w:caps w:val="false"/>
                <w:smallCaps w:val="false"/>
                <w:sz w:val="20"/>
              </w:rPr>
              <w:t>MBOT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8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Microbot Medical Inc. (the “Company”) previously entered into an At the Market Offering Agreement dated June 10, 2021, as amended on July 1, 2024 (the “Sales Agreement”), with H.C. Wainwright &amp; Co., LLC (“Wainwright”) in connection with the Company’s “at the market offering” program (the “ATM Program”). Pursuant to the terms of the Sales Agreement, the Company may sell from time to time through Wainwright the Company’s common stock (“Common Stock”), par value $0.01 per share (the “ATM Shares”), having an aggregate offering price of up to $39,230,691 (the “ATM Program”). Sales of the ATM Shares under the ATM Program, if any, will be made by means of transactions that are deemed to be an “at the market offering” as defined in Rule 415 under the Securities Act of 1933, as amended, including sales made directly on or through the Nasdaq Capital Market, the existing trading market for the Common Stock, sales made to or through a market maker other than on an exchange or otherwise, directly to Wainwright as principal, in negotiated transactions at market prices prevailing at the time of sale or at prices related to such prevailing market prices, and/or in any other method permitted by law.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file a prospectus supplement to the Company’s shelf registration statement on Form S-3 (File No. 333-275634) (the “Prospectus Supplement”) with the Securities and Exchange Commission in connection with the offer and sale of the ATM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of the Company’s counsel regarding the validity of the ATM Shares offered pursuant to the ATM Program under the Prospectus Supplement is filed as Exhibit 5.1 to this Current Report on Form 8-K.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Current Report on Form 8-K does not constitute an offer to sell or a solicitation of an offer to buy shares of the Company’s common stock, and there shall not be any sale of such shares in any state or jurisdiction in which such an offer, solicitation or sale would be unlawful prior to registration or qualification under the securities laws of any such jurisdiction. The sale of ATM Shares is being made only by means of a prospectus and related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2"/>
        <w:gridCol w:w="60"/>
        <w:gridCol w:w="9333"/>
      </w:tblGrid>
      <w:tr>
        <w:trPr/>
        <w:tc>
          <w:tcPr>
            <w:tcW w:w="812"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3"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Mintz, Levin, Cohn, Ferris, Glovsky and Popeo, P.C.</w:t>
              </w:r>
            </w:hyperlink>
          </w:p>
        </w:tc>
      </w:tr>
      <w:tr>
        <w:trPr/>
        <w:tc>
          <w:tcPr>
            <w:tcW w:w="81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3"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At the Market Offering Agreement, dated June 10, 2021, by and between Microbot Medical Inc. and H.C. Wainwright &amp; Co., LLC (incorporated by reference to Exhibit 10.1 of the Company’s Form 8-K filed on June 10, 2021).</w:t>
              </w:r>
            </w:hyperlink>
          </w:p>
        </w:tc>
      </w:tr>
      <w:tr>
        <w:trPr/>
        <w:tc>
          <w:tcPr>
            <w:tcW w:w="81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3"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Amendment to the At the Market Offering Agreement, dated July 1, 2024, by and between Microbot Medical Inc. and H.C. Wainwright &amp; Co., LLC (incorporated by reference to Exhibit 10.1 of the Company’s Form 8-K filed on July 1, 2024).</w:t>
              </w:r>
            </w:hyperlink>
          </w:p>
        </w:tc>
      </w:tr>
      <w:tr>
        <w:trPr/>
        <w:tc>
          <w:tcPr>
            <w:tcW w:w="81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3"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Mintz, Levin, Cohn, Ferris, Glovsky and Popeo, P.C. (contained in Exhibit 5.1).</w:t>
              </w:r>
            </w:hyperlink>
          </w:p>
        </w:tc>
      </w:tr>
      <w:tr>
        <w:trPr/>
        <w:tc>
          <w:tcPr>
            <w:tcW w:w="81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Cover Page Interactive Data File (embedded within the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545"/>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Chairman</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April 10,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3" w:name="ex5-1.htm"/>
      <w:bookmarkStart w:id="24" w:name="ksex51"/>
      <w:bookmarkEnd w:id="23"/>
      <w:bookmarkEnd w:id="2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center"/>
        <w:rPr>
          <w:caps w:val="false"/>
          <w:smallCaps w:val="false"/>
        </w:rPr>
      </w:pPr>
      <w:r>
        <w:rPr>
          <w:caps w:val="false"/>
          <w:smallCaps w:val="false"/>
        </w:rPr>
        <w:t> </w:t>
      </w:r>
    </w:p>
    <w:tbl>
      <w:tblPr>
        <w:tblW w:w="3455" w:type="dxa"/>
        <w:jc w:val="left"/>
        <w:tblInd w:w="0" w:type="dxa"/>
        <w:tblLayout w:type="fixed"/>
        <w:tblCellMar>
          <w:top w:w="0" w:type="dxa"/>
          <w:left w:w="0" w:type="dxa"/>
          <w:bottom w:w="0" w:type="dxa"/>
          <w:right w:w="0" w:type="dxa"/>
        </w:tblCellMar>
      </w:tblPr>
      <w:tblGrid>
        <w:gridCol w:w="75"/>
        <w:gridCol w:w="1605"/>
        <w:gridCol w:w="17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05"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1019175"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1019175" cy="962025"/>
                          </a:xfrm>
                          <a:prstGeom prst="rect">
                            <a:avLst/>
                          </a:prstGeom>
                        </pic:spPr>
                      </pic:pic>
                    </a:graphicData>
                  </a:graphic>
                </wp:inline>
              </w:drawing>
            </w:r>
          </w:p>
        </w:tc>
        <w:tc>
          <w:tcPr>
            <w:tcW w:w="177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 Third Avenue</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212 935 3000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mintz.com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 Derby St., Bld. 27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Hingham, MA 02043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Microbot Medical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preparation and filing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of a Prospectus Supplement to be filed to a Prospectus, dated December 4, 2023 (the “</w:t>
      </w:r>
      <w:r>
        <w:rPr>
          <w:rFonts w:ascii="Times New Roman;Times;Serif" w:hAnsi="Times New Roman;Times;Serif"/>
          <w:b/>
          <w:i w:val="false"/>
          <w:caps w:val="false"/>
          <w:smallCaps w:val="false"/>
          <w:sz w:val="20"/>
        </w:rPr>
        <w:t>Prospectus and Prospectus Supplement</w:t>
      </w:r>
      <w:r>
        <w:rPr>
          <w:rFonts w:ascii="Times New Roman;Times;Serif" w:hAnsi="Times New Roman;Times;Serif"/>
          <w:b w:val="false"/>
          <w:i w:val="false"/>
          <w:caps w:val="false"/>
          <w:smallCaps w:val="false"/>
          <w:sz w:val="20"/>
        </w:rPr>
        <w:t>”), filed pursuant to a Registration Statement on Form S-3, Registration No. 333-275634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pursuant to which the Company is registering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the sale of up to $39,230,691 of shares (the “</w:t>
      </w:r>
      <w:r>
        <w:rPr>
          <w:rFonts w:ascii="Times New Roman;Times;Serif" w:hAnsi="Times New Roman;Times;Serif"/>
          <w:b/>
          <w:i w:val="false"/>
          <w:caps w:val="false"/>
          <w:smallCaps w:val="false"/>
          <w:sz w:val="20"/>
        </w:rPr>
        <w:t>Placement Shares</w:t>
      </w:r>
      <w:r>
        <w:rPr>
          <w:rFonts w:ascii="Times New Roman;Times;Serif" w:hAnsi="Times New Roman;Times;Serif"/>
          <w:b w:val="false"/>
          <w:i w:val="false"/>
          <w:caps w:val="false"/>
          <w:smallCaps w:val="false"/>
          <w:sz w:val="20"/>
        </w:rPr>
        <w:t>”) of common stock, $0.01 par value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the Company. The Placement Shares are being sold pursuant to an At the Market Offering Agreement, dated as of June 10, 2021, as amended on July 1, 2024, by and between the Company and H.C. Wainwright &amp; Co., LLC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pursuant to which the Company may issue and sell the Placement Shares pursuant to the Registration Statement and the Prospectus and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the Company’s Restated Certificate of Incorporation, as amended to date, and Amended and Restated By-laws, as amended to date, such other records of the corporate proceedings of the Company and certificates of the Company’s officers as we have deemed relevant, as well as the Registration Statement and the exhibits thereto and the Prospectus and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the legal capacity of natural persons, the authenticity of all documents submitted to us as originals, the conformity to original documents of all documents submitted to us as certified, photostatic or facsimile copies and the authenticity of the originals of such copies.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limitations set forth below, we are of the opinion that the Placement Shares, when issued by the Company out of the Company’s duly authorized Common Stock and issued and delivered by the Company against payment therefor as contemplated by the Agreement, on terms approved by the Board of Directors of the Company, or a duly authorized committee thereof, will be duly and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the General Corporation Law of the State of Delaware and the United States federal laws, and we express no opinion with respect to the laws of any other jurisdiction. No opinion is expressed herein with respect to the qualification of the Placement Shares under the securities or blue sky laws of any state or any foreign jurisdiction.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581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7620000" cy="5810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945" w:type="dxa"/>
        <w:jc w:val="left"/>
        <w:tblInd w:w="0" w:type="dxa"/>
        <w:tblLayout w:type="fixed"/>
        <w:tblCellMar>
          <w:top w:w="0" w:type="dxa"/>
          <w:left w:w="0" w:type="dxa"/>
          <w:bottom w:w="0" w:type="dxa"/>
          <w:right w:w="0" w:type="dxa"/>
        </w:tblCellMar>
      </w:tblPr>
      <w:tblGrid>
        <w:gridCol w:w="1430"/>
        <w:gridCol w:w="1515"/>
      </w:tblGrid>
      <w:tr>
        <w:trPr/>
        <w:tc>
          <w:tcPr>
            <w:tcW w:w="1430" w:type="dxa"/>
            <w:tcBorders/>
            <w:vAlign w:val="center"/>
          </w:tcPr>
          <w:p>
            <w:pPr>
              <w:pStyle w:val="TableContents"/>
              <w:bidi w:val="0"/>
              <w:jc w:val="left"/>
              <w:rPr>
                <w:b/>
              </w:rPr>
            </w:pPr>
            <w:r>
              <w:rPr>
                <w:b/>
              </w:rPr>
              <w:t>MINTZ</w:t>
            </w:r>
          </w:p>
          <w:p>
            <w:pPr>
              <w:pStyle w:val="TableContents"/>
              <w:bidi w:val="0"/>
              <w:jc w:val="left"/>
              <w:rPr/>
            </w:pPr>
            <w:r>
              <w:rPr/>
              <w:t> </w:t>
            </w:r>
          </w:p>
          <w:p>
            <w:pPr>
              <w:pStyle w:val="TableContents"/>
              <w:bidi w:val="0"/>
              <w:jc w:val="left"/>
              <w:rPr/>
            </w:pPr>
            <w:r>
              <w:rPr/>
              <w:t>April 10, 2026</w:t>
            </w:r>
          </w:p>
          <w:p>
            <w:pPr>
              <w:pStyle w:val="TableContents"/>
              <w:bidi w:val="0"/>
              <w:spacing w:before="0" w:after="283"/>
              <w:jc w:val="left"/>
              <w:rPr/>
            </w:pPr>
            <w:r>
              <w:rPr/>
              <w:t>Page 2</w:t>
            </w:r>
          </w:p>
        </w:tc>
        <w:tc>
          <w:tcPr>
            <w:tcW w:w="1515" w:type="dxa"/>
            <w:tcBorders/>
            <w:vAlign w:val="center"/>
          </w:tcPr>
          <w:p>
            <w:pPr>
              <w:pStyle w:val="TableContents"/>
              <w:bidi w:val="0"/>
              <w:spacing w:before="0" w:after="283"/>
              <w:jc w:val="right"/>
              <w:rPr/>
            </w:pPr>
            <w:r>
              <w:rPr/>
              <w:drawing>
                <wp:inline distT="0" distB="0" distL="0" distR="0">
                  <wp:extent cx="952500" cy="895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952500" cy="89535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as to certain matters on information obtained from public officials, officers of the Company, and other sources believed by us to be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a Current Report on Form 8-K and the Registration Statement in accordance with the requirements of Item 601(b)(5) of Regulation S-K under the Securities Act and to the use of this Firm’s name therein and in the Prospectus Supplement under the caption “Legal Matters.” In giving such consent, we do not hereby admit that we are in the category of persons whose consent is required under Section 7 of the Securities Act or the rules and regulations of the Commission.</w:t>
      </w:r>
    </w:p>
    <w:p>
      <w:pPr>
        <w:pStyle w:val="TextBody"/>
        <w:bidi w:val="0"/>
        <w:spacing w:before="0" w:after="0"/>
        <w:ind w:left="0" w:right="0" w:hanging="0"/>
        <w:jc w:val="left"/>
        <w:rPr>
          <w:caps w:val="false"/>
          <w:smallCaps w:val="false"/>
        </w:rPr>
      </w:pPr>
      <w:r>
        <w:rPr>
          <w:caps w:val="false"/>
          <w:smallCaps w:val="false"/>
        </w:rPr>
        <w:t> </w:t>
      </w:r>
    </w:p>
    <w:tbl>
      <w:tblPr>
        <w:tblW w:w="4580" w:type="dxa"/>
        <w:jc w:val="left"/>
        <w:tblInd w:w="0" w:type="dxa"/>
        <w:tblLayout w:type="fixed"/>
        <w:tblCellMar>
          <w:top w:w="0" w:type="dxa"/>
          <w:left w:w="0" w:type="dxa"/>
          <w:bottom w:w="0" w:type="dxa"/>
          <w:right w:w="0" w:type="dxa"/>
        </w:tblCellMar>
      </w:tblPr>
      <w:tblGrid>
        <w:gridCol w:w="4505"/>
        <w:gridCol w:w="75"/>
      </w:tblGrid>
      <w:tr>
        <w:trPr/>
        <w:tc>
          <w:tcPr>
            <w:tcW w:w="4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Mintz, Levin, Cohn, Ferris, Glovsky and Popeo, P.C.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Mintz, Levin, Cohn, Ferris, Glovsky and Popeo, P.C.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3975/000149315221014052/ex10-1.htm" TargetMode="External"/><Relationship Id="rId3" Type="http://schemas.openxmlformats.org/officeDocument/2006/relationships/hyperlink" Target="https://www.sec.gov/Archives/edgar/data/883975/000149315224025813/ex10-1.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1509</Words>
  <Characters>7798</Characters>
  <CharactersWithSpaces>9314</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